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Georgia" w:hAnsi="Georgia"/>
          <w:b/>
          <w:color w:val="1F4E79"/>
          <w:sz w:val="44"/>
        </w:rPr>
        <w:t>Stage 4 Technical Report: GBDT Learned Combiner &amp; Score Normalization</w:t>
      </w:r>
    </w:p>
    <w:p>
      <w:pPr>
        <w:spacing w:after="400"/>
        <w:jc w:val="left"/>
      </w:pPr>
      <w:r>
        <w:rPr>
          <w:rFonts w:ascii="Calibri" w:hAnsi="Calibri"/>
          <w:i/>
          <w:color w:val="595959"/>
          <w:sz w:val="24"/>
        </w:rPr>
        <w:t>Redrob Hybrid Candidate Ranker - Machine Learning Ranking Engine &amp; Normalization Safeguards</w:t>
      </w:r>
    </w:p>
    <w:p>
      <w:pPr>
        <w:pStyle w:val="Heading1"/>
        <w:spacing w:before="320" w:after="80"/>
      </w:pPr>
      <w:r>
        <w:rPr>
          <w:rFonts w:ascii="Georgia" w:hAnsi="Georgia"/>
          <w:b/>
          <w:color w:val="1F4E79"/>
          <w:sz w:val="34"/>
        </w:rPr>
        <w:t>1. Executive Summary</w:t>
      </w:r>
    </w:p>
    <w:p>
      <w:pPr>
        <w:spacing w:after="100"/>
      </w:pPr>
      <w:r>
        <w:rPr>
          <w:rFonts w:ascii="Calibri" w:hAnsi="Calibri"/>
          <w:b/>
          <w:color w:val="333333"/>
          <w:sz w:val="22"/>
        </w:rPr>
        <w:t>Stage 4</w:t>
      </w:r>
      <w:r>
        <w:rPr>
          <w:rFonts w:ascii="Calibri" w:hAnsi="Calibri"/>
          <w:color w:val="333333"/>
          <w:sz w:val="22"/>
        </w:rPr>
        <w:t xml:space="preserve"> of the Redrob Hybrid Candidate Ranker implements a machine learning-based ranking combiner using a Gradient Boosted Decision Tree (GBDT) regression framework. Rather than relying on static heuristic feature weights, Stage 4 extracts a comprehensive </w:t>
      </w:r>
      <w:r>
        <w:rPr>
          <w:rFonts w:ascii="Calibri" w:hAnsi="Calibri"/>
          <w:b/>
          <w:color w:val="333333"/>
          <w:sz w:val="22"/>
        </w:rPr>
        <w:t>15-dimensional feature matrix</w:t>
      </w:r>
      <w:r>
        <w:rPr>
          <w:rFonts w:ascii="Calibri" w:hAnsi="Calibri"/>
          <w:color w:val="333333"/>
          <w:sz w:val="22"/>
        </w:rPr>
        <w:t xml:space="preserve"> for each surviving candidate profile and feeds it into a trained </w:t>
      </w:r>
      <w:r>
        <w:rPr>
          <w:rFonts w:ascii="Calibri" w:hAnsi="Calibri"/>
          <w:b/>
          <w:color w:val="333333"/>
          <w:sz w:val="22"/>
        </w:rPr>
        <w:t>LightGBM booster</w:t>
      </w:r>
      <w:r>
        <w:rPr>
          <w:rFonts w:ascii="Calibri" w:hAnsi="Calibri"/>
          <w:color w:val="333333"/>
          <w:sz w:val="22"/>
        </w:rPr>
        <w:t xml:space="preserve">. To guarantee that the output scores comply with strict competition guardrails and avoid grading invalidation, we have established a double-normalized and clipped score boundary scheme that restricts all outputs strictly within the </w:t>
      </w:r>
      <w:r>
        <w:rPr>
          <w:rFonts w:ascii="Calibri" w:hAnsi="Calibri"/>
          <w:b/>
          <w:color w:val="333333"/>
          <w:sz w:val="22"/>
        </w:rPr>
        <w:t>[0.0, 1.0] range</w:t>
      </w:r>
      <w:r>
        <w:rPr>
          <w:rFonts w:ascii="Calibri" w:hAnsi="Calibri"/>
          <w:color w:val="333333"/>
          <w:sz w:val="22"/>
        </w:rPr>
        <w:t>.</w:t>
      </w:r>
    </w:p>
    <w:p>
      <w:pPr>
        <w:pStyle w:val="Heading1"/>
        <w:spacing w:before="320" w:after="80"/>
      </w:pPr>
      <w:r>
        <w:rPr>
          <w:rFonts w:ascii="Georgia" w:hAnsi="Georgia"/>
          <w:b/>
          <w:color w:val="1F4E79"/>
          <w:sz w:val="34"/>
        </w:rPr>
        <w:t>2. GBDT Feature Design &amp; Model Architecture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The LightGBM ranking model integrates 15 distinct candidate features spanning lexical match, semantic similarity, contextual proximity, and platform engagement history. This matrix is not a simple concatenation of the Stage 2 signals and the Stage 3 report's nine heuristic multiplier groups. It is a learned representation composed of 3 relevance inputs and 12 behavioral/auxiliary inputs: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2.1 15-Dimensional Feature Matrix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bm25_norm: Normalized lexical similarity score computed over the entire candidate pool.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crossencoder_score: Deep semantic similarity score against the JD anchor.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co_norm: Contextual co-occurrence score representing active execution evidence.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skill_trust: Assessment-first skill evidence confidence score.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activity_decay: Sigmoid-based recruiter platform activity decay score.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recruiter_rr: Recruiter response rate.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rt_norm: Normalized average recruiter response time.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intent_score: Compound job-seeking intent proxy (open to work, applications submitted).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market_validation: Recruiter interest metric (saves, views, appearances).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company_scale: Employer scale and growth trajectory progression delta.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icr: Interview completion rate.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notice_norm: Notice period contractual constraint rating.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github_norm: Public coding and open-source contribution score.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contact_verified: Dual-channel email/phone verification status.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oar: Historical offer acceptance rate.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2.2 Cross-Stage Dimensional Reconciliation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 xml:space="preserve">The dimensional accounting is exact: Stage 2 contributes bm25_norm, crossencoder_score, and co_norm. Stage 4 then supplies 12 separately addressable behavioral and auxiliary columns. The Stage 3 count of nine refers to heuristic multiplier groups used to generate the continuous training target; it does not define the learned model's input width. In particular, OAR and ICR are separate model columns, response time is retained as rt_norm, intent and market validation are retained as distinct features, and company_scale represents employer trajectory. Thus, </w:t>
      </w:r>
      <w:r>
        <w:rPr>
          <w:rFonts w:ascii="Calibri" w:hAnsi="Calibri"/>
          <w:b/>
          <w:color w:val="333333"/>
          <w:sz w:val="22"/>
        </w:rPr>
        <w:t>3 + 12 = 15</w:t>
      </w:r>
      <w:r>
        <w:rPr>
          <w:rFonts w:ascii="Calibri" w:hAnsi="Calibri"/>
          <w:color w:val="333333"/>
          <w:sz w:val="22"/>
        </w:rPr>
        <w:t xml:space="preserve"> with </w:t>
      </w:r>
      <w:r>
        <w:rPr>
          <w:rFonts w:ascii="Calibri" w:hAnsi="Calibri"/>
          <w:b/>
          <w:color w:val="333333"/>
          <w:sz w:val="22"/>
        </w:rPr>
        <w:t>no hidden or legacy dimensions</w:t>
      </w:r>
      <w:r>
        <w:rPr>
          <w:rFonts w:ascii="Calibri" w:hAnsi="Calibri"/>
          <w:color w:val="333333"/>
          <w:sz w:val="22"/>
        </w:rPr>
        <w:t>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2.3 LightGBM Model Configuration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The regression model is trained on continuous targets utilizing the LightGBM library with shallow, regularized decision trees to avoid overfitting: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Objective: Regression (fitting continuous score targets).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Shallow Tree Depth: limited to 16 leaves (num_leaves=16) to ensure generalization on unseen datasets.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Minimum Data in Leaf: 10 candidates (min_data_in_leaf=10).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Regularization: Early stopping configured for 50 rounds (stopping_rounds=50) on validation splits.</w:t>
      </w:r>
    </w:p>
    <w:p>
      <w:pPr>
        <w:pStyle w:val="Heading1"/>
        <w:spacing w:before="320" w:after="80"/>
      </w:pPr>
      <w:r>
        <w:rPr>
          <w:rFonts w:ascii="Georgia" w:hAnsi="Georgia"/>
          <w:b/>
          <w:color w:val="1F4E79"/>
          <w:sz w:val="34"/>
        </w:rPr>
        <w:t>3. Score Bounds &amp; Normalization Safeguards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Raw outputs from regression boosters are unbounded continuous predictions, which can easily exceed 1.0 or fall below 0.0. To prevent grading invalidation, we implement a multi-layered boundary defense: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3.1 Multi-Layered Normalization Pipeline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First-Pass Normalization: Raw booster outputs are min-max normalized across all survival pool candidates.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Second-Pass Normalization: Once the top 100 candidates are shortlisted, they are normalized again to ensure that Rank 1 has a score of exactly 1.00000000.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Boundary Clipping: A strict failsafe clip max(0.0, min(1.0, score)) is applied during normalisation and immediately before writing to the CSV to protect against floating-point leaks.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3.2 Model Feature Importances (Gain)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The table below reports every input column used by train_learned_combiner.py and rank_candidates.py, sorted by realized model gain. The feature names map directly to the exact array order listed in Section 2.1. Gain percentages were calculated directly from learned_model.txt and sum to 100% (subject to displayed rounding). A 0.00% gain means the feature was present in the 15-column matrix but the fitted trees did not select it for a split.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48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2088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584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Importance (Gain %)</w:t>
            </w:r>
          </w:p>
        </w:tc>
        <w:tc>
          <w:tcPr>
            <w:tcW w:type="dxa" w:w="5040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Source / Core Description</w:t>
            </w:r>
          </w:p>
        </w:tc>
      </w:tr>
      <w:tr>
        <w:tc>
          <w:tcPr>
            <w:tcW w:type="dxa" w:w="64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8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bm25_norm</w:t>
            </w:r>
          </w:p>
        </w:tc>
        <w:tc>
          <w:tcPr>
            <w:tcW w:type="dxa" w:w="1584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30.92%</w:t>
            </w:r>
          </w:p>
        </w:tc>
        <w:tc>
          <w:tcPr>
            <w:tcW w:type="dxa" w:w="504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Stage 2 normalized lexical relevance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8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activity_decay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22.76%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Sigmoid recency/activity signal</w:t>
            </w:r>
          </w:p>
        </w:tc>
      </w:tr>
      <w:tr>
        <w:tc>
          <w:tcPr>
            <w:tcW w:type="dxa" w:w="64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8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co_norm</w:t>
            </w:r>
          </w:p>
        </w:tc>
        <w:tc>
          <w:tcPr>
            <w:tcW w:type="dxa" w:w="1584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17.21%</w:t>
            </w:r>
          </w:p>
        </w:tc>
        <w:tc>
          <w:tcPr>
            <w:tcW w:type="dxa" w:w="504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Stage 2 contextual co-occurrence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8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crossencoder_score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14.56%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Stage 2 deep semantic similarity</w:t>
            </w:r>
          </w:p>
        </w:tc>
      </w:tr>
      <w:tr>
        <w:tc>
          <w:tcPr>
            <w:tcW w:type="dxa" w:w="64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8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recruiter_rr</w:t>
            </w:r>
          </w:p>
        </w:tc>
        <w:tc>
          <w:tcPr>
            <w:tcW w:type="dxa" w:w="1584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14.00%</w:t>
            </w:r>
          </w:p>
        </w:tc>
        <w:tc>
          <w:tcPr>
            <w:tcW w:type="dxa" w:w="504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Raw recruiter response-rate signal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8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skill_trust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0.20%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Assessment-backed skill evidence</w:t>
            </w:r>
          </w:p>
        </w:tc>
      </w:tr>
      <w:tr>
        <w:tc>
          <w:tcPr>
            <w:tcW w:type="dxa" w:w="64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8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rt_norm</w:t>
            </w:r>
          </w:p>
        </w:tc>
        <w:tc>
          <w:tcPr>
            <w:tcW w:type="dxa" w:w="1584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0.19%</w:t>
            </w:r>
          </w:p>
        </w:tc>
        <w:tc>
          <w:tcPr>
            <w:tcW w:type="dxa" w:w="504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Normalized inverse response time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08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market_validation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0.05%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Views, recruiter saves, appearances</w:t>
            </w:r>
          </w:p>
        </w:tc>
      </w:tr>
      <w:tr>
        <w:tc>
          <w:tcPr>
            <w:tcW w:type="dxa" w:w="64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08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intent_score</w:t>
            </w:r>
          </w:p>
        </w:tc>
        <w:tc>
          <w:tcPr>
            <w:tcW w:type="dxa" w:w="1584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0.04%</w:t>
            </w:r>
          </w:p>
        </w:tc>
        <w:tc>
          <w:tcPr>
            <w:tcW w:type="dxa" w:w="504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Open-to-work and applications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08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icr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0.04%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Interview completion rate</w:t>
            </w:r>
          </w:p>
        </w:tc>
      </w:tr>
      <w:tr>
        <w:tc>
          <w:tcPr>
            <w:tcW w:type="dxa" w:w="64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08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company_scale</w:t>
            </w:r>
          </w:p>
        </w:tc>
        <w:tc>
          <w:tcPr>
            <w:tcW w:type="dxa" w:w="1584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0.02%</w:t>
            </w:r>
          </w:p>
        </w:tc>
        <w:tc>
          <w:tcPr>
            <w:tcW w:type="dxa" w:w="504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Employer scale and trajectory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08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contact_verified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&lt;0.01%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Email/phone verification status</w:t>
            </w:r>
          </w:p>
        </w:tc>
      </w:tr>
      <w:tr>
        <w:tc>
          <w:tcPr>
            <w:tcW w:type="dxa" w:w="64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08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oar</w:t>
            </w:r>
          </w:p>
        </w:tc>
        <w:tc>
          <w:tcPr>
            <w:tcW w:type="dxa" w:w="1584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&lt;0.01%</w:t>
            </w:r>
          </w:p>
        </w:tc>
        <w:tc>
          <w:tcPr>
            <w:tcW w:type="dxa" w:w="504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Offer acceptance reliability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08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github_norm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&lt;0.01%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Normalized GitHub activity</w:t>
            </w:r>
          </w:p>
        </w:tc>
      </w:tr>
      <w:tr>
        <w:tc>
          <w:tcPr>
            <w:tcW w:type="dxa" w:w="64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088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notice_norm</w:t>
            </w:r>
          </w:p>
        </w:tc>
        <w:tc>
          <w:tcPr>
            <w:tcW w:type="dxa" w:w="1584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504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sz w:val="18"/>
              </w:rPr>
              <w:t>Notice-period operational band</w:t>
            </w:r>
          </w:p>
        </w:tc>
      </w:tr>
    </w:tbl>
    <w:p>
      <w:pPr>
        <w:spacing w:after="100"/>
      </w:pPr>
      <w:r>
        <w:rPr>
          <w:rFonts w:ascii="Calibri" w:hAnsi="Calibri"/>
          <w:color w:val="333333"/>
          <w:sz w:val="22"/>
        </w:rPr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 xml:space="preserve">Conclusion: Stage 4 integrates </w:t>
      </w:r>
      <w:r>
        <w:rPr>
          <w:rFonts w:ascii="Calibri" w:hAnsi="Calibri"/>
          <w:b/>
          <w:color w:val="333333"/>
          <w:sz w:val="22"/>
        </w:rPr>
        <w:t>GBDT model combinations</w:t>
      </w:r>
      <w:r>
        <w:rPr>
          <w:rFonts w:ascii="Calibri" w:hAnsi="Calibri"/>
          <w:color w:val="333333"/>
          <w:sz w:val="22"/>
        </w:rPr>
        <w:t xml:space="preserve"> with strict score boundary controls. This ensures the ranking engine balances complex feature interactions while producing valid, </w:t>
      </w:r>
      <w:r>
        <w:rPr>
          <w:rFonts w:ascii="Calibri" w:hAnsi="Calibri"/>
          <w:b/>
          <w:color w:val="333333"/>
          <w:sz w:val="22"/>
        </w:rPr>
        <w:t>non-negative scores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alibri" w:hAnsi="Calibri"/>
          <w:b/>
          <w:color w:val="333333"/>
          <w:sz w:val="22"/>
        </w:rPr>
        <w:t>at or below 1.0</w:t>
      </w:r>
      <w:r>
        <w:rPr>
          <w:rFonts w:ascii="Calibri" w:hAnsi="Calibri"/>
          <w:color w:val="333333"/>
          <w:sz w:val="22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