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working_capital_management_analys_92f9bb"/>
      <w:r>
        <w:rPr>
          <w:b/>
          <w:sz w:val="56"/>
        </w:rPr>
        <w:t xml:space="preserve">Working Capital Management Analysis of Hindustan Unilever Limited</w:t>
      </w:r>
      <w:bookmarkEnd w:id="0"/>
    </w:p>
    <w:p>
      <w:pPr>
        <w:spacing w:after="210" w:lineRule="auto"/>
      </w:pPr>
      <w:r>
        <w:rPr>
          <w:b/>
        </w:rPr>
        <w:t xml:space="preserve">Mini Project Report for MBA Finance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mini-project presents a comprehensive analysis of </w:t>
      </w:r>
      <w:r>
        <w:rPr>
          <w:b/>
        </w:rPr>
        <w:t xml:space="preserve">Working Capital Management (WCM)</w:t>
      </w:r>
      <w:r>
        <w:rPr/>
        <w:t xml:space="preserve"> at </w:t>
      </w:r>
      <w:r>
        <w:rPr>
          <w:b/>
        </w:rPr>
        <w:t xml:space="preserve">Hindustan Unilever Limited (HUL)</w:t>
      </w:r>
      <w:r>
        <w:rPr>
          <w:rFonts w:eastAsia="Georgia" w:cs="Georgia" w:ascii="Georgia" w:hAnsi="Georgia"/>
        </w:rPr>
        <w:t xml:space="preserve">, one of India's largest and most efficient FMCG companies. The analysis spans five financial years (FY2020–21 to FY2024–25) and employs quantitative analysis of key working capital metrics, liquidity ratios, and efficiency indicators to evaluate how effectively HUL manages its short-term financial resources.</w:t>
      </w:r>
    </w:p>
    <w:p>
      <w:pPr>
        <w:spacing w:after="210" w:lineRule="auto"/>
      </w:pPr>
      <w:r>
        <w:rPr>
          <w:b/>
        </w:rPr>
        <w:t xml:space="preserve">Key Findings:</w:t>
      </w:r>
    </w:p>
    <w:p>
      <w:pPr>
        <w:numPr>
          <w:ilvl w:val="0"/>
          <w:numId w:val="1"/>
        </w:numPr>
        <w:spacing w:lineRule="auto"/>
      </w:pPr>
      <w:r>
        <w:rPr/>
        <w:t xml:space="preserve">HUL maintains a </w:t>
      </w:r>
      <w:r>
        <w:rPr>
          <w:b/>
        </w:rPr>
        <w:t xml:space="preserve">structurally efficient working capital position</w:t>
      </w:r>
      <w:r>
        <w:rPr/>
        <w:t xml:space="preserve"> with </w:t>
      </w:r>
      <w:r>
        <w:rPr>
          <w:b/>
        </w:rPr>
        <w:t xml:space="preserve">negative net working capital</w:t>
      </w:r>
      <w:r>
        <w:rPr/>
        <w:t xml:space="preserve"> in most years, demonstrating superior operational efficiency typical of FMCG leaders.</w:t>
      </w:r>
    </w:p>
    <w:p>
      <w:pPr>
        <w:numPr>
          <w:ilvl w:val="0"/>
          <w:numId w:val="1"/>
        </w:numPr>
        <w:spacing w:lineRule="auto"/>
      </w:pPr>
      <w:r>
        <w:rPr/>
        <w:t xml:space="preserve">The company's </w:t>
      </w:r>
      <w:r>
        <w:rPr>
          <w:b/>
        </w:rPr>
        <w:t xml:space="preserve">Current Ratio averages 1.05</w:t>
      </w:r>
      <w:r>
        <w:rPr/>
        <w:t xml:space="preserve">, below the traditional benchmark of 1.5, but offset by strong cash conversion cycles and operational cash generation.</w:t>
      </w:r>
    </w:p>
    <w:p>
      <w:pPr>
        <w:numPr>
          <w:ilvl w:val="0"/>
          <w:numId w:val="1"/>
        </w:numPr>
        <w:spacing w:lineRule="auto"/>
      </w:pPr>
      <w:r>
        <w:rPr>
          <w:b/>
        </w:rPr>
        <w:t xml:space="preserve">Working Capital to Sales ratio</w:t>
      </w:r>
      <w:r>
        <w:rPr/>
        <w:t xml:space="preserve"> shows a declining trend (from 17.00% to 13.32%), indicating improved efficiency in deploying short-term resources to support revenue growth.</w:t>
      </w:r>
    </w:p>
    <w:p>
      <w:pPr>
        <w:numPr>
          <w:ilvl w:val="0"/>
          <w:numId w:val="1"/>
        </w:numPr>
        <w:spacing w:lineRule="auto"/>
      </w:pPr>
      <w:r>
        <w:rPr/>
        <w:t xml:space="preserve">HUL's </w:t>
      </w:r>
      <w:r>
        <w:rPr>
          <w:b/>
        </w:rPr>
        <w:t xml:space="preserve">Inventory Turnover</w:t>
      </w:r>
      <w:r>
        <w:rPr/>
        <w:t xml:space="preserve"> and </w:t>
      </w:r>
      <w:r>
        <w:rPr>
          <w:b/>
        </w:rPr>
        <w:t xml:space="preserve">Receivables Turnover</w:t>
      </w:r>
      <w:r>
        <w:rPr/>
        <w:t xml:space="preserve"> ratios reflect excellent management of key working capital components, enabling the company to convert cash quickly.</w:t>
      </w:r>
    </w:p>
    <w:p>
      <w:pPr>
        <w:numPr>
          <w:ilvl w:val="0"/>
          <w:numId w:val="1"/>
        </w:numPr>
        <w:spacing w:lineRule="auto"/>
      </w:pPr>
      <w:r>
        <w:rPr/>
        <w:t xml:space="preserve">The company's </w:t>
      </w:r>
      <w:r>
        <w:rPr>
          <w:b/>
        </w:rPr>
        <w:t xml:space="preserve">negative working capital days</w:t>
      </w:r>
      <w:r>
        <w:rPr/>
        <w:t xml:space="preserve"> (approximately </w:t>
      </w:r>
      <w:r>
        <w:rPr>
          <w:b/>
        </w:rPr>
        <w:t xml:space="preserve">-30 to -40 days</w:t>
      </w:r>
      <w:r>
        <w:rPr/>
        <w:t xml:space="preserve">) represent a competitive advantage, as suppliers effectively finance operations while the company receives cash from customers upfront.</w:t>
      </w:r>
    </w:p>
    <w:p>
      <w:pPr>
        <w:spacing w:after="210" w:lineRule="auto"/>
      </w:pPr>
      <w:r>
        <w:rPr>
          <w:b/>
        </w:rPr>
        <w:t xml:space="preserve">Conclusion:</w:t>
      </w:r>
    </w:p>
    <w:p>
      <w:pPr>
        <w:spacing w:after="210" w:lineRule="auto"/>
      </w:pPr>
      <w:r>
        <w:rPr/>
        <w:t xml:space="preserve">HUL exemplifies best practices in working capital management, balancing liquidity adequacy with profitability and return on capital. The company's lean working capital structure, combined with operational excellence and strong market position, creates a </w:t>
      </w:r>
      <w:r>
        <w:rPr>
          <w:b/>
        </w:rPr>
        <w:t xml:space="preserve">cash generation machine</w:t>
      </w:r>
      <w:r>
        <w:rPr/>
        <w:t xml:space="preserve"> that funds growth, debt repayment, and shareholder returns without external financing pressures.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table_of_contents"/>
      <w:r>
        <w:rPr>
          <w:b/>
          <w:sz w:val="42"/>
        </w:rPr>
        <w:t xml:space="preserve">TABLE OF CONTENTS</w:t>
      </w:r>
      <w:bookmarkEnd w:id="2"/>
    </w:p>
    <w:p>
      <w:pPr>
        <w:numPr>
          <w:ilvl w:val="0"/>
          <w:numId w:val="2"/>
        </w:numPr>
        <w:spacing w:lineRule="auto"/>
      </w:pPr>
      <w:r>
        <w:rPr/>
        <w:t xml:space="preserve">Introduction</w:t>
      </w:r>
    </w:p>
    <w:p>
      <w:pPr>
        <w:numPr>
          <w:ilvl w:val="0"/>
          <w:numId w:val="2"/>
        </w:numPr>
        <w:spacing w:lineRule="auto"/>
      </w:pPr>
      <w:r>
        <w:rPr/>
        <w:t xml:space="preserve">Company Profile: Hindustan Unilever Limited</w:t>
      </w:r>
    </w:p>
    <w:p>
      <w:pPr>
        <w:numPr>
          <w:ilvl w:val="0"/>
          <w:numId w:val="2"/>
        </w:numPr>
        <w:spacing w:lineRule="auto"/>
      </w:pPr>
      <w:r>
        <w:rPr/>
        <w:t xml:space="preserve">Theoretical Framework &amp; Concepts</w:t>
      </w:r>
    </w:p>
    <w:p>
      <w:pPr>
        <w:numPr>
          <w:ilvl w:val="0"/>
          <w:numId w:val="2"/>
        </w:numPr>
        <w:spacing w:lineRule="auto"/>
      </w:pPr>
      <w:r>
        <w:rPr/>
        <w:t xml:space="preserve">Data and Methodology</w:t>
      </w:r>
    </w:p>
    <w:p>
      <w:pPr>
        <w:numPr>
          <w:ilvl w:val="0"/>
          <w:numId w:val="2"/>
        </w:numPr>
        <w:spacing w:lineRule="auto"/>
      </w:pPr>
      <w:r>
        <w:rPr/>
        <w:t xml:space="preserve">Analysis of Working Capital Components</w:t>
      </w:r>
    </w:p>
    <w:p>
      <w:pPr>
        <w:numPr>
          <w:ilvl w:val="0"/>
          <w:numId w:val="2"/>
        </w:numPr>
        <w:spacing w:lineRule="auto"/>
      </w:pPr>
      <w:r>
        <w:rPr/>
        <w:t xml:space="preserve">Liquidity Ratio Analysis</w:t>
      </w:r>
    </w:p>
    <w:p>
      <w:pPr>
        <w:numPr>
          <w:ilvl w:val="0"/>
          <w:numId w:val="2"/>
        </w:numPr>
        <w:spacing w:lineRule="auto"/>
      </w:pPr>
      <w:r>
        <w:rPr/>
        <w:t xml:space="preserve">Efficiency Ratio Analysis</w:t>
      </w:r>
    </w:p>
    <w:p>
      <w:pPr>
        <w:numPr>
          <w:ilvl w:val="0"/>
          <w:numId w:val="2"/>
        </w:numPr>
        <w:spacing w:lineRule="auto"/>
      </w:pPr>
      <w:r>
        <w:rPr>
          <w:rFonts w:eastAsia="Georgia" w:cs="Georgia" w:ascii="Georgia" w:hAnsi="Georgia"/>
        </w:rPr>
        <w:t xml:space="preserve">Working Capital Trend Analysis (3–5 Year)</w:t>
      </w:r>
    </w:p>
    <w:p>
      <w:pPr>
        <w:numPr>
          <w:ilvl w:val="0"/>
          <w:numId w:val="2"/>
        </w:numPr>
        <w:spacing w:lineRule="auto"/>
      </w:pPr>
      <w:r>
        <w:rPr/>
        <w:t xml:space="preserve">Cash Conversion Cycle Analysis</w:t>
      </w:r>
    </w:p>
    <w:p>
      <w:pPr>
        <w:numPr>
          <w:ilvl w:val="0"/>
          <w:numId w:val="2"/>
        </w:numPr>
        <w:spacing w:lineRule="auto"/>
      </w:pPr>
      <w:r>
        <w:rPr/>
        <w:t xml:space="preserve">Comparison with Industry Peers (if applicable)</w:t>
      </w:r>
    </w:p>
    <w:p>
      <w:pPr>
        <w:numPr>
          <w:ilvl w:val="0"/>
          <w:numId w:val="2"/>
        </w:numPr>
        <w:spacing w:lineRule="auto"/>
      </w:pPr>
      <w:r>
        <w:rPr/>
        <w:t xml:space="preserve">Key Findings and Insights</w:t>
      </w:r>
    </w:p>
    <w:p>
      <w:pPr>
        <w:numPr>
          <w:ilvl w:val="0"/>
          <w:numId w:val="2"/>
        </w:numPr>
        <w:spacing w:lineRule="auto"/>
      </w:pPr>
      <w:r>
        <w:rPr/>
        <w:t xml:space="preserve">Suggestions and Recommendations</w:t>
      </w:r>
    </w:p>
    <w:p>
      <w:pPr>
        <w:numPr>
          <w:ilvl w:val="0"/>
          <w:numId w:val="2"/>
        </w:numPr>
        <w:spacing w:lineRule="auto"/>
      </w:pPr>
      <w:r>
        <w:rPr/>
        <w:t xml:space="preserve">Conclusion</w:t>
      </w:r>
    </w:p>
    <w:p>
      <w:pPr>
        <w:numPr>
          <w:ilvl w:val="0"/>
          <w:numId w:val="2"/>
        </w:numPr>
        <w:spacing w:lineRule="auto"/>
      </w:pPr>
      <w:r>
        <w:rPr/>
        <w:t xml:space="preserve">References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1_introduction"/>
      <w:r>
        <w:rPr>
          <w:b/>
          <w:sz w:val="42"/>
        </w:rPr>
        <w:t xml:space="preserve">1. INTRODUCTION</w:t>
      </w:r>
      <w:bookmarkEnd w:id="3"/>
    </w:p>
    <w:p>
      <w:pPr>
        <w:spacing w:line="271" w:before="240" w:lineRule="auto"/>
      </w:pPr>
      <w:bookmarkStart w:id="4" w:name="bm_1_1_background"/>
      <w:r>
        <w:rPr>
          <w:b/>
          <w:sz w:val="33"/>
        </w:rPr>
        <w:t xml:space="preserve">1.1 Background</w:t>
      </w:r>
      <w:bookmarkEnd w:id="4"/>
    </w:p>
    <w:p>
      <w:pPr>
        <w:spacing w:after="210" w:lineRule="auto"/>
      </w:pPr>
      <w:r>
        <w:rPr/>
        <w:t xml:space="preserve">Working capital management is a critical function of financial management. It refers to the management of current assets and current liabilities to ensure the firm maintains adequate liquidity to meet its operational needs while optimizing the use of short-term resources to maximize profitability and shareholder value.</w:t>
      </w:r>
    </w:p>
    <w:p>
      <w:pPr>
        <w:spacing w:after="210" w:lineRule="auto"/>
      </w:pPr>
      <w:r>
        <w:rPr/>
        <w:t xml:space="preserve">The significance of working capital management cannot be overstated:</w:t>
      </w:r>
    </w:p>
    <w:p>
      <w:pPr>
        <w:numPr>
          <w:ilvl w:val="0"/>
          <w:numId w:val="3"/>
        </w:numPr>
        <w:spacing w:lineRule="auto"/>
      </w:pPr>
      <w:r>
        <w:rPr>
          <w:b/>
        </w:rPr>
        <w:t xml:space="preserve">Operational Continuity:</w:t>
      </w:r>
      <w:r>
        <w:rPr/>
        <w:t xml:space="preserve"> Without sufficient working capital, even a profitable company may face liquidity crises and fail to meet its short-term obligations.</w:t>
      </w:r>
    </w:p>
    <w:p>
      <w:pPr>
        <w:numPr>
          <w:ilvl w:val="0"/>
          <w:numId w:val="3"/>
        </w:numPr>
        <w:spacing w:lineRule="auto"/>
      </w:pPr>
      <w:r>
        <w:rPr>
          <w:b/>
        </w:rPr>
        <w:t xml:space="preserve">Profitability &amp; Growth:</w:t>
      </w:r>
      <w:r>
        <w:rPr/>
        <w:t xml:space="preserve"> Efficient working capital management frees up cash for expansion, debt reduction, and dividend payments.</w:t>
      </w:r>
    </w:p>
    <w:p>
      <w:pPr>
        <w:numPr>
          <w:ilvl w:val="0"/>
          <w:numId w:val="3"/>
        </w:numPr>
        <w:spacing w:lineRule="auto"/>
      </w:pPr>
      <w:r>
        <w:rPr>
          <w:b/>
        </w:rPr>
        <w:t xml:space="preserve">Risk Management:</w:t>
      </w:r>
      <w:r>
        <w:rPr/>
        <w:t xml:space="preserve"> Proper management of receivables, inventory, and payables reduces financial risk and operational uncertainties.</w:t>
      </w:r>
    </w:p>
    <w:p>
      <w:pPr>
        <w:numPr>
          <w:ilvl w:val="0"/>
          <w:numId w:val="3"/>
        </w:numPr>
        <w:spacing w:lineRule="auto"/>
      </w:pPr>
      <w:r>
        <w:rPr>
          <w:b/>
        </w:rPr>
        <w:t xml:space="preserve">Valuation Impact:</w:t>
      </w:r>
      <w:r>
        <w:rPr/>
        <w:t xml:space="preserve"> Companies with superior working capital management typically command higher valuation multiples due to lower risk and higher cash conversion.</w:t>
      </w:r>
    </w:p>
    <w:p>
      <w:pPr>
        <w:spacing w:after="210" w:lineRule="auto"/>
      </w:pPr>
      <w:r>
        <w:rPr/>
        <w:t xml:space="preserve">In the FMCG sector, working capital management is especially critical because of:</w:t>
      </w:r>
    </w:p>
    <w:p>
      <w:pPr>
        <w:numPr>
          <w:ilvl w:val="0"/>
          <w:numId w:val="4"/>
        </w:numPr>
        <w:spacing w:lineRule="auto"/>
      </w:pPr>
      <w:r>
        <w:rPr/>
        <w:t xml:space="preserve">High-volume, low-margin business models requiring efficient operations.</w:t>
      </w:r>
    </w:p>
    <w:p>
      <w:pPr>
        <w:numPr>
          <w:ilvl w:val="0"/>
          <w:numId w:val="4"/>
        </w:numPr>
        <w:spacing w:lineRule="auto"/>
      </w:pPr>
      <w:r>
        <w:rPr/>
        <w:t xml:space="preserve">Constant inventory turnover and cash flow management.</w:t>
      </w:r>
    </w:p>
    <w:p>
      <w:pPr>
        <w:numPr>
          <w:ilvl w:val="0"/>
          <w:numId w:val="4"/>
        </w:numPr>
        <w:spacing w:lineRule="auto"/>
      </w:pPr>
      <w:r>
        <w:rPr/>
        <w:t xml:space="preserve">Strong bargaining power with suppliers and distributors.</w:t>
      </w:r>
    </w:p>
    <w:p>
      <w:pPr>
        <w:spacing w:line="271" w:before="240" w:lineRule="auto"/>
      </w:pPr>
      <w:bookmarkStart w:id="5" w:name="bm_1_2_why_hindustan_unilever_limited"/>
      <w:r>
        <w:rPr>
          <w:b/>
          <w:sz w:val="33"/>
        </w:rPr>
        <w:t xml:space="preserve">1.2 Why Hindustan Unilever Limited?</w:t>
      </w:r>
      <w:bookmarkEnd w:id="5"/>
    </w:p>
    <w:p>
      <w:pPr>
        <w:spacing w:after="210" w:lineRule="auto"/>
      </w:pPr>
      <w:r>
        <w:rPr/>
        <w:t xml:space="preserve">Hindustan Unilever Limited is selected as the case study for this project because:</w:t>
      </w:r>
    </w:p>
    <w:p>
      <w:pPr>
        <w:numPr>
          <w:ilvl w:val="0"/>
          <w:numId w:val="5"/>
        </w:numPr>
        <w:spacing w:after="210" w:lineRule="auto"/>
      </w:pPr>
      <w:r>
        <w:rPr>
          <w:b/>
        </w:rPr>
        <w:t xml:space="preserve">Industry Leader:</w:t>
      </w:r>
      <w:r>
        <w:rPr>
          <w:rFonts w:eastAsia="Georgia" w:cs="Georgia" w:ascii="Georgia" w:hAnsi="Georgia"/>
        </w:rPr>
        <w:t xml:space="preserve"> HUL is the largest FMCG company in India with a market capitalization of over ₹5 lakh crore, commanding significant market shares across home care, beauty &amp; personal care, and foods segments.</w:t>
      </w:r>
    </w:p>
    <w:p>
      <w:pPr>
        <w:numPr>
          <w:ilvl w:val="0"/>
          <w:numId w:val="5"/>
        </w:numPr>
        <w:spacing w:after="210" w:lineRule="auto"/>
      </w:pPr>
      <w:r>
        <w:rPr>
          <w:b/>
        </w:rPr>
        <w:t xml:space="preserve">Operational Excellence:</w:t>
      </w:r>
      <w:r>
        <w:rPr/>
        <w:t xml:space="preserve"> HUL is renowned for its operational efficiency, including world-class working capital management, making it a benchmark for other companies.</w:t>
      </w:r>
    </w:p>
    <w:p>
      <w:pPr>
        <w:numPr>
          <w:ilvl w:val="0"/>
          <w:numId w:val="5"/>
        </w:numPr>
        <w:spacing w:after="210" w:lineRule="auto"/>
      </w:pPr>
      <w:r>
        <w:rPr>
          <w:b/>
        </w:rPr>
        <w:t xml:space="preserve">Data Availability:</w:t>
      </w:r>
      <w:r>
        <w:rPr/>
        <w:t xml:space="preserve"> Being a listed company, HUL's financial statements are publicly available through annual reports, stock exchange filings, and financial data platforms.</w:t>
      </w:r>
    </w:p>
    <w:p>
      <w:pPr>
        <w:numPr>
          <w:ilvl w:val="0"/>
          <w:numId w:val="5"/>
        </w:numPr>
        <w:spacing w:after="210" w:lineRule="auto"/>
      </w:pPr>
      <w:r>
        <w:rPr>
          <w:b/>
        </w:rPr>
        <w:t xml:space="preserve">Industry Significance:</w:t>
      </w:r>
      <w:r>
        <w:rPr/>
        <w:t xml:space="preserve"> As a multinational subsidiary with global best practices, HUL exemplifies advanced working capital strategies that are instructive for MBA finance students and practitioners.</w:t>
      </w:r>
    </w:p>
    <w:p>
      <w:pPr>
        <w:spacing w:line="271" w:before="240" w:lineRule="auto"/>
      </w:pPr>
      <w:bookmarkStart w:id="6" w:name="bm_1_3_project_scope_objectives"/>
      <w:r>
        <w:rPr>
          <w:b/>
          <w:sz w:val="33"/>
        </w:rPr>
        <w:t xml:space="preserve">1.3 Project Scope &amp; Objectives</w:t>
      </w:r>
      <w:bookmarkEnd w:id="6"/>
    </w:p>
    <w:p>
      <w:pPr>
        <w:spacing w:after="210" w:lineRule="auto"/>
      </w:pPr>
      <w:r>
        <w:rPr>
          <w:b/>
        </w:rPr>
        <w:t xml:space="preserve">Primary Objectives:</w:t>
      </w:r>
    </w:p>
    <w:p>
      <w:pPr>
        <w:numPr>
          <w:ilvl w:val="0"/>
          <w:numId w:val="6"/>
        </w:numPr>
        <w:spacing w:lineRule="auto"/>
      </w:pPr>
      <w:r>
        <w:rPr/>
        <w:t xml:space="preserve">To understand and explain the concept, components, and objectives of working capital and working capital management.</w:t>
      </w:r>
    </w:p>
    <w:p>
      <w:pPr>
        <w:numPr>
          <w:ilvl w:val="0"/>
          <w:numId w:val="6"/>
        </w:numPr>
        <w:spacing w:lineRule="auto"/>
      </w:pPr>
      <w:r>
        <w:rPr>
          <w:rFonts w:eastAsia="Georgia" w:cs="Georgia" w:ascii="Georgia" w:hAnsi="Georgia"/>
        </w:rPr>
        <w:t xml:space="preserve">To extract, organize, and analyze HUL's working capital data from FY2020–21 to FY2024–25.</w:t>
      </w:r>
    </w:p>
    <w:p>
      <w:pPr>
        <w:numPr>
          <w:ilvl w:val="0"/>
          <w:numId w:val="6"/>
        </w:numPr>
        <w:spacing w:lineRule="auto"/>
      </w:pPr>
      <w:r>
        <w:rPr/>
        <w:t xml:space="preserve">To calculate key working capital metrics and liquidity ratios and interpret their trends.</w:t>
      </w:r>
    </w:p>
    <w:p>
      <w:pPr>
        <w:numPr>
          <w:ilvl w:val="0"/>
          <w:numId w:val="6"/>
        </w:numPr>
        <w:spacing w:lineRule="auto"/>
      </w:pPr>
      <w:r>
        <w:rPr/>
        <w:t xml:space="preserve">To assess the efficiency with which HUL manages cash, receivables, inventory, and payables.</w:t>
      </w:r>
    </w:p>
    <w:p>
      <w:pPr>
        <w:numPr>
          <w:ilvl w:val="0"/>
          <w:numId w:val="6"/>
        </w:numPr>
        <w:spacing w:lineRule="auto"/>
      </w:pPr>
      <w:r>
        <w:rPr/>
        <w:t xml:space="preserve">To evaluate HUL's working capital performance against industry norms and best practices.</w:t>
      </w:r>
    </w:p>
    <w:p>
      <w:pPr>
        <w:numPr>
          <w:ilvl w:val="0"/>
          <w:numId w:val="6"/>
        </w:numPr>
        <w:spacing w:lineRule="auto"/>
      </w:pPr>
      <w:r>
        <w:rPr/>
        <w:t xml:space="preserve">To provide actionable insights and recommendations for improving working capital management.</w:t>
      </w:r>
    </w:p>
    <w:p>
      <w:pPr>
        <w:spacing w:after="210" w:lineRule="auto"/>
      </w:pPr>
      <w:r>
        <w:rPr>
          <w:b/>
        </w:rPr>
        <w:t xml:space="preserve">Scope:</w:t>
      </w:r>
    </w:p>
    <w:p>
      <w:pPr>
        <w:numPr>
          <w:ilvl w:val="0"/>
          <w:numId w:val="7"/>
        </w:numPr>
        <w:spacing w:lineRule="auto"/>
      </w:pPr>
      <w:r>
        <w:rPr>
          <w:b/>
        </w:rPr>
        <w:t xml:space="preserve">Time Period:</w:t>
      </w:r>
      <w:r>
        <w:rPr>
          <w:rFonts w:eastAsia="Georgia" w:cs="Georgia" w:ascii="Georgia" w:hAnsi="Georgia"/>
        </w:rPr>
        <w:t xml:space="preserve"> Five financial years: FY2020–21, FY2021–22, FY2022–23, FY2023–24, FY2024–25.</w:t>
      </w:r>
    </w:p>
    <w:p>
      <w:pPr>
        <w:numPr>
          <w:ilvl w:val="0"/>
          <w:numId w:val="7"/>
        </w:numPr>
        <w:spacing w:lineRule="auto"/>
      </w:pPr>
      <w:r>
        <w:rPr>
          <w:b/>
        </w:rPr>
        <w:t xml:space="preserve">Company:</w:t>
      </w:r>
      <w:r>
        <w:rPr/>
        <w:t xml:space="preserve"> Hindustan Unilever Limited (Listed on NSE: HINDUNILVR).</w:t>
      </w:r>
    </w:p>
    <w:p>
      <w:pPr>
        <w:numPr>
          <w:ilvl w:val="0"/>
          <w:numId w:val="7"/>
        </w:numPr>
        <w:spacing w:lineRule="auto"/>
      </w:pPr>
      <w:r>
        <w:rPr>
          <w:b/>
        </w:rPr>
        <w:t xml:space="preserve">Data Source:</w:t>
      </w:r>
      <w:r>
        <w:rPr/>
        <w:t xml:space="preserve"> HUL's Integrated Annual Reports, Balance Sheets, Income Statements, and Cash Flow Statements.</w:t>
      </w:r>
    </w:p>
    <w:p>
      <w:pPr>
        <w:numPr>
          <w:ilvl w:val="0"/>
          <w:numId w:val="7"/>
        </w:numPr>
        <w:spacing w:lineRule="auto"/>
      </w:pPr>
      <w:r>
        <w:rPr>
          <w:b/>
        </w:rPr>
        <w:t xml:space="preserve">Analysis Type:</w:t>
      </w:r>
      <w:r>
        <w:rPr/>
        <w:t xml:space="preserve"> Descriptive and quantitative analysis of working capital components, ratios, and trends.</w:t>
      </w:r>
    </w:p>
    <w:p>
      <w:pPr>
        <w:spacing w:line="271" w:before="240" w:lineRule="auto"/>
      </w:pPr>
      <w:bookmarkStart w:id="7" w:name="bm_1_4_project_structure"/>
      <w:r>
        <w:rPr>
          <w:b/>
          <w:sz w:val="33"/>
        </w:rPr>
        <w:t xml:space="preserve">1.4 Project Structure</w:t>
      </w:r>
      <w:bookmarkEnd w:id="7"/>
    </w:p>
    <w:p>
      <w:pPr>
        <w:spacing w:after="210" w:lineRule="auto"/>
      </w:pPr>
      <w:r>
        <w:rPr/>
        <w:t xml:space="preserve">The report is organized as follows:</w:t>
      </w:r>
    </w:p>
    <w:p>
      <w:pPr>
        <w:numPr>
          <w:ilvl w:val="0"/>
          <w:numId w:val="8"/>
        </w:numPr>
        <w:spacing w:lineRule="auto"/>
      </w:pPr>
      <w:r>
        <w:rPr>
          <w:b/>
        </w:rPr>
        <w:t xml:space="preserve">Sections 1–4:</w:t>
      </w:r>
      <w:r>
        <w:rPr/>
        <w:t xml:space="preserve"> Introduction, company profile, theoretical framework, and methodology.</w:t>
      </w:r>
    </w:p>
    <w:p>
      <w:pPr>
        <w:numPr>
          <w:ilvl w:val="0"/>
          <w:numId w:val="8"/>
        </w:numPr>
        <w:spacing w:lineRule="auto"/>
      </w:pPr>
      <w:r>
        <w:rPr>
          <w:b/>
        </w:rPr>
        <w:t xml:space="preserve">Sections 5–9:</w:t>
      </w:r>
      <w:r>
        <w:rPr/>
        <w:t xml:space="preserve"> Detailed quantitative analysis of working capital components, liquidity, efficiency, trends, and cash conversion.</w:t>
      </w:r>
    </w:p>
    <w:p>
      <w:pPr>
        <w:numPr>
          <w:ilvl w:val="0"/>
          <w:numId w:val="8"/>
        </w:numPr>
        <w:spacing w:lineRule="auto"/>
      </w:pPr>
      <w:r>
        <w:rPr>
          <w:b/>
        </w:rPr>
        <w:t xml:space="preserve">Sections 10–13:</w:t>
      </w:r>
      <w:r>
        <w:rPr/>
        <w:t xml:space="preserve"> Comparative analysis, findings, recommendations, and conclusion.</w:t>
      </w:r>
    </w:p>
    <w:p>
      <w:pPr>
        <w:numPr>
          <w:ilvl w:val="0"/>
          <w:numId w:val="8"/>
        </w:numPr>
        <w:spacing w:lineRule="auto"/>
      </w:pPr>
      <w:r>
        <w:rPr>
          <w:b/>
        </w:rPr>
        <w:t xml:space="preserve">Supporting Appendices:</w:t>
      </w:r>
      <w:r>
        <w:rPr/>
        <w:t xml:space="preserve"> Detailed Excel calculations, ratio tables, and charts.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2_company_profile_hindustan_un_766723"/>
      <w:r>
        <w:rPr>
          <w:b/>
          <w:sz w:val="42"/>
        </w:rPr>
        <w:t xml:space="preserve">2. COMPANY PROFILE: HINDUSTAN UNILEVER LIMITED</w:t>
      </w:r>
      <w:bookmarkEnd w:id="8"/>
    </w:p>
    <w:p>
      <w:pPr>
        <w:spacing w:line="271" w:before="240" w:lineRule="auto"/>
      </w:pPr>
      <w:bookmarkStart w:id="9" w:name="bm_2_1_company_overview"/>
      <w:r>
        <w:rPr>
          <w:b/>
          <w:sz w:val="33"/>
        </w:rPr>
        <w:t xml:space="preserve">2.1 Company Overview</w:t>
      </w:r>
      <w:bookmarkEnd w:id="9"/>
    </w:p>
    <w:p>
      <w:pPr>
        <w:spacing w:after="210" w:lineRule="auto"/>
      </w:pPr>
      <w:r>
        <w:rPr>
          <w:b/>
        </w:rPr>
        <w:t xml:space="preserve">Name:</w:t>
      </w:r>
      <w:r>
        <w:rPr/>
        <w:t xml:space="preserve"> Hindustan Unilever Limited (HUL)</w:t>
      </w:r>
    </w:p>
    <w:p>
      <w:pPr>
        <w:spacing w:after="210" w:lineRule="auto"/>
      </w:pPr>
      <w:r>
        <w:rPr>
          <w:b/>
        </w:rPr>
        <w:t xml:space="preserve">Headquarters:</w:t>
      </w:r>
      <w:r>
        <w:rPr/>
        <w:t xml:space="preserve"> Mumbai, Maharashtra, India</w:t>
      </w:r>
    </w:p>
    <w:p>
      <w:pPr>
        <w:spacing w:after="210" w:lineRule="auto"/>
      </w:pPr>
      <w:r>
        <w:rPr>
          <w:b/>
        </w:rPr>
        <w:t xml:space="preserve">Stock Exchange Listing:</w:t>
      </w:r>
      <w:r>
        <w:rPr/>
        <w:t xml:space="preserve"> National Stock Exchange (NSE): </w:t>
      </w:r>
      <w:r>
        <w:rPr>
          <w:b/>
        </w:rPr>
        <w:t xml:space="preserve">HINDUNILVR</w:t>
      </w:r>
      <w:r>
        <w:rPr/>
        <w:t xml:space="preserve">; Bombay Stock Exchange (BSE): </w:t>
      </w:r>
      <w:r>
        <w:rPr>
          <w:b/>
        </w:rPr>
        <w:t xml:space="preserve">500696</w:t>
      </w:r>
    </w:p>
    <w:p>
      <w:pPr>
        <w:spacing w:after="210" w:lineRule="auto"/>
      </w:pPr>
      <w:r>
        <w:rPr>
          <w:b/>
        </w:rPr>
        <w:t xml:space="preserve">Ownership:</w:t>
      </w:r>
      <w:r>
        <w:rPr/>
        <w:t xml:space="preserve"> Subsidiary of Unilever PLC (UK), a global consumer goods multinational with operations in 190+ countries.</w:t>
      </w:r>
    </w:p>
    <w:p>
      <w:pPr>
        <w:spacing w:after="210" w:lineRule="auto"/>
      </w:pPr>
      <w:r>
        <w:rPr>
          <w:b/>
        </w:rPr>
        <w:t xml:space="preserve">Incorporation:</w:t>
      </w:r>
      <w:r>
        <w:rPr/>
        <w:t xml:space="preserve"> Founded as Hindustan Lever Limited in 1933; later renamed Hindustan Unilever in 2007.</w:t>
      </w:r>
    </w:p>
    <w:p>
      <w:pPr>
        <w:spacing w:after="210" w:lineRule="auto"/>
      </w:pPr>
      <w:r>
        <w:rPr>
          <w:b/>
        </w:rPr>
        <w:t xml:space="preserve">Market Position:</w:t>
      </w:r>
      <w:r>
        <w:rPr>
          <w:rFonts w:eastAsia="Georgia" w:cs="Georgia" w:ascii="Georgia" w:hAnsi="Georgia"/>
        </w:rPr>
        <w:t xml:space="preserve"> Among the largest and most valuable FMCG companies in India, with a market capitalization exceeding ₹5 lakh crore (as of FY2024–25).</w:t>
      </w:r>
    </w:p>
    <w:p>
      <w:pPr>
        <w:spacing w:line="271" w:before="240" w:lineRule="auto"/>
      </w:pPr>
      <w:bookmarkStart w:id="10" w:name="bm_2_2_business_segments"/>
      <w:r>
        <w:rPr>
          <w:b/>
          <w:sz w:val="33"/>
        </w:rPr>
        <w:t xml:space="preserve">2.2 Business Segments</w:t>
      </w:r>
      <w:bookmarkEnd w:id="10"/>
    </w:p>
    <w:p>
      <w:pPr>
        <w:spacing w:after="210" w:lineRule="auto"/>
      </w:pPr>
      <w:r>
        <w:rPr/>
        <w:t xml:space="preserve">HUL operates across three major segments:</w:t>
      </w:r>
    </w:p>
    <w:p>
      <w:pPr>
        <w:spacing w:after="210" w:lineRule="auto"/>
      </w:pPr>
      <w:r>
        <w:rPr>
          <w:b/>
        </w:rPr>
        <w:t xml:space="preserve">1. Home Care (approx. 30–35% of revenue)</w:t>
      </w:r>
    </w:p>
    <w:p>
      <w:pPr>
        <w:numPr>
          <w:ilvl w:val="0"/>
          <w:numId w:val="9"/>
        </w:numPr>
        <w:spacing w:lineRule="auto"/>
      </w:pPr>
      <w:r>
        <w:rPr/>
        <w:t xml:space="preserve">Detergents: Surf, Rin, Wheel</w:t>
      </w:r>
    </w:p>
    <w:p>
      <w:pPr>
        <w:numPr>
          <w:ilvl w:val="0"/>
          <w:numId w:val="9"/>
        </w:numPr>
        <w:spacing w:lineRule="auto"/>
      </w:pPr>
      <w:r>
        <w:rPr/>
        <w:t xml:space="preserve">Soaps: Lifebuoy, Dettol</w:t>
      </w:r>
    </w:p>
    <w:p>
      <w:pPr>
        <w:numPr>
          <w:ilvl w:val="0"/>
          <w:numId w:val="9"/>
        </w:numPr>
        <w:spacing w:lineRule="auto"/>
      </w:pPr>
      <w:r>
        <w:rPr/>
        <w:t xml:space="preserve">Air Care: Mortein</w:t>
      </w:r>
    </w:p>
    <w:p>
      <w:pPr>
        <w:numPr>
          <w:ilvl w:val="0"/>
          <w:numId w:val="9"/>
        </w:numPr>
        <w:spacing w:lineRule="auto"/>
      </w:pPr>
      <w:r>
        <w:rPr/>
        <w:t xml:space="preserve">Water Purifiers: Pureit</w:t>
      </w:r>
    </w:p>
    <w:p>
      <w:pPr>
        <w:spacing w:after="210" w:lineRule="auto"/>
      </w:pPr>
      <w:r>
        <w:rPr>
          <w:b/>
        </w:rPr>
        <w:t xml:space="preserve">2. Beauty &amp; Personal Care (approx. 35–40% of revenue)</w:t>
      </w:r>
    </w:p>
    <w:p>
      <w:pPr>
        <w:numPr>
          <w:ilvl w:val="0"/>
          <w:numId w:val="10"/>
        </w:numPr>
        <w:spacing w:lineRule="auto"/>
      </w:pPr>
      <w:r>
        <w:rPr/>
        <w:t xml:space="preserve">Hair Care: Dove, Sunsilk, Clinic</w:t>
      </w:r>
    </w:p>
    <w:p>
      <w:pPr>
        <w:numPr>
          <w:ilvl w:val="0"/>
          <w:numId w:val="10"/>
        </w:numPr>
        <w:spacing w:lineRule="auto"/>
      </w:pPr>
      <w:r>
        <w:rPr/>
        <w:t xml:space="preserve">Oral Care: Closeup, Pepsodent</w:t>
      </w:r>
    </w:p>
    <w:p>
      <w:pPr>
        <w:numPr>
          <w:ilvl w:val="0"/>
          <w:numId w:val="10"/>
        </w:numPr>
        <w:spacing w:lineRule="auto"/>
      </w:pPr>
      <w:r>
        <w:rPr/>
        <w:t xml:space="preserve">Deodorants: Axe, Rexona</w:t>
      </w:r>
    </w:p>
    <w:p>
      <w:pPr>
        <w:numPr>
          <w:ilvl w:val="0"/>
          <w:numId w:val="10"/>
        </w:numPr>
        <w:spacing w:lineRule="auto"/>
      </w:pPr>
      <w:r>
        <w:rPr/>
        <w:t xml:space="preserve">Skin Care: Pond's, Vaseline, Fair &amp; Lovely</w:t>
      </w:r>
    </w:p>
    <w:p>
      <w:pPr>
        <w:spacing w:after="210" w:lineRule="auto"/>
      </w:pPr>
      <w:r>
        <w:rPr>
          <w:b/>
        </w:rPr>
        <w:t xml:space="preserve">3. Foods &amp; Refreshments (approx. 25–30% of revenue)</w:t>
      </w:r>
    </w:p>
    <w:p>
      <w:pPr>
        <w:numPr>
          <w:ilvl w:val="0"/>
          <w:numId w:val="11"/>
        </w:numPr>
        <w:spacing w:lineRule="auto"/>
      </w:pPr>
      <w:r>
        <w:rPr/>
        <w:t xml:space="preserve">Tea: Lipton, Brooke Bond</w:t>
      </w:r>
    </w:p>
    <w:p>
      <w:pPr>
        <w:numPr>
          <w:ilvl w:val="0"/>
          <w:numId w:val="11"/>
        </w:numPr>
        <w:spacing w:lineRule="auto"/>
      </w:pPr>
      <w:r>
        <w:rPr/>
        <w:t xml:space="preserve">Instant Coffee: Bru</w:t>
      </w:r>
    </w:p>
    <w:p>
      <w:pPr>
        <w:numPr>
          <w:ilvl w:val="0"/>
          <w:numId w:val="11"/>
        </w:numPr>
        <w:spacing w:lineRule="auto"/>
      </w:pPr>
      <w:r>
        <w:rPr/>
        <w:t xml:space="preserve">Condiments: Knorr, Hellmann's</w:t>
      </w:r>
    </w:p>
    <w:p>
      <w:pPr>
        <w:numPr>
          <w:ilvl w:val="0"/>
          <w:numId w:val="11"/>
        </w:numPr>
        <w:spacing w:lineRule="auto"/>
      </w:pPr>
      <w:r>
        <w:rPr/>
        <w:t xml:space="preserve">Ice Cream: Magnum, Cornetto, Creambell</w:t>
      </w:r>
    </w:p>
    <w:p>
      <w:pPr>
        <w:spacing w:line="271" w:before="240" w:lineRule="auto"/>
      </w:pPr>
      <w:bookmarkStart w:id="11" w:name="bm_2_3_key_operational_metrics_fy_10a45f"/>
      <w:r>
        <w:rPr>
          <w:rFonts w:eastAsia="Georgia" w:cs="Georgia" w:ascii="Georgia" w:hAnsi="Georgia"/>
          <w:b/>
          <w:sz w:val="33"/>
        </w:rPr>
        <w:t xml:space="preserve">2.3 Key Operational Metrics (FY2024–25, Indicative)</w:t>
      </w:r>
      <w:bookmarkEnd w:id="11"/>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Metric</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FY2024–25</w:t>
            </w:r>
          </w:p>
        </w:tc>
      </w:tr>
      <w:tr>
        <w:trPr>
          <w:cantSplit/>
        </w:trPr>
        <w:tc>
          <w:tcPr>
            <w:tcBorders>
              <w:top w:val="single" w:sz="1" w:space="0" w:color="000000"/>
              <w:bottom w:val="single" w:sz="1" w:space="0" w:color="000000"/>
            </w:tcBorders>
          </w:tcPr>
          <w:p>
            <w:pPr>
              <w:spacing w:lineRule="auto"/>
            </w:pPr>
            <w:r>
              <w:rPr>
                <w:b/>
              </w:rPr>
              <w:t xml:space="preserve">Total Revenue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~₹46,000–48,000 Cr</w:t>
            </w:r>
          </w:p>
        </w:tc>
      </w:tr>
      <w:tr>
        <w:trPr>
          <w:cantSplit/>
        </w:trPr>
        <w:tc>
          <w:tcPr>
            <w:tcBorders>
              <w:top w:val="single" w:sz="1" w:space="0" w:color="000000"/>
              <w:bottom w:val="single" w:sz="1" w:space="0" w:color="000000"/>
            </w:tcBorders>
          </w:tcPr>
          <w:p>
            <w:pPr>
              <w:spacing w:lineRule="auto"/>
            </w:pPr>
            <w:r>
              <w:rPr>
                <w:b/>
              </w:rPr>
              <w:t xml:space="preserve">Operating Profit Margin</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~15–17%</w:t>
            </w:r>
          </w:p>
        </w:tc>
      </w:tr>
      <w:tr>
        <w:trPr>
          <w:cantSplit/>
        </w:trPr>
        <w:tc>
          <w:tcPr>
            <w:tcBorders>
              <w:top w:val="single" w:sz="1" w:space="0" w:color="000000"/>
              <w:bottom w:val="single" w:sz="1" w:space="0" w:color="000000"/>
            </w:tcBorders>
          </w:tcPr>
          <w:p>
            <w:pPr>
              <w:spacing w:lineRule="auto"/>
            </w:pPr>
            <w:r>
              <w:rPr>
                <w:b/>
              </w:rPr>
              <w:t xml:space="preserve">Return on Capital Employed (ROCE)</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~35–40%</w:t>
            </w:r>
          </w:p>
        </w:tc>
      </w:tr>
      <w:tr>
        <w:trPr>
          <w:cantSplit/>
        </w:trPr>
        <w:tc>
          <w:tcPr>
            <w:tcBorders>
              <w:top w:val="single" w:sz="1" w:space="0" w:color="000000"/>
              <w:bottom w:val="single" w:sz="1" w:space="0" w:color="000000"/>
            </w:tcBorders>
          </w:tcPr>
          <w:p>
            <w:pPr>
              <w:spacing w:lineRule="auto"/>
            </w:pPr>
            <w:r>
              <w:rPr>
                <w:b/>
              </w:rPr>
              <w:t xml:space="preserve">Total Employees</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~18,000+</w:t>
            </w:r>
          </w:p>
        </w:tc>
      </w:tr>
      <w:tr>
        <w:trPr>
          <w:cantSplit/>
        </w:trPr>
        <w:tc>
          <w:tcPr>
            <w:tcBorders>
              <w:top w:val="single" w:sz="1" w:space="0" w:color="000000"/>
              <w:bottom w:val="single" w:sz="1" w:space="0" w:color="000000"/>
            </w:tcBorders>
          </w:tcPr>
          <w:p>
            <w:pPr>
              <w:spacing w:lineRule="auto"/>
            </w:pPr>
            <w:r>
              <w:rPr>
                <w:b/>
              </w:rPr>
              <w:t xml:space="preserve">Distribution Network</w:t>
            </w:r>
          </w:p>
        </w:tc>
        <w:tc>
          <w:tcPr>
            <w:tcBorders>
              <w:top w:val="single" w:sz="1" w:space="0" w:color="000000"/>
              <w:left w:val="single" w:sz="1" w:space="0" w:color="000000"/>
              <w:bottom w:val="single" w:sz="1" w:space="0" w:color="000000"/>
            </w:tcBorders>
          </w:tcPr>
          <w:p>
            <w:pPr>
              <w:spacing w:lineRule="auto"/>
            </w:pPr>
            <w:r>
              <w:rPr/>
              <w:t xml:space="preserve">2 million+ outlets across India</w:t>
            </w:r>
          </w:p>
        </w:tc>
      </w:tr>
    </w:tbl>
    <w:p>
      <w:pPr>
        <w:spacing w:lineRule="auto"/>
      </w:pPr>
    </w:p>
    <w:p>
      <w:pPr>
        <w:spacing w:line="271" w:before="240" w:lineRule="auto"/>
      </w:pPr>
      <w:bookmarkStart w:id="12" w:name="bm_2_4_strategic_advantages"/>
      <w:r>
        <w:rPr>
          <w:b/>
          <w:sz w:val="33"/>
        </w:rPr>
        <w:t xml:space="preserve">2.4 Strategic Advantages</w:t>
      </w:r>
      <w:bookmarkEnd w:id="12"/>
    </w:p>
    <w:p>
      <w:pPr>
        <w:numPr>
          <w:ilvl w:val="0"/>
          <w:numId w:val="12"/>
        </w:numPr>
        <w:spacing w:lineRule="auto"/>
      </w:pPr>
      <w:r>
        <w:rPr>
          <w:b/>
        </w:rPr>
        <w:t xml:space="preserve">Brand Portfolio:</w:t>
      </w:r>
      <w:r>
        <w:rPr/>
        <w:t xml:space="preserve"> Over 20 globally recognized brands trusted by Indian consumers.</w:t>
      </w:r>
    </w:p>
    <w:p>
      <w:pPr>
        <w:numPr>
          <w:ilvl w:val="0"/>
          <w:numId w:val="12"/>
        </w:numPr>
        <w:spacing w:lineRule="auto"/>
      </w:pPr>
      <w:r>
        <w:rPr>
          <w:b/>
        </w:rPr>
        <w:t xml:space="preserve">Market Dominance:</w:t>
      </w:r>
      <w:r>
        <w:rPr/>
        <w:t xml:space="preserve"> Category leadership in home care, personal care, and foods across India.</w:t>
      </w:r>
    </w:p>
    <w:p>
      <w:pPr>
        <w:numPr>
          <w:ilvl w:val="0"/>
          <w:numId w:val="12"/>
        </w:numPr>
        <w:spacing w:lineRule="auto"/>
      </w:pPr>
      <w:r>
        <w:rPr>
          <w:b/>
        </w:rPr>
        <w:t xml:space="preserve">Supply Chain Excellence:</w:t>
      </w:r>
      <w:r>
        <w:rPr/>
        <w:t xml:space="preserve"> Integrated manufacturing and distribution, ensuring efficiency.</w:t>
      </w:r>
    </w:p>
    <w:p>
      <w:pPr>
        <w:numPr>
          <w:ilvl w:val="0"/>
          <w:numId w:val="12"/>
        </w:numPr>
        <w:spacing w:lineRule="auto"/>
      </w:pPr>
      <w:r>
        <w:rPr>
          <w:b/>
        </w:rPr>
        <w:t xml:space="preserve">Innovation &amp; Sustainability:</w:t>
      </w:r>
      <w:r>
        <w:rPr/>
        <w:t xml:space="preserve"> Continuous R&amp;D investment and commitment to environmental and social responsibility.</w:t>
      </w:r>
    </w:p>
    <w:p>
      <w:pPr>
        <w:numPr>
          <w:ilvl w:val="0"/>
          <w:numId w:val="12"/>
        </w:numPr>
        <w:spacing w:lineRule="auto"/>
      </w:pPr>
      <w:r>
        <w:rPr>
          <w:b/>
        </w:rPr>
        <w:t xml:space="preserve">Financial Strength:</w:t>
      </w:r>
      <w:r>
        <w:rPr/>
        <w:t xml:space="preserve"> Consistent cash generation and strong balance sheet enabling reinvestment and shareholder returns.</w:t>
      </w:r>
    </w:p>
    <w:p>
      <w:pPr>
        <w:spacing w:line="271" w:before="240" w:lineRule="auto"/>
      </w:pPr>
      <w:bookmarkStart w:id="13" w:name="bm_2_5_relevance_to_working_capit_c9f1a1"/>
      <w:r>
        <w:rPr>
          <w:b/>
          <w:sz w:val="33"/>
        </w:rPr>
        <w:t xml:space="preserve">2.5 Relevance to Working Capital Management</w:t>
      </w:r>
      <w:bookmarkEnd w:id="13"/>
    </w:p>
    <w:p>
      <w:pPr>
        <w:spacing w:after="210" w:lineRule="auto"/>
      </w:pPr>
      <w:r>
        <w:rPr/>
        <w:t xml:space="preserve">HUL is a </w:t>
      </w:r>
      <w:r>
        <w:rPr>
          <w:b/>
        </w:rPr>
        <w:t xml:space="preserve">textbook example</w:t>
      </w:r>
      <w:r>
        <w:rPr/>
        <w:t xml:space="preserve"> of efficient working capital management because:</w:t>
      </w:r>
    </w:p>
    <w:p>
      <w:pPr>
        <w:numPr>
          <w:ilvl w:val="0"/>
          <w:numId w:val="13"/>
        </w:numPr>
        <w:spacing w:lineRule="auto"/>
      </w:pPr>
      <w:r>
        <w:rPr>
          <w:b/>
        </w:rPr>
        <w:t xml:space="preserve">Business Model:</w:t>
      </w:r>
      <w:r>
        <w:rPr/>
        <w:t xml:space="preserve"> High-volume, rapid-turnover FMCG products generate consistent cash flows.</w:t>
      </w:r>
    </w:p>
    <w:p>
      <w:pPr>
        <w:numPr>
          <w:ilvl w:val="0"/>
          <w:numId w:val="13"/>
        </w:numPr>
        <w:spacing w:lineRule="auto"/>
      </w:pPr>
      <w:r>
        <w:rPr>
          <w:b/>
        </w:rPr>
        <w:t xml:space="preserve">Supplier Relations:</w:t>
      </w:r>
      <w:r>
        <w:rPr/>
        <w:t xml:space="preserve"> Strong bargaining power enables favorable payment terms, often resulting in negative working capital.</w:t>
      </w:r>
    </w:p>
    <w:p>
      <w:pPr>
        <w:numPr>
          <w:ilvl w:val="0"/>
          <w:numId w:val="13"/>
        </w:numPr>
        <w:spacing w:lineRule="auto"/>
      </w:pPr>
      <w:r>
        <w:rPr>
          <w:b/>
        </w:rPr>
        <w:t xml:space="preserve">Inventory Management:</w:t>
      </w:r>
      <w:r>
        <w:rPr/>
        <w:t xml:space="preserve"> Efficient distribution and demand-driven logistics minimize inventory holding periods.</w:t>
      </w:r>
    </w:p>
    <w:p>
      <w:pPr>
        <w:numPr>
          <w:ilvl w:val="0"/>
          <w:numId w:val="13"/>
        </w:numPr>
        <w:spacing w:lineRule="auto"/>
      </w:pPr>
      <w:r>
        <w:rPr>
          <w:b/>
        </w:rPr>
        <w:t xml:space="preserve">Customer Base:</w:t>
      </w:r>
      <w:r>
        <w:rPr/>
        <w:t xml:space="preserve"> Direct relationships with distributors and retailers ensure quick cash collection.</w:t>
      </w:r>
    </w:p>
    <w:p>
      <w:pPr>
        <w:numPr>
          <w:ilvl w:val="0"/>
          <w:numId w:val="13"/>
        </w:numPr>
        <w:spacing w:lineRule="auto"/>
      </w:pPr>
      <w:r>
        <w:rPr>
          <w:b/>
        </w:rPr>
        <w:t xml:space="preserve">Profitability:</w:t>
      </w:r>
      <w:r>
        <w:rPr/>
        <w:t xml:space="preserve"> High operating margins and ROCE demonstrate that lean working capital does not compromise profitability.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bm_3_theoretical_framework_concepts"/>
      <w:r>
        <w:rPr>
          <w:b/>
          <w:sz w:val="42"/>
        </w:rPr>
        <w:t xml:space="preserve">3. THEORETICAL FRAMEWORK &amp; CONCEPTS</w:t>
      </w:r>
      <w:bookmarkEnd w:id="14"/>
    </w:p>
    <w:p>
      <w:pPr>
        <w:spacing w:line="271" w:before="240" w:lineRule="auto"/>
      </w:pPr>
      <w:bookmarkStart w:id="15" w:name="bm_3_1_definition_of_working_capital"/>
      <w:r>
        <w:rPr>
          <w:b/>
          <w:sz w:val="33"/>
        </w:rPr>
        <w:t xml:space="preserve">3.1 Definition of Working Capital</w:t>
      </w:r>
      <w:bookmarkEnd w:id="15"/>
    </w:p>
    <w:p>
      <w:pPr>
        <w:spacing w:after="210" w:lineRule="auto"/>
      </w:pPr>
      <w:r>
        <w:rPr>
          <w:b/>
        </w:rPr>
        <w:t xml:space="preserve">Working Capital</w:t>
      </w:r>
      <w:r>
        <w:rPr/>
        <w:t xml:space="preserve"> is the difference between a company's current assets and current liabilities:</w:t>
      </w:r>
    </w:p>
    <w:p>
      <w:pPr>
        <w:spacing w:after="210" w:lineRule="auto"/>
      </w:pPr>
      <m:oMathPara>
        <m:oMath>
          <m:r>
            <m:rPr>
              <m:nor/>
            </m:rPr>
            <m:t>Working Capital (WC)</m:t>
          </m:r>
          <m:r>
            <m:rPr>
              <m:sty m:val="p"/>
            </m:rPr>
            <m:t>=</m:t>
          </m:r>
          <m:r>
            <m:rPr>
              <m:nor/>
            </m:rPr>
            <m:t>Current Assets</m:t>
          </m:r>
          <m:r>
            <m:rPr>
              <m:sty m:val="p"/>
            </m:rPr>
            <m:t>−</m:t>
          </m:r>
          <m:r>
            <m:rPr>
              <m:nor/>
            </m:rPr>
            <m:t>Current Liabilities</m:t>
          </m:r>
        </m:oMath>
      </m:oMathPara>
    </w:p>
    <w:p>
      <w:pPr>
        <w:spacing w:after="210" w:lineRule="auto"/>
      </w:pPr>
      <w:r>
        <w:rPr>
          <w:b/>
        </w:rPr>
        <w:t xml:space="preserve">Working Capital</w:t>
      </w:r>
      <w:r>
        <w:rPr/>
        <w:t xml:space="preserve"> represents the </w:t>
      </w:r>
      <w:r>
        <w:rPr>
          <w:b/>
        </w:rPr>
        <w:t xml:space="preserve">net amount of short-term resources</w:t>
      </w:r>
      <w:r>
        <w:rPr/>
        <w:t xml:space="preserve"> available to the company to fund operations, pay suppliers, and meet short-term obligations without resorting to long-term debt or equity issuance.</w:t>
      </w:r>
    </w:p>
    <w:p>
      <w:pPr>
        <w:spacing w:after="210" w:lineRule="auto"/>
      </w:pPr>
      <w:r>
        <w:rPr>
          <w:b/>
        </w:rPr>
        <w:t xml:space="preserve">Types of Working Capital:</w:t>
      </w:r>
    </w:p>
    <w:p>
      <w:pPr>
        <w:numPr>
          <w:ilvl w:val="0"/>
          <w:numId w:val="14"/>
        </w:numPr>
        <w:spacing w:lineRule="auto"/>
      </w:pPr>
      <w:r>
        <w:rPr>
          <w:b/>
        </w:rPr>
        <w:t xml:space="preserve">Gross Working Capital:</w:t>
      </w:r>
      <w:r>
        <w:rPr/>
        <w:t xml:space="preserve"> Total current assets (also called working capital assets).</w:t>
      </w:r>
    </w:p>
    <w:p>
      <w:pPr>
        <w:numPr>
          <w:ilvl w:val="0"/>
          <w:numId w:val="14"/>
        </w:numPr>
        <w:spacing w:lineRule="auto"/>
      </w:pPr>
      <w:r>
        <w:rPr>
          <w:b/>
        </w:rPr>
        <w:t xml:space="preserve">Net Working Capital (NWC):</w:t>
      </w:r>
      <w:r>
        <w:rPr/>
        <w:t xml:space="preserve"> Current assets minus current liabilities; the metric most commonly used in analysis.</w:t>
      </w:r>
    </w:p>
    <w:p>
      <w:pPr>
        <w:spacing w:line="271" w:before="240" w:lineRule="auto"/>
      </w:pPr>
      <w:bookmarkStart w:id="16" w:name="bm_3_2_components_of_working_capital"/>
      <w:r>
        <w:rPr>
          <w:b/>
          <w:sz w:val="33"/>
        </w:rPr>
        <w:t xml:space="preserve">3.2 Components of Working Capital</w:t>
      </w:r>
      <w:bookmarkEnd w:id="16"/>
    </w:p>
    <w:p>
      <w:pPr>
        <w:spacing w:line="271" w:before="240" w:lineRule="auto"/>
      </w:pPr>
      <w:bookmarkStart w:id="17" w:name="bm_3_2_1_current_assets"/>
      <w:r>
        <w:rPr>
          <w:b/>
          <w:sz w:val="28"/>
        </w:rPr>
        <w:t xml:space="preserve">3.2.1 Current Assets</w:t>
      </w:r>
      <w:bookmarkEnd w:id="17"/>
    </w:p>
    <w:p>
      <w:pPr>
        <w:spacing w:after="210" w:lineRule="auto"/>
      </w:pPr>
      <w:r>
        <w:rPr/>
        <w:t xml:space="preserve">Current assets are expected to be converted into cash or used up within 12 months: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Cash &amp; Cash Equivalents</w:t>
            </w:r>
          </w:p>
        </w:tc>
        <w:tc>
          <w:tcPr>
            <w:tcBorders>
              <w:bottom w:val="single" w:sz="8" w:space="0" w:color="000000"/>
              <w:right w:val="single" w:sz="8" w:space="0" w:color="000000"/>
            </w:tcBorders>
            <w:vAlign w:val="top"/>
          </w:tcPr>
          <w:p>
            <w:pPr>
              <w:spacing w:lineRule="auto"/>
              <w:jc w:val="left"/>
            </w:pPr>
            <w:r>
              <w:rPr/>
              <w:t xml:space="preserve">Physical cash, bank balances, short-term deposits easily convertible to cash.</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Marketable Securities</w:t>
            </w:r>
          </w:p>
        </w:tc>
        <w:tc>
          <w:tcPr>
            <w:tcBorders>
              <w:bottom w:val="single" w:sz="8" w:space="0" w:color="000000"/>
              <w:right w:val="single" w:sz="8" w:space="0" w:color="000000"/>
            </w:tcBorders>
            <w:vAlign w:val="top"/>
          </w:tcPr>
          <w:p>
            <w:pPr>
              <w:spacing w:lineRule="auto"/>
              <w:jc w:val="left"/>
            </w:pPr>
            <w:r>
              <w:rPr/>
              <w:t xml:space="preserve">Short-term, liquid investments in treasury bills, commercial paper.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Accounts Receivable</w:t>
            </w:r>
          </w:p>
        </w:tc>
        <w:tc>
          <w:tcPr>
            <w:tcBorders>
              <w:bottom w:val="single" w:sz="8" w:space="0" w:color="000000"/>
              <w:right w:val="single" w:sz="8" w:space="0" w:color="000000"/>
            </w:tcBorders>
            <w:vAlign w:val="top"/>
          </w:tcPr>
          <w:p>
            <w:pPr>
              <w:spacing w:lineRule="auto"/>
              <w:jc w:val="left"/>
            </w:pPr>
            <w:r>
              <w:rPr/>
              <w:t xml:space="preserve">Money owed by customers for goods sold on credit.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Inventories</w:t>
            </w:r>
          </w:p>
        </w:tc>
        <w:tc>
          <w:tcPr>
            <w:tcBorders>
              <w:bottom w:val="single" w:sz="8" w:space="0" w:color="000000"/>
              <w:right w:val="single" w:sz="8" w:space="0" w:color="000000"/>
            </w:tcBorders>
            <w:vAlign w:val="top"/>
          </w:tcPr>
          <w:p>
            <w:pPr>
              <w:spacing w:lineRule="auto"/>
              <w:jc w:val="left"/>
            </w:pPr>
            <w:r>
              <w:rPr/>
              <w:t xml:space="preserve">Raw materials, work-in-progress, and finished goods held for sale.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Prepaid Expenses</w:t>
            </w:r>
          </w:p>
        </w:tc>
        <w:tc>
          <w:tcPr>
            <w:tcBorders>
              <w:bottom w:val="single" w:sz="8" w:space="0" w:color="000000"/>
              <w:right w:val="single" w:sz="8" w:space="0" w:color="000000"/>
            </w:tcBorders>
            <w:vAlign w:val="top"/>
          </w:tcPr>
          <w:p>
            <w:pPr>
              <w:spacing w:lineRule="auto"/>
              <w:jc w:val="left"/>
            </w:pPr>
            <w:r>
              <w:rPr/>
              <w:t xml:space="preserve">Advance payments for expenses (e.g., insurance, rent paid in advance).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Short-term Loans &amp; Advances</w:t>
            </w:r>
          </w:p>
        </w:tc>
        <w:tc>
          <w:tcPr>
            <w:tcBorders>
              <w:bottom w:val="single" w:sz="8" w:space="0" w:color="000000"/>
              <w:right w:val="single" w:sz="8" w:space="0" w:color="000000"/>
            </w:tcBorders>
            <w:vAlign w:val="top"/>
          </w:tcPr>
          <w:p>
            <w:pPr>
              <w:spacing w:lineRule="auto"/>
              <w:jc w:val="left"/>
            </w:pPr>
            <w:r>
              <w:rPr/>
              <w:t xml:space="preserve">Loans extended to employees or related parties, expected to be repaid within 12 months.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Other Current Assets</w:t>
            </w:r>
          </w:p>
        </w:tc>
        <w:tc>
          <w:tcPr>
            <w:tcBorders>
              <w:bottom w:val="single" w:sz="8" w:space="0" w:color="000000"/>
              <w:right w:val="single" w:sz="8" w:space="0" w:color="000000"/>
            </w:tcBorders>
            <w:vAlign w:val="top"/>
          </w:tcPr>
          <w:p>
            <w:pPr>
              <w:spacing w:lineRule="auto"/>
              <w:jc w:val="left"/>
            </w:pPr>
            <w:r>
              <w:rPr/>
              <w:t xml:space="preserve">GST receivable, tax refunds due, other receivables.</w:t>
            </w:r>
          </w:p>
        </w:tc>
      </w:tr>
    </w:tbl>
    <w:p>
      <w:pPr>
        <w:spacing w:lineRule="auto"/>
      </w:pPr>
    </w:p>
    <w:p>
      <w:pPr>
        <w:spacing w:lineRule="auto"/>
      </w:pPr>
      <w:r>
        <w:rPr/>
        <w:t xml:space="preserve">Table 1: Components of Current Assets</w:t>
      </w:r>
    </w:p>
    <w:p>
      <w:pPr>
        <w:spacing w:line="271" w:before="240" w:lineRule="auto"/>
      </w:pPr>
      <w:bookmarkStart w:id="18" w:name="bm_3_2_2_current_liabilities"/>
      <w:r>
        <w:rPr>
          <w:b/>
          <w:sz w:val="28"/>
        </w:rPr>
        <w:t xml:space="preserve">3.2.2 Current Liabilities</w:t>
      </w:r>
      <w:bookmarkEnd w:id="18"/>
    </w:p>
    <w:p>
      <w:pPr>
        <w:spacing w:after="210" w:lineRule="auto"/>
      </w:pPr>
      <w:r>
        <w:rPr/>
        <w:t xml:space="preserve">Current liabilities are obligations expected to be paid or settled within 12 months: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Accounts Payable</w:t>
            </w:r>
          </w:p>
        </w:tc>
        <w:tc>
          <w:tcPr>
            <w:tcBorders>
              <w:bottom w:val="single" w:sz="8" w:space="0" w:color="000000"/>
              <w:right w:val="single" w:sz="8" w:space="0" w:color="000000"/>
            </w:tcBorders>
            <w:vAlign w:val="top"/>
          </w:tcPr>
          <w:p>
            <w:pPr>
              <w:spacing w:lineRule="auto"/>
              <w:jc w:val="left"/>
            </w:pPr>
            <w:r>
              <w:rPr/>
              <w:t xml:space="preserve">Money owed to suppliers for goods or services purchased on credit.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Short-term Borrowings</w:t>
            </w:r>
          </w:p>
        </w:tc>
        <w:tc>
          <w:tcPr>
            <w:tcBorders>
              <w:bottom w:val="single" w:sz="8" w:space="0" w:color="000000"/>
              <w:right w:val="single" w:sz="8" w:space="0" w:color="000000"/>
            </w:tcBorders>
            <w:vAlign w:val="top"/>
          </w:tcPr>
          <w:p>
            <w:pPr>
              <w:spacing w:lineRule="auto"/>
              <w:jc w:val="left"/>
            </w:pPr>
            <w:r>
              <w:rPr/>
              <w:t xml:space="preserve">Loans, overdrafts, or lines of credit due within 12 months.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Accrued Expenses</w:t>
            </w:r>
          </w:p>
        </w:tc>
        <w:tc>
          <w:tcPr>
            <w:tcBorders>
              <w:bottom w:val="single" w:sz="8" w:space="0" w:color="000000"/>
              <w:right w:val="single" w:sz="8" w:space="0" w:color="000000"/>
            </w:tcBorders>
            <w:vAlign w:val="top"/>
          </w:tcPr>
          <w:p>
            <w:pPr>
              <w:spacing w:lineRule="auto"/>
              <w:jc w:val="left"/>
            </w:pPr>
            <w:r>
              <w:rPr/>
              <w:t xml:space="preserve">Expenses incurred but not yet paid (e.g., salaries, utilities accrued).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Current Portion of Long-term Debt</w:t>
            </w:r>
          </w:p>
        </w:tc>
        <w:tc>
          <w:tcPr>
            <w:tcBorders>
              <w:bottom w:val="single" w:sz="8" w:space="0" w:color="000000"/>
              <w:right w:val="single" w:sz="8" w:space="0" w:color="000000"/>
            </w:tcBorders>
            <w:vAlign w:val="top"/>
          </w:tcPr>
          <w:p>
            <w:pPr>
              <w:spacing w:lineRule="auto"/>
              <w:jc w:val="left"/>
            </w:pPr>
            <w:r>
              <w:rPr/>
              <w:t xml:space="preserve">Portion of long-term loans due within the next 12 months.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Trade Payables</w:t>
            </w:r>
          </w:p>
        </w:tc>
        <w:tc>
          <w:tcPr>
            <w:tcBorders>
              <w:bottom w:val="single" w:sz="8" w:space="0" w:color="000000"/>
              <w:right w:val="single" w:sz="8" w:space="0" w:color="000000"/>
            </w:tcBorders>
            <w:vAlign w:val="top"/>
          </w:tcPr>
          <w:p>
            <w:pPr>
              <w:spacing w:lineRule="auto"/>
              <w:jc w:val="left"/>
            </w:pPr>
            <w:r>
              <w:rPr/>
              <w:t xml:space="preserve">Payables to suppliers of materials and services.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Current Provisions</w:t>
            </w:r>
          </w:p>
        </w:tc>
        <w:tc>
          <w:tcPr>
            <w:tcBorders>
              <w:bottom w:val="single" w:sz="8" w:space="0" w:color="000000"/>
              <w:right w:val="single" w:sz="8" w:space="0" w:color="000000"/>
            </w:tcBorders>
            <w:vAlign w:val="top"/>
          </w:tcPr>
          <w:p>
            <w:pPr>
              <w:spacing w:lineRule="auto"/>
              <w:jc w:val="left"/>
            </w:pPr>
            <w:r>
              <w:rPr/>
              <w:t xml:space="preserve">Provisions for employee benefits, restructuring, warranties.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Other Current Liabilities</w:t>
            </w:r>
          </w:p>
        </w:tc>
        <w:tc>
          <w:tcPr>
            <w:tcBorders>
              <w:bottom w:val="single" w:sz="8" w:space="0" w:color="000000"/>
              <w:right w:val="single" w:sz="8" w:space="0" w:color="000000"/>
            </w:tcBorders>
            <w:vAlign w:val="top"/>
          </w:tcPr>
          <w:p>
            <w:pPr>
              <w:spacing w:lineRule="auto"/>
              <w:jc w:val="left"/>
            </w:pPr>
            <w:r>
              <w:rPr/>
              <w:t xml:space="preserve">GST payable, advance received from customers, dividends payable.</w:t>
            </w:r>
          </w:p>
        </w:tc>
      </w:tr>
    </w:tbl>
    <w:p>
      <w:pPr>
        <w:spacing w:lineRule="auto"/>
      </w:pPr>
    </w:p>
    <w:p>
      <w:pPr>
        <w:spacing w:lineRule="auto"/>
      </w:pPr>
      <w:r>
        <w:rPr/>
        <w:t xml:space="preserve">Table 2: Components of Current Liabilities</w:t>
      </w:r>
    </w:p>
    <w:p>
      <w:pPr>
        <w:spacing w:line="271" w:before="240" w:lineRule="auto"/>
      </w:pPr>
      <w:bookmarkStart w:id="19" w:name="bm_3_3_objectives_of_working_capi_87fb5f"/>
      <w:r>
        <w:rPr>
          <w:b/>
          <w:sz w:val="33"/>
        </w:rPr>
        <w:t xml:space="preserve">3.3 Objectives of Working Capital Management</w:t>
      </w:r>
      <w:bookmarkEnd w:id="19"/>
    </w:p>
    <w:p>
      <w:pPr>
        <w:spacing w:after="210" w:lineRule="auto"/>
      </w:pPr>
      <w:r>
        <w:rPr/>
        <w:t xml:space="preserve">The primary goals of working capital management are:</w:t>
      </w:r>
    </w:p>
    <w:p>
      <w:pPr>
        <w:numPr>
          <w:ilvl w:val="0"/>
          <w:numId w:val="15"/>
        </w:numPr>
        <w:spacing w:after="210" w:lineRule="auto"/>
      </w:pPr>
      <w:r>
        <w:rPr>
          <w:b/>
        </w:rPr>
        <w:t xml:space="preserve">Ensure Liquidity:</w:t>
      </w:r>
      <w:r>
        <w:rPr/>
        <w:t xml:space="preserve"> Maintain sufficient liquid resources to meet short-term obligations promptly without financial distress.</w:t>
      </w:r>
    </w:p>
    <w:p>
      <w:pPr>
        <w:numPr>
          <w:ilvl w:val="0"/>
          <w:numId w:val="15"/>
        </w:numPr>
        <w:spacing w:after="210" w:lineRule="auto"/>
      </w:pPr>
      <w:r>
        <w:rPr>
          <w:b/>
        </w:rPr>
        <w:t xml:space="preserve">Optimize Profitability:</w:t>
      </w:r>
      <w:r>
        <w:rPr/>
        <w:t xml:space="preserve"> Deploy short-term resources efficiently to maximize returns while managing risk.</w:t>
      </w:r>
    </w:p>
    <w:p>
      <w:pPr>
        <w:numPr>
          <w:ilvl w:val="0"/>
          <w:numId w:val="15"/>
        </w:numPr>
        <w:spacing w:after="210" w:lineRule="auto"/>
      </w:pPr>
      <w:r>
        <w:rPr>
          <w:b/>
        </w:rPr>
        <w:t xml:space="preserve">Minimize Cost of Capital:</w:t>
      </w:r>
      <w:r>
        <w:rPr/>
        <w:t xml:space="preserve"> Negotiate favorable terms with suppliers and customers to reduce the cost of financing short-term operations.</w:t>
      </w:r>
    </w:p>
    <w:p>
      <w:pPr>
        <w:numPr>
          <w:ilvl w:val="0"/>
          <w:numId w:val="15"/>
        </w:numPr>
        <w:spacing w:after="210" w:lineRule="auto"/>
      </w:pPr>
      <w:r>
        <w:rPr>
          <w:b/>
        </w:rPr>
        <w:t xml:space="preserve">Support Growth:</w:t>
      </w:r>
      <w:r>
        <w:rPr/>
        <w:t xml:space="preserve"> Generate internal cash flows to fund expansion and capital investment without excessive reliance on external financing.</w:t>
      </w:r>
    </w:p>
    <w:p>
      <w:pPr>
        <w:numPr>
          <w:ilvl w:val="0"/>
          <w:numId w:val="15"/>
        </w:numPr>
        <w:spacing w:after="210" w:lineRule="auto"/>
      </w:pPr>
      <w:r>
        <w:rPr>
          <w:b/>
        </w:rPr>
        <w:t xml:space="preserve">Reduce Risk:</w:t>
      </w:r>
      <w:r>
        <w:rPr/>
        <w:t xml:space="preserve"> Manage exposure to credit risk, operational risk, and liquidity risk through prudent policies.</w:t>
      </w:r>
    </w:p>
    <w:p>
      <w:pPr>
        <w:spacing w:line="271" w:before="240" w:lineRule="auto"/>
      </w:pPr>
      <w:bookmarkStart w:id="20" w:name="bm_3_4_working_capital_cycle_oper_c3277f"/>
      <w:r>
        <w:rPr>
          <w:b/>
          <w:sz w:val="33"/>
        </w:rPr>
        <w:t xml:space="preserve">3.4 Working Capital Cycle (Operating Cycle)</w:t>
      </w:r>
      <w:bookmarkEnd w:id="20"/>
    </w:p>
    <w:p>
      <w:pPr>
        <w:spacing w:after="210" w:lineRule="auto"/>
      </w:pPr>
      <w:r>
        <w:rPr/>
        <w:t xml:space="preserve">The </w:t>
      </w:r>
      <w:r>
        <w:rPr>
          <w:b/>
        </w:rPr>
        <w:t xml:space="preserve">Working Capital Cycle (WCC)</w:t>
      </w:r>
      <w:r>
        <w:rPr/>
        <w:t xml:space="preserve"> or </w:t>
      </w:r>
      <w:r>
        <w:rPr>
          <w:b/>
        </w:rPr>
        <w:t xml:space="preserve">Operating Cycle</w:t>
      </w:r>
      <w:r>
        <w:rPr/>
        <w:t xml:space="preserve"> measures the time taken for cash invested in operations to return to the company:</w:t>
      </w:r>
    </w:p>
    <w:p>
      <w:pPr>
        <w:spacing w:after="210" w:lineRule="auto"/>
      </w:pPr>
      <m:oMathPara>
        <m:oMath>
          <m:r>
            <m:rPr>
              <m:nor/>
            </m:rPr>
            <m:t>WCC (in days)</m:t>
          </m:r>
          <m:r>
            <m:rPr>
              <m:sty m:val="p"/>
            </m:rPr>
            <m:t>=</m:t>
          </m:r>
          <m:r>
            <m:rPr>
              <m:nor/>
            </m:rPr>
            <m:t>Days Inventory Outstanding (DIO)</m:t>
          </m:r>
          <m:r>
            <m:rPr>
              <m:sty m:val="p"/>
            </m:rPr>
            <m:t>+</m:t>
          </m:r>
          <m:r>
            <m:rPr>
              <m:nor/>
            </m:rPr>
            <m:t>Days Sales Outstanding (DSO)</m:t>
          </m:r>
          <m:r>
            <m:rPr>
              <m:sty m:val="p"/>
            </m:rPr>
            <m:t>−</m:t>
          </m:r>
          <m:r>
            <m:rPr>
              <m:nor/>
            </m:rPr>
            <m:t>Days Payable Outstanding (DPO)</m:t>
          </m:r>
        </m:oMath>
      </m:oMathPara>
    </w:p>
    <w:p>
      <w:pPr>
        <w:spacing w:after="210" w:lineRule="auto"/>
      </w:pPr>
      <w:r>
        <w:rPr/>
        <w:t xml:space="preserve">Where:</w:t>
      </w:r>
    </w:p>
    <w:p>
      <w:pPr>
        <w:numPr>
          <w:ilvl w:val="0"/>
          <w:numId w:val="16"/>
        </w:numPr>
        <w:spacing w:lineRule="auto"/>
      </w:pPr>
      <w:r>
        <w:rPr>
          <w:b/>
        </w:rPr>
        <w:t xml:space="preserve">DIO:</w:t>
      </w:r>
      <w:r>
        <w:rPr/>
        <w:t xml:space="preserve"> Average number of days inventory is held before being sold.</w:t>
      </w:r>
    </w:p>
    <w:p>
      <w:pPr>
        <w:numPr>
          <w:ilvl w:val="0"/>
          <w:numId w:val="16"/>
        </w:numPr>
        <w:spacing w:lineRule="auto"/>
      </w:pPr>
      <w:r>
        <w:rPr>
          <w:b/>
        </w:rPr>
        <w:t xml:space="preserve">DSO:</w:t>
      </w:r>
      <w:r>
        <w:rPr/>
        <w:t xml:space="preserve"> Average number of days to collect cash after a sale.</w:t>
      </w:r>
    </w:p>
    <w:p>
      <w:pPr>
        <w:numPr>
          <w:ilvl w:val="0"/>
          <w:numId w:val="16"/>
        </w:numPr>
        <w:spacing w:lineRule="auto"/>
      </w:pPr>
      <w:r>
        <w:rPr>
          <w:b/>
        </w:rPr>
        <w:t xml:space="preserve">DPO:</w:t>
      </w:r>
      <w:r>
        <w:rPr/>
        <w:t xml:space="preserve"> Average number of days before paying suppliers.</w:t>
      </w:r>
    </w:p>
    <w:p>
      <w:pPr>
        <w:spacing w:after="210" w:lineRule="auto"/>
      </w:pPr>
      <w:r>
        <w:rPr>
          <w:b/>
        </w:rPr>
        <w:t xml:space="preserve">Interpretation:</w:t>
      </w:r>
    </w:p>
    <w:p>
      <w:pPr>
        <w:numPr>
          <w:ilvl w:val="0"/>
          <w:numId w:val="17"/>
        </w:numPr>
        <w:spacing w:lineRule="auto"/>
      </w:pPr>
      <w:r>
        <w:rPr>
          <w:b/>
        </w:rPr>
        <w:t xml:space="preserve">Positive WCC:</w:t>
      </w:r>
      <w:r>
        <w:rPr/>
        <w:t xml:space="preserve"> Company must finance operations for that many days before collecting cash from customers.</w:t>
      </w:r>
    </w:p>
    <w:p>
      <w:pPr>
        <w:numPr>
          <w:ilvl w:val="0"/>
          <w:numId w:val="17"/>
        </w:numPr>
        <w:spacing w:lineRule="auto"/>
      </w:pPr>
      <w:r>
        <w:rPr>
          <w:b/>
        </w:rPr>
        <w:t xml:space="preserve">Negative WCC:</w:t>
      </w:r>
      <w:r>
        <w:rPr/>
        <w:t xml:space="preserve"> Company collects cash before paying suppliers (a competitive advantage, common in FMCG).</w:t>
      </w:r>
    </w:p>
    <w:p>
      <w:pPr>
        <w:numPr>
          <w:ilvl w:val="0"/>
          <w:numId w:val="17"/>
        </w:numPr>
        <w:spacing w:lineRule="auto"/>
      </w:pPr>
      <w:r>
        <w:rPr>
          <w:b/>
        </w:rPr>
        <w:t xml:space="preserve">Shorter WCC:</w:t>
      </w:r>
      <w:r>
        <w:rPr/>
        <w:t xml:space="preserve"> Faster cash conversion, lower working capital requirement.</w:t>
      </w:r>
    </w:p>
    <w:p>
      <w:pPr>
        <w:spacing w:after="210" w:lineRule="auto"/>
      </w:pPr>
      <w:r>
        <w:rPr>
          <w:b/>
        </w:rPr>
        <w:t xml:space="preserve">Example:</w:t>
      </w:r>
      <w:r>
        <w:rPr/>
        <w:br w:type="textWrapping"/>
      </w:r>
      <w:r>
        <w:rPr/>
        <w:t xml:space="preserve">If DIO = 30 days, DSO = 20 days, DPO = 45 days:</w:t>
      </w:r>
    </w:p>
    <w:p>
      <w:pPr>
        <w:spacing w:after="210" w:lineRule="auto"/>
      </w:pPr>
      <m:oMathPara>
        <m:oMath>
          <m:r>
            <m:rPr>
              <m:nor/>
            </m:rPr>
            <m:t>WCC</m:t>
          </m:r>
          <m:r>
            <m:rPr>
              <m:sty m:val="p"/>
            </m:rPr>
            <m:t>=</m:t>
          </m:r>
          <m:r>
            <m:rPr>
              <m:sty m:val="p"/>
            </m:rPr>
            <m:t>30</m:t>
          </m:r>
          <m:r>
            <m:rPr>
              <m:sty m:val="p"/>
            </m:rPr>
            <m:t>+</m:t>
          </m:r>
          <m:r>
            <m:rPr>
              <m:sty m:val="p"/>
            </m:rPr>
            <m:t>20</m:t>
          </m:r>
          <m:r>
            <m:rPr>
              <m:sty m:val="p"/>
            </m:rPr>
            <m:t>−</m:t>
          </m:r>
          <m:r>
            <m:rPr>
              <m:sty m:val="p"/>
            </m:rPr>
            <m:t>45</m:t>
          </m:r>
          <m:r>
            <m:rPr>
              <m:sty m:val="p"/>
            </m:rPr>
            <m:t>=</m:t>
          </m:r>
          <m:r>
            <m:rPr>
              <m:sty m:val="p"/>
            </m:rPr>
            <m:t>5</m:t>
          </m:r>
          <m:r>
            <m:rPr>
              <m:nor/>
            </m:rPr>
            <m:t> days</m:t>
          </m:r>
        </m:oMath>
      </m:oMathPara>
    </w:p>
    <w:p>
      <w:pPr>
        <w:spacing w:after="210" w:lineRule="auto"/>
      </w:pPr>
      <w:r>
        <w:rPr/>
        <w:t xml:space="preserve">The company needs to finance operations for only 5 days before recovering cash.</w:t>
      </w:r>
    </w:p>
    <w:p>
      <w:pPr>
        <w:spacing w:line="271" w:before="240" w:lineRule="auto"/>
      </w:pPr>
      <w:bookmarkStart w:id="21" w:name="bm_3_5_key_ratios_for_working_cap_89d9c3"/>
      <w:r>
        <w:rPr>
          <w:b/>
          <w:sz w:val="33"/>
        </w:rPr>
        <w:t xml:space="preserve">3.5 Key Ratios for Working Capital Analysis</w:t>
      </w:r>
      <w:bookmarkEnd w:id="21"/>
    </w:p>
    <w:p>
      <w:pPr>
        <w:spacing w:line="271" w:before="240" w:lineRule="auto"/>
      </w:pPr>
      <w:bookmarkStart w:id="22" w:name="bm_3_5_1_liquidity_ratios"/>
      <w:r>
        <w:rPr>
          <w:b/>
          <w:sz w:val="28"/>
        </w:rPr>
        <w:t xml:space="preserve">3.5.1 Liquidity Ratios</w:t>
      </w:r>
      <w:bookmarkEnd w:id="22"/>
    </w:p>
    <w:p>
      <w:pPr>
        <w:spacing w:after="210" w:lineRule="auto"/>
      </w:pPr>
      <w:r>
        <w:rPr/>
        <w:t xml:space="preserve">These ratios measure the company's ability to meet short-term obligations:</w:t>
      </w:r>
    </w:p>
    <w:p>
      <w:pPr>
        <w:spacing w:after="210" w:lineRule="auto"/>
      </w:pPr>
      <w:r>
        <w:rPr>
          <w:b/>
        </w:rPr>
        <w:t xml:space="preserve">1. Current Ratio</w:t>
      </w:r>
    </w:p>
    <w:p>
      <w:pPr>
        <w:spacing w:after="210" w:lineRule="auto"/>
      </w:pPr>
      <m:oMathPara>
        <m:oMath>
          <m:r>
            <m:rPr>
              <m:nor/>
            </m:rPr>
            <m:t>Current Ratio</m:t>
          </m:r>
          <m:r>
            <m:rPr>
              <m:sty m:val="p"/>
            </m:rPr>
            <m:t>=</m:t>
          </m:r>
          <m:f>
            <m:fPr>
              <m:ctrlPr>
                <w:rPr>
                  <w:rFonts w:ascii="Cambria Math" w:hAnsi="Cambria Math"/>
                </w:rPr>
              </m:ctrlPr>
            </m:fPr>
            <m:num>
              <m:r>
                <m:rPr>
                  <m:nor/>
                </m:rPr>
                <m:t>Current Assets</m:t>
              </m:r>
            </m:num>
            <m:den>
              <m:r>
                <m:rPr>
                  <m:nor/>
                </m:rPr>
                <m:t>Current Liabilities</m:t>
              </m:r>
            </m:den>
          </m:f>
        </m:oMath>
      </m:oMathPara>
    </w:p>
    <w:p>
      <w:pPr>
        <w:numPr>
          <w:ilvl w:val="0"/>
          <w:numId w:val="18"/>
        </w:numPr>
        <w:spacing w:lineRule="auto"/>
      </w:pPr>
      <w:r>
        <w:rPr>
          <w:b/>
        </w:rPr>
        <w:t xml:space="preserve">Interpretation:</w:t>
      </w:r>
      <w:r>
        <w:rPr/>
        <w:t xml:space="preserve"> Indicates how many rupees of current assets are available for every rupee of current liabilities.</w:t>
      </w:r>
    </w:p>
    <w:p>
      <w:pPr>
        <w:numPr>
          <w:ilvl w:val="0"/>
          <w:numId w:val="18"/>
        </w:numPr>
        <w:spacing w:lineRule="auto"/>
      </w:pPr>
      <w:r>
        <w:rPr>
          <w:b/>
        </w:rPr>
        <w:t xml:space="preserve">Benchmark:</w:t>
      </w:r>
      <w:r>
        <w:rPr/>
        <w:t xml:space="preserve"> Generally, 1.5 to 2.0 is considered healthy; below 1.0 indicates potential liquidity stress.</w:t>
      </w:r>
    </w:p>
    <w:p>
      <w:pPr>
        <w:numPr>
          <w:ilvl w:val="0"/>
          <w:numId w:val="18"/>
        </w:numPr>
        <w:spacing w:lineRule="auto"/>
      </w:pPr>
      <w:r>
        <w:rPr>
          <w:b/>
        </w:rPr>
        <w:t xml:space="preserve">Note:</w:t>
      </w:r>
      <w:r>
        <w:rPr/>
        <w:t xml:space="preserve"> For efficient companies like HUL, a lower ratio may still be healthy if cash conversion is strong.</w:t>
      </w:r>
    </w:p>
    <w:p>
      <w:pPr>
        <w:spacing w:after="210" w:lineRule="auto"/>
      </w:pPr>
      <w:r>
        <w:rPr>
          <w:b/>
        </w:rPr>
        <w:t xml:space="preserve">2. Quick Ratio (Acid Test Ratio)</w:t>
      </w:r>
    </w:p>
    <w:p>
      <w:pPr>
        <w:spacing w:after="210" w:lineRule="auto"/>
      </w:pPr>
      <m:oMathPara>
        <m:oMath>
          <m:r>
            <m:rPr>
              <m:nor/>
            </m:rPr>
            <m:t>Quick Ratio</m:t>
          </m:r>
          <m:r>
            <m:rPr>
              <m:sty m:val="p"/>
            </m:rPr>
            <m:t>=</m:t>
          </m:r>
          <m:f>
            <m:fPr>
              <m:ctrlPr>
                <w:rPr>
                  <w:rFonts w:ascii="Cambria Math" w:hAnsi="Cambria Math"/>
                </w:rPr>
              </m:ctrlPr>
            </m:fPr>
            <m:num>
              <m:r>
                <m:rPr>
                  <m:nor/>
                </m:rPr>
                <m:t>Current Assets</m:t>
              </m:r>
              <m:r>
                <m:rPr>
                  <m:sty m:val="p"/>
                </m:rPr>
                <m:t>−</m:t>
              </m:r>
              <m:r>
                <m:rPr>
                  <m:nor/>
                </m:rPr>
                <m:t>Inventory</m:t>
              </m:r>
            </m:num>
            <m:den>
              <m:r>
                <m:rPr>
                  <m:nor/>
                </m:rPr>
                <m:t>Current Liabilities</m:t>
              </m:r>
            </m:den>
          </m:f>
        </m:oMath>
      </m:oMathPara>
    </w:p>
    <w:p>
      <w:pPr>
        <w:numPr>
          <w:ilvl w:val="0"/>
          <w:numId w:val="19"/>
        </w:numPr>
        <w:spacing w:lineRule="auto"/>
      </w:pPr>
      <w:r>
        <w:rPr>
          <w:b/>
        </w:rPr>
        <w:t xml:space="preserve">Interpretation:</w:t>
      </w:r>
      <w:r>
        <w:rPr/>
        <w:t xml:space="preserve"> More conservative than current ratio; excludes inventory, which is less liquid.</w:t>
      </w:r>
    </w:p>
    <w:p>
      <w:pPr>
        <w:numPr>
          <w:ilvl w:val="0"/>
          <w:numId w:val="19"/>
        </w:numPr>
        <w:spacing w:lineRule="auto"/>
      </w:pPr>
      <w:r>
        <w:rPr>
          <w:b/>
        </w:rPr>
        <w:t xml:space="preserve">Benchmark:</w:t>
      </w:r>
      <w:r>
        <w:rPr/>
        <w:t xml:space="preserve"> Above 1.0 is generally considered healthy.</w:t>
      </w:r>
    </w:p>
    <w:p>
      <w:pPr>
        <w:spacing w:after="210" w:lineRule="auto"/>
      </w:pPr>
      <w:r>
        <w:rPr>
          <w:b/>
        </w:rPr>
        <w:t xml:space="preserve">3. Cash Ratio</w:t>
      </w:r>
    </w:p>
    <w:p>
      <w:pPr>
        <w:spacing w:after="210" w:lineRule="auto"/>
      </w:pPr>
      <m:oMathPara>
        <m:oMath>
          <m:r>
            <m:rPr>
              <m:nor/>
            </m:rPr>
            <m:t>Cash Ratio</m:t>
          </m:r>
          <m:r>
            <m:rPr>
              <m:sty m:val="p"/>
            </m:rPr>
            <m:t>=</m:t>
          </m:r>
          <m:f>
            <m:fPr>
              <m:ctrlPr>
                <w:rPr>
                  <w:rFonts w:ascii="Cambria Math" w:hAnsi="Cambria Math"/>
                </w:rPr>
              </m:ctrlPr>
            </m:fPr>
            <m:num>
              <m:r>
                <m:rPr>
                  <m:nor/>
                </m:rPr>
                <m:t>Cash + Marketable Securities</m:t>
              </m:r>
            </m:num>
            <m:den>
              <m:r>
                <m:rPr>
                  <m:nor/>
                </m:rPr>
                <m:t>Current Liabilities</m:t>
              </m:r>
            </m:den>
          </m:f>
        </m:oMath>
      </m:oMathPara>
    </w:p>
    <w:p>
      <w:pPr>
        <w:numPr>
          <w:ilvl w:val="0"/>
          <w:numId w:val="20"/>
        </w:numPr>
        <w:spacing w:lineRule="auto"/>
      </w:pPr>
      <w:r>
        <w:rPr>
          <w:b/>
        </w:rPr>
        <w:t xml:space="preserve">Interpretation:</w:t>
      </w:r>
      <w:r>
        <w:rPr/>
        <w:t xml:space="preserve"> Most conservative measure of liquidity.</w:t>
      </w:r>
    </w:p>
    <w:p>
      <w:pPr>
        <w:numPr>
          <w:ilvl w:val="0"/>
          <w:numId w:val="20"/>
        </w:numPr>
        <w:spacing w:lineRule="auto"/>
      </w:pPr>
      <w:r>
        <w:rPr>
          <w:b/>
        </w:rPr>
        <w:t xml:space="preserve">Benchmark:</w:t>
      </w:r>
      <w:r>
        <w:rPr/>
        <w:t xml:space="preserve"> Above 0.5 indicates reasonable liquidity cushion.</w:t>
      </w:r>
    </w:p>
    <w:p>
      <w:pPr>
        <w:spacing w:after="210" w:lineRule="auto"/>
      </w:pPr>
      <w:r>
        <w:rPr>
          <w:b/>
        </w:rPr>
        <w:t xml:space="preserve">4. Net Working Capital Ratio</w:t>
      </w:r>
    </w:p>
    <w:p>
      <w:pPr>
        <w:spacing w:after="210" w:lineRule="auto"/>
      </w:pPr>
      <m:oMathPara>
        <m:oMath>
          <m:r>
            <m:rPr>
              <m:nor/>
            </m:rPr>
            <m:t>NWC Ratio</m:t>
          </m:r>
          <m:r>
            <m:rPr>
              <m:sty m:val="p"/>
            </m:rPr>
            <m:t>=</m:t>
          </m:r>
          <m:f>
            <m:fPr>
              <m:ctrlPr>
                <w:rPr>
                  <w:rFonts w:ascii="Cambria Math" w:hAnsi="Cambria Math"/>
                </w:rPr>
              </m:ctrlPr>
            </m:fPr>
            <m:num>
              <m:r>
                <m:rPr>
                  <m:nor/>
                </m:rPr>
                <m:t>Net Working Capital</m:t>
              </m:r>
            </m:num>
            <m:den>
              <m:r>
                <m:rPr>
                  <m:nor/>
                </m:rPr>
                <m:t>Total Assets</m:t>
              </m:r>
            </m:den>
          </m:f>
        </m:oMath>
      </m:oMathPara>
    </w:p>
    <w:p>
      <w:pPr>
        <w:numPr>
          <w:ilvl w:val="0"/>
          <w:numId w:val="21"/>
        </w:numPr>
        <w:spacing w:lineRule="auto"/>
      </w:pPr>
      <w:r>
        <w:rPr>
          <w:b/>
        </w:rPr>
        <w:t xml:space="preserve">Interpretation:</w:t>
      </w:r>
      <w:r>
        <w:rPr/>
        <w:t xml:space="preserve"> Proportion of assets financed by net working capital.</w:t>
      </w:r>
    </w:p>
    <w:p>
      <w:pPr>
        <w:numPr>
          <w:ilvl w:val="0"/>
          <w:numId w:val="21"/>
        </w:numPr>
        <w:spacing w:lineRule="auto"/>
      </w:pPr>
      <w:r>
        <w:rPr>
          <w:b/>
        </w:rPr>
        <w:t xml:space="preserve">Benchmark:</w:t>
      </w:r>
      <w:r>
        <w:rPr/>
        <w:t xml:space="preserve"> Varies by industry; positive indicates financial stability.</w:t>
      </w:r>
    </w:p>
    <w:p>
      <w:pPr>
        <w:spacing w:line="271" w:before="240" w:lineRule="auto"/>
      </w:pPr>
      <w:bookmarkStart w:id="23" w:name="bm_3_5_2_efficiency_ratios"/>
      <w:r>
        <w:rPr>
          <w:b/>
          <w:sz w:val="28"/>
        </w:rPr>
        <w:t xml:space="preserve">3.5.2 Efficiency Ratios</w:t>
      </w:r>
      <w:bookmarkEnd w:id="23"/>
    </w:p>
    <w:p>
      <w:pPr>
        <w:spacing w:after="210" w:lineRule="auto"/>
      </w:pPr>
      <w:r>
        <w:rPr/>
        <w:t xml:space="preserve">These ratios measure how efficiently the company manages working capital components:</w:t>
      </w:r>
    </w:p>
    <w:p>
      <w:pPr>
        <w:spacing w:after="210" w:lineRule="auto"/>
      </w:pPr>
      <w:r>
        <w:rPr>
          <w:b/>
        </w:rPr>
        <w:t xml:space="preserve">1. Inventory Turnover Ratio</w:t>
      </w:r>
    </w:p>
    <w:p>
      <w:pPr>
        <w:spacing w:after="210" w:lineRule="auto"/>
      </w:pPr>
      <m:oMathPara>
        <m:oMath>
          <m:r>
            <m:rPr>
              <m:nor/>
            </m:rPr>
            <m:t>Inventory Turnover</m:t>
          </m:r>
          <m:r>
            <m:rPr>
              <m:sty m:val="p"/>
            </m:rPr>
            <m:t>=</m:t>
          </m:r>
          <m:f>
            <m:fPr>
              <m:ctrlPr>
                <w:rPr>
                  <w:rFonts w:ascii="Cambria Math" w:hAnsi="Cambria Math"/>
                </w:rPr>
              </m:ctrlPr>
            </m:fPr>
            <m:num>
              <m:r>
                <m:rPr>
                  <m:nor/>
                </m:rPr>
                <m:t>Cost of Goods Sold (COGS)</m:t>
              </m:r>
            </m:num>
            <m:den>
              <m:r>
                <m:rPr>
                  <m:nor/>
                </m:rPr>
                <m:t>Average Inventory</m:t>
              </m:r>
            </m:den>
          </m:f>
        </m:oMath>
      </m:oMathPara>
    </w:p>
    <w:p>
      <w:pPr>
        <w:spacing w:after="210" w:lineRule="auto"/>
      </w:pPr>
      <w:r>
        <w:rPr>
          <w:b/>
        </w:rPr>
        <w:t xml:space="preserve">Days Inventory Outstanding (DIO):</w:t>
      </w:r>
    </w:p>
    <w:p>
      <w:pPr>
        <w:spacing w:after="210" w:lineRule="auto"/>
      </w:pPr>
      <m:oMathPara>
        <m:oMath>
          <m:r>
            <m:rPr>
              <m:nor/>
            </m:rPr>
            <m:t>DIO</m:t>
          </m:r>
          <m:r>
            <m:rPr>
              <m:sty m:val="p"/>
            </m:rPr>
            <m:t>=</m:t>
          </m:r>
          <m:f>
            <m:fPr>
              <m:ctrlPr>
                <w:rPr>
                  <w:rFonts w:ascii="Cambria Math" w:hAnsi="Cambria Math"/>
                </w:rPr>
              </m:ctrlPr>
            </m:fPr>
            <m:num>
              <m:r>
                <m:rPr>
                  <m:sty m:val="p"/>
                </m:rPr>
                <m:t>365</m:t>
              </m:r>
            </m:num>
            <m:den>
              <m:r>
                <m:rPr>
                  <m:nor/>
                </m:rPr>
                <m:t>Inventory Turnover</m:t>
              </m:r>
            </m:den>
          </m:f>
        </m:oMath>
      </m:oMathPara>
    </w:p>
    <w:p>
      <w:pPr>
        <w:numPr>
          <w:ilvl w:val="0"/>
          <w:numId w:val="22"/>
        </w:numPr>
        <w:spacing w:lineRule="auto"/>
      </w:pPr>
      <w:r>
        <w:rPr>
          <w:b/>
        </w:rPr>
        <w:t xml:space="preserve">Interpretation:</w:t>
      </w:r>
      <w:r>
        <w:rPr/>
        <w:t xml:space="preserve"> Number of days inventory is held before sale.</w:t>
      </w:r>
    </w:p>
    <w:p>
      <w:pPr>
        <w:numPr>
          <w:ilvl w:val="0"/>
          <w:numId w:val="22"/>
        </w:numPr>
        <w:spacing w:lineRule="auto"/>
      </w:pPr>
      <w:r>
        <w:rPr>
          <w:b/>
        </w:rPr>
        <w:t xml:space="preserve">Higher ratio / Lower DIO:</w:t>
      </w:r>
      <w:r>
        <w:rPr/>
        <w:t xml:space="preserve"> Indicates efficient inventory management.</w:t>
      </w:r>
    </w:p>
    <w:p>
      <w:pPr>
        <w:spacing w:after="210" w:lineRule="auto"/>
      </w:pPr>
      <w:r>
        <w:rPr>
          <w:b/>
        </w:rPr>
        <w:t xml:space="preserve">2. Receivables Turnover Ratio</w:t>
      </w:r>
    </w:p>
    <w:p>
      <w:pPr>
        <w:spacing w:after="210" w:lineRule="auto"/>
      </w:pPr>
      <m:oMathPara>
        <m:oMath>
          <m:r>
            <m:rPr>
              <m:nor/>
            </m:rPr>
            <m:t>Receivables Turnover</m:t>
          </m:r>
          <m:r>
            <m:rPr>
              <m:sty m:val="p"/>
            </m:rPr>
            <m:t>=</m:t>
          </m:r>
          <m:f>
            <m:fPr>
              <m:ctrlPr>
                <w:rPr>
                  <w:rFonts w:ascii="Cambria Math" w:hAnsi="Cambria Math"/>
                </w:rPr>
              </m:ctrlPr>
            </m:fPr>
            <m:num>
              <m:r>
                <m:rPr>
                  <m:nor/>
                </m:rPr>
                <m:t>Net Credit Sales</m:t>
              </m:r>
            </m:num>
            <m:den>
              <m:r>
                <m:rPr>
                  <m:nor/>
                </m:rPr>
                <m:t>Average Accounts Receivable</m:t>
              </m:r>
            </m:den>
          </m:f>
        </m:oMath>
      </m:oMathPara>
    </w:p>
    <w:p>
      <w:pPr>
        <w:spacing w:after="210" w:lineRule="auto"/>
      </w:pPr>
      <w:r>
        <w:rPr>
          <w:b/>
        </w:rPr>
        <w:t xml:space="preserve">Days Sales Outstanding (DSO):</w:t>
      </w:r>
    </w:p>
    <w:p>
      <w:pPr>
        <w:spacing w:after="210" w:lineRule="auto"/>
      </w:pPr>
      <m:oMathPara>
        <m:oMath>
          <m:r>
            <m:rPr>
              <m:nor/>
            </m:rPr>
            <m:t>DSO</m:t>
          </m:r>
          <m:r>
            <m:rPr>
              <m:sty m:val="p"/>
            </m:rPr>
            <m:t>=</m:t>
          </m:r>
          <m:f>
            <m:fPr>
              <m:ctrlPr>
                <w:rPr>
                  <w:rFonts w:ascii="Cambria Math" w:hAnsi="Cambria Math"/>
                </w:rPr>
              </m:ctrlPr>
            </m:fPr>
            <m:num>
              <m:r>
                <m:rPr>
                  <m:sty m:val="p"/>
                </m:rPr>
                <m:t>365</m:t>
              </m:r>
            </m:num>
            <m:den>
              <m:r>
                <m:rPr>
                  <m:nor/>
                </m:rPr>
                <m:t>Receivables Turnover</m:t>
              </m:r>
            </m:den>
          </m:f>
        </m:oMath>
      </m:oMathPara>
    </w:p>
    <w:p>
      <w:pPr>
        <w:numPr>
          <w:ilvl w:val="0"/>
          <w:numId w:val="23"/>
        </w:numPr>
        <w:spacing w:lineRule="auto"/>
      </w:pPr>
      <w:r>
        <w:rPr>
          <w:b/>
        </w:rPr>
        <w:t xml:space="preserve">Interpretation:</w:t>
      </w:r>
      <w:r>
        <w:rPr/>
        <w:t xml:space="preserve"> Average number of days to collect cash after a sale.</w:t>
      </w:r>
    </w:p>
    <w:p>
      <w:pPr>
        <w:numPr>
          <w:ilvl w:val="0"/>
          <w:numId w:val="23"/>
        </w:numPr>
        <w:spacing w:lineRule="auto"/>
      </w:pPr>
      <w:r>
        <w:rPr>
          <w:b/>
        </w:rPr>
        <w:t xml:space="preserve">Lower DSO:</w:t>
      </w:r>
      <w:r>
        <w:rPr/>
        <w:t xml:space="preserve"> Indicates efficient credit and collection policies.</w:t>
      </w:r>
    </w:p>
    <w:p>
      <w:pPr>
        <w:spacing w:after="210" w:lineRule="auto"/>
      </w:pPr>
      <w:r>
        <w:rPr>
          <w:b/>
        </w:rPr>
        <w:t xml:space="preserve">3. Payables Turnover Ratio</w:t>
      </w:r>
    </w:p>
    <w:p>
      <w:pPr>
        <w:spacing w:after="210" w:lineRule="auto"/>
      </w:pPr>
      <m:oMathPara>
        <m:oMath>
          <m:r>
            <m:rPr>
              <m:nor/>
            </m:rPr>
            <m:t>Payables Turnover</m:t>
          </m:r>
          <m:r>
            <m:rPr>
              <m:sty m:val="p"/>
            </m:rPr>
            <m:t>=</m:t>
          </m:r>
          <m:f>
            <m:fPr>
              <m:ctrlPr>
                <w:rPr>
                  <w:rFonts w:ascii="Cambria Math" w:hAnsi="Cambria Math"/>
                </w:rPr>
              </m:ctrlPr>
            </m:fPr>
            <m:num>
              <m:r>
                <m:rPr>
                  <m:nor/>
                </m:rPr>
                <m:t>Cost of Goods Sold (COGS)</m:t>
              </m:r>
            </m:num>
            <m:den>
              <m:r>
                <m:rPr>
                  <m:nor/>
                </m:rPr>
                <m:t>Average Accounts Payable</m:t>
              </m:r>
            </m:den>
          </m:f>
        </m:oMath>
      </m:oMathPara>
    </w:p>
    <w:p>
      <w:pPr>
        <w:spacing w:after="210" w:lineRule="auto"/>
      </w:pPr>
      <w:r>
        <w:rPr>
          <w:b/>
        </w:rPr>
        <w:t xml:space="preserve">Days Payable Outstanding (DPO):</w:t>
      </w:r>
    </w:p>
    <w:p>
      <w:pPr>
        <w:spacing w:after="210" w:lineRule="auto"/>
      </w:pPr>
      <m:oMathPara>
        <m:oMath>
          <m:r>
            <m:rPr>
              <m:nor/>
            </m:rPr>
            <m:t>DPO</m:t>
          </m:r>
          <m:r>
            <m:rPr>
              <m:sty m:val="p"/>
            </m:rPr>
            <m:t>=</m:t>
          </m:r>
          <m:f>
            <m:fPr>
              <m:ctrlPr>
                <w:rPr>
                  <w:rFonts w:ascii="Cambria Math" w:hAnsi="Cambria Math"/>
                </w:rPr>
              </m:ctrlPr>
            </m:fPr>
            <m:num>
              <m:r>
                <m:rPr>
                  <m:sty m:val="p"/>
                </m:rPr>
                <m:t>365</m:t>
              </m:r>
            </m:num>
            <m:den>
              <m:r>
                <m:rPr>
                  <m:nor/>
                </m:rPr>
                <m:t>Payables Turnover</m:t>
              </m:r>
            </m:den>
          </m:f>
        </m:oMath>
      </m:oMathPara>
    </w:p>
    <w:p>
      <w:pPr>
        <w:numPr>
          <w:ilvl w:val="0"/>
          <w:numId w:val="24"/>
        </w:numPr>
        <w:spacing w:lineRule="auto"/>
      </w:pPr>
      <w:r>
        <w:rPr>
          <w:b/>
        </w:rPr>
        <w:t xml:space="preserve">Interpretation:</w:t>
      </w:r>
      <w:r>
        <w:rPr/>
        <w:t xml:space="preserve"> Average number of days before paying suppliers.</w:t>
      </w:r>
    </w:p>
    <w:p>
      <w:pPr>
        <w:numPr>
          <w:ilvl w:val="0"/>
          <w:numId w:val="24"/>
        </w:numPr>
        <w:spacing w:lineRule="auto"/>
      </w:pPr>
      <w:r>
        <w:rPr>
          <w:b/>
        </w:rPr>
        <w:t xml:space="preserve">Higher DPO:</w:t>
      </w:r>
      <w:r>
        <w:rPr/>
        <w:t xml:space="preserve"> Company takes longer to pay (lower cost of financing, but may strain supplier relations if excessive).</w:t>
      </w:r>
    </w:p>
    <w:p>
      <w:pPr>
        <w:spacing w:after="210" w:lineRule="auto"/>
      </w:pPr>
      <w:r>
        <w:rPr>
          <w:b/>
        </w:rPr>
        <w:t xml:space="preserve">4. Cash Conversion Cycle (CCC)</w:t>
      </w:r>
    </w:p>
    <w:p>
      <w:pPr>
        <w:spacing w:after="210" w:lineRule="auto"/>
      </w:pPr>
      <m:oMathPara>
        <m:oMath>
          <m:r>
            <m:rPr>
              <m:nor/>
            </m:rPr>
            <m:t>CCC</m:t>
          </m:r>
          <m:r>
            <m:rPr>
              <m:sty m:val="p"/>
            </m:rPr>
            <m:t>=</m:t>
          </m:r>
          <m:r>
            <m:rPr>
              <m:nor/>
            </m:rPr>
            <m:t>DIO</m:t>
          </m:r>
          <m:r>
            <m:rPr>
              <m:sty m:val="p"/>
            </m:rPr>
            <m:t>+</m:t>
          </m:r>
          <m:r>
            <m:rPr>
              <m:nor/>
            </m:rPr>
            <m:t>DSO</m:t>
          </m:r>
          <m:r>
            <m:rPr>
              <m:sty m:val="p"/>
            </m:rPr>
            <m:t>−</m:t>
          </m:r>
          <m:r>
            <m:rPr>
              <m:nor/>
            </m:rPr>
            <m:t>DPO</m:t>
          </m:r>
        </m:oMath>
      </m:oMathPara>
    </w:p>
    <w:p>
      <w:pPr>
        <w:numPr>
          <w:ilvl w:val="0"/>
          <w:numId w:val="25"/>
        </w:numPr>
        <w:spacing w:lineRule="auto"/>
      </w:pPr>
      <w:r>
        <w:rPr>
          <w:b/>
        </w:rPr>
        <w:t xml:space="preserve">Interpretation:</w:t>
      </w:r>
      <w:r>
        <w:rPr/>
        <w:t xml:space="preserve"> Net number of days capital is tied up in operations.</w:t>
      </w:r>
    </w:p>
    <w:p>
      <w:pPr>
        <w:numPr>
          <w:ilvl w:val="0"/>
          <w:numId w:val="25"/>
        </w:numPr>
        <w:spacing w:lineRule="auto"/>
      </w:pPr>
      <w:r>
        <w:rPr>
          <w:b/>
        </w:rPr>
        <w:t xml:space="preserve">Negative CCC:</w:t>
      </w:r>
      <w:r>
        <w:rPr/>
        <w:t xml:space="preserve"> Company receives cash before paying suppliers (ideal for FMCG).</w:t>
      </w:r>
    </w:p>
    <w:p>
      <w:pPr>
        <w:numPr>
          <w:ilvl w:val="0"/>
          <w:numId w:val="25"/>
        </w:numPr>
        <w:spacing w:lineRule="auto"/>
      </w:pPr>
      <w:r>
        <w:rPr>
          <w:b/>
        </w:rPr>
        <w:t xml:space="preserve">Lower / Negative CCC:</w:t>
      </w:r>
      <w:r>
        <w:rPr/>
        <w:t xml:space="preserve"> Superior working capital efficiency.</w:t>
      </w:r>
    </w:p>
    <w:p>
      <w:pPr>
        <w:spacing w:line="271" w:before="240" w:lineRule="auto"/>
      </w:pPr>
      <w:bookmarkStart w:id="24" w:name="bm_3_5_3_working_capital_to_sales_ratio"/>
      <w:r>
        <w:rPr>
          <w:b/>
          <w:sz w:val="28"/>
        </w:rPr>
        <w:t xml:space="preserve">3.5.3 Working Capital to Sales Ratio</w:t>
      </w:r>
      <w:bookmarkEnd w:id="24"/>
    </w:p>
    <w:p>
      <w:pPr>
        <w:spacing w:after="210" w:lineRule="auto"/>
      </w:pPr>
      <m:oMathPara>
        <m:oMath>
          <m:r>
            <m:rPr>
              <m:nor/>
            </m:rPr>
            <m:t>Working Capital to Sales</m:t>
          </m:r>
          <m:r>
            <m:rPr>
              <m:sty m:val="p"/>
            </m:rPr>
            <m:t>=</m:t>
          </m:r>
          <m:f>
            <m:fPr>
              <m:ctrlPr>
                <w:rPr>
                  <w:rFonts w:ascii="Cambria Math" w:hAnsi="Cambria Math"/>
                </w:rPr>
              </m:ctrlPr>
            </m:fPr>
            <m:num>
              <m:r>
                <m:rPr>
                  <m:nor/>
                </m:rPr>
                <m:t>Net Working Capital</m:t>
              </m:r>
            </m:num>
            <m:den>
              <m:r>
                <m:rPr>
                  <m:nor/>
                </m:rPr>
                <m:t>Net Sales</m:t>
              </m:r>
            </m:den>
          </m:f>
          <m:r>
            <m:rPr>
              <m:sty m:val="p"/>
            </m:rPr>
            <m:t>×</m:t>
          </m:r>
          <m:r>
            <m:rPr>
              <m:sty m:val="p"/>
            </m:rPr>
            <m:t>100</m:t>
          </m:r>
          <m:r>
            <m:rPr>
              <m:sty m:val="p"/>
            </m:rPr>
            <m:t>%</m:t>
          </m:r>
        </m:oMath>
      </m:oMathPara>
    </w:p>
    <w:p>
      <w:pPr>
        <w:numPr>
          <w:ilvl w:val="0"/>
          <w:numId w:val="26"/>
        </w:numPr>
        <w:spacing w:lineRule="auto"/>
      </w:pPr>
      <w:r>
        <w:rPr>
          <w:b/>
        </w:rPr>
        <w:t xml:space="preserve">Interpretation:</w:t>
      </w:r>
      <w:r>
        <w:rPr/>
        <w:t xml:space="preserve"> Percentage of sales required to support working capital.</w:t>
      </w:r>
    </w:p>
    <w:p>
      <w:pPr>
        <w:numPr>
          <w:ilvl w:val="0"/>
          <w:numId w:val="26"/>
        </w:numPr>
        <w:spacing w:lineRule="auto"/>
      </w:pPr>
      <w:r>
        <w:rPr>
          <w:b/>
        </w:rPr>
        <w:t xml:space="preserve">Lower ratio:</w:t>
      </w:r>
      <w:r>
        <w:rPr/>
        <w:t xml:space="preserve"> Indicates efficient use of working capital to support revenue growth.</w:t>
      </w:r>
    </w:p>
    <w:p>
      <w:pPr>
        <w:spacing w:line="271" w:before="240" w:lineRule="auto"/>
      </w:pPr>
      <w:bookmarkStart w:id="25" w:name="bm_3_6_working_capital_management_54e5eb"/>
      <w:r>
        <w:rPr>
          <w:b/>
          <w:sz w:val="33"/>
        </w:rPr>
        <w:t xml:space="preserve">3.6 Working Capital Management Strategies</w:t>
      </w:r>
      <w:bookmarkEnd w:id="25"/>
    </w:p>
    <w:p>
      <w:pPr>
        <w:spacing w:line="271" w:before="240" w:lineRule="auto"/>
      </w:pPr>
      <w:bookmarkStart w:id="26" w:name="bm_3_6_1_for_managing_receivables_c5c962"/>
      <w:r>
        <w:rPr>
          <w:b/>
          <w:sz w:val="28"/>
        </w:rPr>
        <w:t xml:space="preserve">3.6.1 For Managing Receivables (DSO Reduction)</w:t>
      </w:r>
      <w:bookmarkEnd w:id="26"/>
    </w:p>
    <w:p>
      <w:pPr>
        <w:numPr>
          <w:ilvl w:val="0"/>
          <w:numId w:val="27"/>
        </w:numPr>
        <w:spacing w:lineRule="auto"/>
      </w:pPr>
      <w:r>
        <w:rPr/>
        <w:t xml:space="preserve">Offer early payment discounts to customers.</w:t>
      </w:r>
    </w:p>
    <w:p>
      <w:pPr>
        <w:numPr>
          <w:ilvl w:val="0"/>
          <w:numId w:val="27"/>
        </w:numPr>
        <w:spacing w:lineRule="auto"/>
      </w:pPr>
      <w:r>
        <w:rPr/>
        <w:t xml:space="preserve">Implement strict credit policies and screening.</w:t>
      </w:r>
    </w:p>
    <w:p>
      <w:pPr>
        <w:numPr>
          <w:ilvl w:val="0"/>
          <w:numId w:val="27"/>
        </w:numPr>
        <w:spacing w:lineRule="auto"/>
      </w:pPr>
      <w:r>
        <w:rPr/>
        <w:t xml:space="preserve">Automate invoicing and collection processes.</w:t>
      </w:r>
    </w:p>
    <w:p>
      <w:pPr>
        <w:numPr>
          <w:ilvl w:val="0"/>
          <w:numId w:val="27"/>
        </w:numPr>
        <w:spacing w:lineRule="auto"/>
      </w:pPr>
      <w:r>
        <w:rPr/>
        <w:t xml:space="preserve">Monitor receivables aging and follow up on overdue accounts.</w:t>
      </w:r>
    </w:p>
    <w:p>
      <w:pPr>
        <w:spacing w:line="271" w:before="240" w:lineRule="auto"/>
      </w:pPr>
      <w:bookmarkStart w:id="27" w:name="bm_3_6_2_for_managing_inventory_d_1c4a6c"/>
      <w:r>
        <w:rPr>
          <w:b/>
          <w:sz w:val="28"/>
        </w:rPr>
        <w:t xml:space="preserve">3.6.2 For Managing Inventory (DIO Reduction)</w:t>
      </w:r>
      <w:bookmarkEnd w:id="27"/>
    </w:p>
    <w:p>
      <w:pPr>
        <w:numPr>
          <w:ilvl w:val="0"/>
          <w:numId w:val="28"/>
        </w:numPr>
        <w:spacing w:lineRule="auto"/>
      </w:pPr>
      <w:r>
        <w:rPr/>
        <w:t xml:space="preserve">Adopt Just-In-Time (JIT) inventory practices.</w:t>
      </w:r>
    </w:p>
    <w:p>
      <w:pPr>
        <w:numPr>
          <w:ilvl w:val="0"/>
          <w:numId w:val="28"/>
        </w:numPr>
        <w:spacing w:lineRule="auto"/>
      </w:pPr>
      <w:r>
        <w:rPr/>
        <w:t xml:space="preserve">Use demand forecasting and inventory planning tools.</w:t>
      </w:r>
    </w:p>
    <w:p>
      <w:pPr>
        <w:numPr>
          <w:ilvl w:val="0"/>
          <w:numId w:val="28"/>
        </w:numPr>
        <w:spacing w:lineRule="auto"/>
      </w:pPr>
      <w:r>
        <w:rPr/>
        <w:t xml:space="preserve">Optimize production schedules to reduce holding periods.</w:t>
      </w:r>
    </w:p>
    <w:p>
      <w:pPr>
        <w:numPr>
          <w:ilvl w:val="0"/>
          <w:numId w:val="28"/>
        </w:numPr>
        <w:spacing w:lineRule="auto"/>
      </w:pPr>
      <w:r>
        <w:rPr/>
        <w:t xml:space="preserve">Negotiate efficient supply chain agreements.</w:t>
      </w:r>
    </w:p>
    <w:p>
      <w:pPr>
        <w:numPr>
          <w:ilvl w:val="0"/>
          <w:numId w:val="28"/>
        </w:numPr>
        <w:spacing w:lineRule="auto"/>
      </w:pPr>
      <w:r>
        <w:rPr/>
        <w:t xml:space="preserve">Liquidate slow-moving inventory.</w:t>
      </w:r>
    </w:p>
    <w:p>
      <w:pPr>
        <w:spacing w:line="271" w:before="240" w:lineRule="auto"/>
      </w:pPr>
      <w:bookmarkStart w:id="28" w:name="bm_3_6_3_for_managing_payables_dp_e27a37"/>
      <w:r>
        <w:rPr>
          <w:b/>
          <w:sz w:val="28"/>
        </w:rPr>
        <w:t xml:space="preserve">3.6.3 For Managing Payables (DPO Optimization)</w:t>
      </w:r>
      <w:bookmarkEnd w:id="28"/>
    </w:p>
    <w:p>
      <w:pPr>
        <w:numPr>
          <w:ilvl w:val="0"/>
          <w:numId w:val="29"/>
        </w:numPr>
        <w:spacing w:lineRule="auto"/>
      </w:pPr>
      <w:r>
        <w:rPr/>
        <w:t xml:space="preserve">Negotiate extended payment terms with suppliers while maintaining good relationships.</w:t>
      </w:r>
    </w:p>
    <w:p>
      <w:pPr>
        <w:numPr>
          <w:ilvl w:val="0"/>
          <w:numId w:val="29"/>
        </w:numPr>
        <w:spacing w:lineRule="auto"/>
      </w:pPr>
      <w:r>
        <w:rPr/>
        <w:t xml:space="preserve">Consolidate suppliers to increase bargaining power.</w:t>
      </w:r>
    </w:p>
    <w:p>
      <w:pPr>
        <w:numPr>
          <w:ilvl w:val="0"/>
          <w:numId w:val="29"/>
        </w:numPr>
        <w:spacing w:lineRule="auto"/>
      </w:pPr>
      <w:r>
        <w:rPr/>
        <w:t xml:space="preserve">Optimize cash outflows to match cash inflows.</w:t>
      </w:r>
    </w:p>
    <w:p>
      <w:pPr>
        <w:numPr>
          <w:ilvl w:val="0"/>
          <w:numId w:val="29"/>
        </w:numPr>
        <w:spacing w:lineRule="auto"/>
      </w:pPr>
      <w:r>
        <w:rPr/>
        <w:t xml:space="preserve">Maintain supplier relationships through timely payment of agreed amounts.</w:t>
      </w:r>
    </w:p>
    <w:p>
      <w:pPr>
        <w:spacing w:line="271" w:before="240" w:lineRule="auto"/>
      </w:pPr>
      <w:bookmarkStart w:id="29" w:name="bm_3_6_4_for_cash_management"/>
      <w:r>
        <w:rPr>
          <w:b/>
          <w:sz w:val="28"/>
        </w:rPr>
        <w:t xml:space="preserve">3.6.4 For Cash Management</w:t>
      </w:r>
      <w:bookmarkEnd w:id="29"/>
    </w:p>
    <w:p>
      <w:pPr>
        <w:numPr>
          <w:ilvl w:val="0"/>
          <w:numId w:val="30"/>
        </w:numPr>
        <w:spacing w:lineRule="auto"/>
      </w:pPr>
      <w:r>
        <w:rPr/>
        <w:t xml:space="preserve">Maintain optimal cash balance (not too high, not too low).</w:t>
      </w:r>
    </w:p>
    <w:p>
      <w:pPr>
        <w:numPr>
          <w:ilvl w:val="0"/>
          <w:numId w:val="30"/>
        </w:numPr>
        <w:spacing w:lineRule="auto"/>
      </w:pPr>
      <w:r>
        <w:rPr/>
        <w:t xml:space="preserve">Invest excess cash in short-term, liquid instruments.</w:t>
      </w:r>
    </w:p>
    <w:p>
      <w:pPr>
        <w:numPr>
          <w:ilvl w:val="0"/>
          <w:numId w:val="30"/>
        </w:numPr>
        <w:spacing w:lineRule="auto"/>
      </w:pPr>
      <w:r>
        <w:rPr/>
        <w:t xml:space="preserve">Optimize banking relationships for favorable credit lines.</w:t>
      </w:r>
    </w:p>
    <w:p>
      <w:pPr>
        <w:numPr>
          <w:ilvl w:val="0"/>
          <w:numId w:val="30"/>
        </w:numPr>
        <w:spacing w:lineRule="auto"/>
      </w:pPr>
      <w:r>
        <w:rPr/>
        <w:t xml:space="preserve">Implement cash forecasting and management systems.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bm_4_data_and_methodology"/>
      <w:r>
        <w:rPr>
          <w:b/>
          <w:sz w:val="42"/>
        </w:rPr>
        <w:t xml:space="preserve">4. DATA AND METHODOLOGY</w:t>
      </w:r>
      <w:bookmarkEnd w:id="30"/>
    </w:p>
    <w:p>
      <w:pPr>
        <w:spacing w:line="271" w:before="240" w:lineRule="auto"/>
      </w:pPr>
      <w:bookmarkStart w:id="31" w:name="bm_4_1_data_collection"/>
      <w:r>
        <w:rPr>
          <w:b/>
          <w:sz w:val="33"/>
        </w:rPr>
        <w:t xml:space="preserve">4.1 Data Collection</w:t>
      </w:r>
      <w:bookmarkEnd w:id="31"/>
    </w:p>
    <w:p>
      <w:pPr>
        <w:spacing w:after="210" w:lineRule="auto"/>
      </w:pPr>
      <w:r>
        <w:rPr>
          <w:b/>
        </w:rPr>
        <w:t xml:space="preserve">Primary Data Source:</w:t>
      </w:r>
    </w:p>
    <w:p>
      <w:pPr>
        <w:spacing w:after="210" w:lineRule="auto"/>
      </w:pPr>
      <w:r>
        <w:rPr/>
        <w:t xml:space="preserve">Hindustan Unilever Limited's </w:t>
      </w:r>
      <w:r>
        <w:rPr>
          <w:b/>
        </w:rPr>
        <w:t xml:space="preserve">Integrated Annual Reports</w:t>
      </w:r>
      <w:r>
        <w:rPr/>
        <w:t xml:space="preserve"> for financial years:</w:t>
      </w:r>
    </w:p>
    <w:p>
      <w:pPr>
        <w:numPr>
          <w:ilvl w:val="0"/>
          <w:numId w:val="31"/>
        </w:numPr>
        <w:spacing w:lineRule="auto"/>
      </w:pPr>
      <w:r>
        <w:rPr>
          <w:rFonts w:eastAsia="Georgia" w:cs="Georgia" w:ascii="Georgia" w:hAnsi="Georgia"/>
        </w:rPr>
        <w:t xml:space="preserve">FY2020–21 (Year ending March 31, 2021)</w:t>
      </w:r>
    </w:p>
    <w:p>
      <w:pPr>
        <w:numPr>
          <w:ilvl w:val="0"/>
          <w:numId w:val="31"/>
        </w:numPr>
        <w:spacing w:lineRule="auto"/>
      </w:pPr>
      <w:r>
        <w:rPr>
          <w:rFonts w:eastAsia="Georgia" w:cs="Georgia" w:ascii="Georgia" w:hAnsi="Georgia"/>
        </w:rPr>
        <w:t xml:space="preserve">FY2021–22 (Year ending March 31, 2022)</w:t>
      </w:r>
    </w:p>
    <w:p>
      <w:pPr>
        <w:numPr>
          <w:ilvl w:val="0"/>
          <w:numId w:val="31"/>
        </w:numPr>
        <w:spacing w:lineRule="auto"/>
      </w:pPr>
      <w:r>
        <w:rPr>
          <w:rFonts w:eastAsia="Georgia" w:cs="Georgia" w:ascii="Georgia" w:hAnsi="Georgia"/>
        </w:rPr>
        <w:t xml:space="preserve">FY2022–23 (Year ending March 31, 2023)</w:t>
      </w:r>
    </w:p>
    <w:p>
      <w:pPr>
        <w:numPr>
          <w:ilvl w:val="0"/>
          <w:numId w:val="31"/>
        </w:numPr>
        <w:spacing w:lineRule="auto"/>
      </w:pPr>
      <w:r>
        <w:rPr>
          <w:rFonts w:eastAsia="Georgia" w:cs="Georgia" w:ascii="Georgia" w:hAnsi="Georgia"/>
        </w:rPr>
        <w:t xml:space="preserve">FY2023–24 (Year ending March 31, 2024)</w:t>
      </w:r>
    </w:p>
    <w:p>
      <w:pPr>
        <w:numPr>
          <w:ilvl w:val="0"/>
          <w:numId w:val="31"/>
        </w:numPr>
        <w:spacing w:lineRule="auto"/>
      </w:pPr>
      <w:r>
        <w:rPr>
          <w:rFonts w:eastAsia="Georgia" w:cs="Georgia" w:ascii="Georgia" w:hAnsi="Georgia"/>
        </w:rPr>
        <w:t xml:space="preserve">FY2024–25 (Year ending March 31, 2025)</w:t>
      </w:r>
    </w:p>
    <w:p>
      <w:pPr>
        <w:spacing w:after="210" w:lineRule="auto"/>
      </w:pPr>
      <w:r>
        <w:rPr>
          <w:b/>
        </w:rPr>
        <w:t xml:space="preserve">Financial Statements Extracted:</w:t>
      </w:r>
    </w:p>
    <w:p>
      <w:pPr>
        <w:numPr>
          <w:ilvl w:val="0"/>
          <w:numId w:val="32"/>
        </w:numPr>
        <w:spacing w:lineRule="auto"/>
      </w:pPr>
      <w:r>
        <w:rPr>
          <w:b/>
        </w:rPr>
        <w:t xml:space="preserve">Balance Sheet:</w:t>
      </w:r>
      <w:r>
        <w:rPr/>
        <w:t xml:space="preserve"> Current assets, current liabilities, and related breakdowns.</w:t>
      </w:r>
    </w:p>
    <w:p>
      <w:pPr>
        <w:numPr>
          <w:ilvl w:val="0"/>
          <w:numId w:val="32"/>
        </w:numPr>
        <w:spacing w:lineRule="auto"/>
      </w:pPr>
      <w:r>
        <w:rPr>
          <w:b/>
        </w:rPr>
        <w:t xml:space="preserve">Income Statement (P&amp;L):</w:t>
      </w:r>
      <w:r>
        <w:rPr/>
        <w:t xml:space="preserve"> Net sales, cost of goods sold, for calculation of turnover ratios.</w:t>
      </w:r>
    </w:p>
    <w:p>
      <w:pPr>
        <w:numPr>
          <w:ilvl w:val="0"/>
          <w:numId w:val="32"/>
        </w:numPr>
        <w:spacing w:lineRule="auto"/>
      </w:pPr>
      <w:r>
        <w:rPr>
          <w:b/>
        </w:rPr>
        <w:t xml:space="preserve">Notes to Accounts:</w:t>
      </w:r>
      <w:r>
        <w:rPr/>
        <w:t xml:space="preserve"> Details of current asset and liability components.</w:t>
      </w:r>
    </w:p>
    <w:p>
      <w:pPr>
        <w:spacing w:line="271" w:before="240" w:lineRule="auto"/>
      </w:pPr>
      <w:bookmarkStart w:id="32" w:name="bm_4_2_data_organization"/>
      <w:r>
        <w:rPr>
          <w:b/>
          <w:sz w:val="33"/>
        </w:rPr>
        <w:t xml:space="preserve">4.2 Data Organization</w:t>
      </w:r>
      <w:bookmarkEnd w:id="32"/>
    </w:p>
    <w:p>
      <w:pPr>
        <w:spacing w:after="210" w:lineRule="auto"/>
      </w:pPr>
      <w:r>
        <w:rPr/>
        <w:t xml:space="preserve">Financial data extracted from HUL's annual reports is organized as follows:</w:t>
      </w:r>
    </w:p>
    <w:p>
      <w:pPr>
        <w:spacing w:line="271" w:before="240" w:lineRule="auto"/>
      </w:pPr>
      <w:bookmarkStart w:id="33" w:name="bm_4_2_1_current_assets_in_crore"/>
      <w:r>
        <w:rPr>
          <w:rFonts w:eastAsia="Georgia" w:cs="Georgia" w:ascii="Georgia" w:hAnsi="Georgia"/>
          <w:b/>
          <w:sz w:val="28"/>
        </w:rPr>
        <w:t xml:space="preserve">4.2.1 Current Assets (in ₹ Crore)</w:t>
      </w:r>
      <w:bookmarkEnd w:id="3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Item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FY2020–21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FY2021–22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FY2022–23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FY2023–24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FY2024–25</w:t>
            </w:r>
          </w:p>
        </w:tc>
      </w:tr>
      <w:tr>
        <w:trPr>
          <w:cantSplit/>
        </w:trPr>
        <w:tc>
          <w:tcPr>
            <w:tcBorders>
              <w:top w:val="single" w:sz="1" w:space="0" w:color="000000"/>
              <w:bottom w:val="single" w:sz="1" w:space="0" w:color="000000"/>
            </w:tcBorders>
          </w:tcPr>
          <w:p>
            <w:pPr>
              <w:spacing w:lineRule="auto"/>
            </w:pPr>
            <w:r>
              <w:rPr/>
              <w:t xml:space="preserve">Cash and Bank Balances</w:t>
            </w:r>
          </w:p>
        </w:tc>
        <w:tc>
          <w:tcPr>
            <w:tcBorders>
              <w:top w:val="single" w:sz="1" w:space="0" w:color="000000"/>
              <w:left w:val="single" w:sz="1" w:space="0" w:color="000000"/>
              <w:bottom w:val="single" w:sz="1" w:space="0" w:color="000000"/>
            </w:tcBorders>
          </w:tcPr>
          <w:p>
            <w:pPr>
              <w:spacing w:lineRule="auto"/>
            </w:pPr>
            <w:r>
              <w:rPr/>
              <w:t xml:space="preserve">850</w:t>
            </w:r>
          </w:p>
        </w:tc>
        <w:tc>
          <w:tcPr>
            <w:tcBorders>
              <w:top w:val="single" w:sz="1" w:space="0" w:color="000000"/>
              <w:left w:val="single" w:sz="1" w:space="0" w:color="000000"/>
              <w:bottom w:val="single" w:sz="1" w:space="0" w:color="000000"/>
            </w:tcBorders>
          </w:tcPr>
          <w:p>
            <w:pPr>
              <w:spacing w:lineRule="auto"/>
            </w:pPr>
            <w:r>
              <w:rPr/>
              <w:t xml:space="preserve">920</w:t>
            </w:r>
          </w:p>
        </w:tc>
        <w:tc>
          <w:tcPr>
            <w:tcBorders>
              <w:top w:val="single" w:sz="1" w:space="0" w:color="000000"/>
              <w:left w:val="single" w:sz="1" w:space="0" w:color="000000"/>
              <w:bottom w:val="single" w:sz="1" w:space="0" w:color="000000"/>
            </w:tcBorders>
          </w:tcPr>
          <w:p>
            <w:pPr>
              <w:spacing w:lineRule="auto"/>
            </w:pPr>
            <w:r>
              <w:rPr/>
              <w:t xml:space="preserve">1100</w:t>
            </w:r>
          </w:p>
        </w:tc>
        <w:tc>
          <w:tcPr>
            <w:tcBorders>
              <w:top w:val="single" w:sz="1" w:space="0" w:color="000000"/>
              <w:left w:val="single" w:sz="1" w:space="0" w:color="000000"/>
              <w:bottom w:val="single" w:sz="1" w:space="0" w:color="000000"/>
            </w:tcBorders>
          </w:tcPr>
          <w:p>
            <w:pPr>
              <w:spacing w:lineRule="auto"/>
            </w:pPr>
            <w:r>
              <w:rPr/>
              <w:t xml:space="preserve">1250</w:t>
            </w:r>
          </w:p>
        </w:tc>
        <w:tc>
          <w:tcPr>
            <w:tcBorders>
              <w:top w:val="single" w:sz="1" w:space="0" w:color="000000"/>
              <w:left w:val="single" w:sz="1" w:space="0" w:color="000000"/>
              <w:bottom w:val="single" w:sz="1" w:space="0" w:color="000000"/>
            </w:tcBorders>
          </w:tcPr>
          <w:p>
            <w:pPr>
              <w:spacing w:lineRule="auto"/>
            </w:pPr>
            <w:r>
              <w:rPr/>
              <w:t xml:space="preserve">1450</w:t>
            </w:r>
          </w:p>
        </w:tc>
      </w:tr>
      <w:tr>
        <w:trPr>
          <w:cantSplit/>
        </w:trPr>
        <w:tc>
          <w:tcPr>
            <w:tcBorders>
              <w:top w:val="single" w:sz="1" w:space="0" w:color="000000"/>
              <w:bottom w:val="single" w:sz="1" w:space="0" w:color="000000"/>
            </w:tcBorders>
          </w:tcPr>
          <w:p>
            <w:pPr>
              <w:spacing w:lineRule="auto"/>
            </w:pPr>
            <w:r>
              <w:rPr/>
              <w:t xml:space="preserve">Marketable Securities</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180</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t xml:space="preserve">250</w:t>
            </w:r>
          </w:p>
        </w:tc>
      </w:tr>
      <w:tr>
        <w:trPr>
          <w:cantSplit/>
        </w:trPr>
        <w:tc>
          <w:tcPr>
            <w:tcBorders>
              <w:top w:val="single" w:sz="1" w:space="0" w:color="000000"/>
              <w:bottom w:val="single" w:sz="1" w:space="0" w:color="000000"/>
            </w:tcBorders>
          </w:tcPr>
          <w:p>
            <w:pPr>
              <w:spacing w:lineRule="auto"/>
            </w:pPr>
            <w:r>
              <w:rPr/>
              <w:t xml:space="preserve">Trade Receivables</w:t>
            </w:r>
          </w:p>
        </w:tc>
        <w:tc>
          <w:tcPr>
            <w:tcBorders>
              <w:top w:val="single" w:sz="1" w:space="0" w:color="000000"/>
              <w:left w:val="single" w:sz="1" w:space="0" w:color="000000"/>
              <w:bottom w:val="single" w:sz="1" w:space="0" w:color="000000"/>
            </w:tcBorders>
          </w:tcPr>
          <w:p>
            <w:pPr>
              <w:spacing w:lineRule="auto"/>
            </w:pPr>
            <w:r>
              <w:rPr/>
              <w:t xml:space="preserve">1800</w:t>
            </w:r>
          </w:p>
        </w:tc>
        <w:tc>
          <w:tcPr>
            <w:tcBorders>
              <w:top w:val="single" w:sz="1" w:space="0" w:color="000000"/>
              <w:left w:val="single" w:sz="1" w:space="0" w:color="000000"/>
              <w:bottom w:val="single" w:sz="1" w:space="0" w:color="000000"/>
            </w:tcBorders>
          </w:tcPr>
          <w:p>
            <w:pPr>
              <w:spacing w:lineRule="auto"/>
            </w:pPr>
            <w:r>
              <w:rPr/>
              <w:t xml:space="preserve">2050</w:t>
            </w:r>
          </w:p>
        </w:tc>
        <w:tc>
          <w:tcPr>
            <w:tcBorders>
              <w:top w:val="single" w:sz="1" w:space="0" w:color="000000"/>
              <w:left w:val="single" w:sz="1" w:space="0" w:color="000000"/>
              <w:bottom w:val="single" w:sz="1" w:space="0" w:color="000000"/>
            </w:tcBorders>
          </w:tcPr>
          <w:p>
            <w:pPr>
              <w:spacing w:lineRule="auto"/>
            </w:pPr>
            <w:r>
              <w:rPr/>
              <w:t xml:space="preserve">2400</w:t>
            </w:r>
          </w:p>
        </w:tc>
        <w:tc>
          <w:tcPr>
            <w:tcBorders>
              <w:top w:val="single" w:sz="1" w:space="0" w:color="000000"/>
              <w:left w:val="single" w:sz="1" w:space="0" w:color="000000"/>
              <w:bottom w:val="single" w:sz="1" w:space="0" w:color="000000"/>
            </w:tcBorders>
          </w:tcPr>
          <w:p>
            <w:pPr>
              <w:spacing w:lineRule="auto"/>
            </w:pPr>
            <w:r>
              <w:rPr/>
              <w:t xml:space="preserve">2650</w:t>
            </w:r>
          </w:p>
        </w:tc>
        <w:tc>
          <w:tcPr>
            <w:tcBorders>
              <w:top w:val="single" w:sz="1" w:space="0" w:color="000000"/>
              <w:left w:val="single" w:sz="1" w:space="0" w:color="000000"/>
              <w:bottom w:val="single" w:sz="1" w:space="0" w:color="000000"/>
            </w:tcBorders>
          </w:tcPr>
          <w:p>
            <w:pPr>
              <w:spacing w:lineRule="auto"/>
            </w:pPr>
            <w:r>
              <w:rPr/>
              <w:t xml:space="preserve">2900</w:t>
            </w:r>
          </w:p>
        </w:tc>
      </w:tr>
      <w:tr>
        <w:trPr>
          <w:cantSplit/>
        </w:trPr>
        <w:tc>
          <w:tcPr>
            <w:tcBorders>
              <w:top w:val="single" w:sz="1" w:space="0" w:color="000000"/>
              <w:bottom w:val="single" w:sz="1" w:space="0" w:color="000000"/>
            </w:tcBorders>
          </w:tcPr>
          <w:p>
            <w:pPr>
              <w:spacing w:lineRule="auto"/>
            </w:pPr>
            <w:r>
              <w:rPr/>
              <w:t xml:space="preserve">Inventories</w:t>
            </w:r>
          </w:p>
        </w:tc>
        <w:tc>
          <w:tcPr>
            <w:tcBorders>
              <w:top w:val="single" w:sz="1" w:space="0" w:color="000000"/>
              <w:left w:val="single" w:sz="1" w:space="0" w:color="000000"/>
              <w:bottom w:val="single" w:sz="1" w:space="0" w:color="000000"/>
            </w:tcBorders>
          </w:tcPr>
          <w:p>
            <w:pPr>
              <w:spacing w:lineRule="auto"/>
            </w:pPr>
            <w:r>
              <w:rPr/>
              <w:t xml:space="preserve">1400</w:t>
            </w:r>
          </w:p>
        </w:tc>
        <w:tc>
          <w:tcPr>
            <w:tcBorders>
              <w:top w:val="single" w:sz="1" w:space="0" w:color="000000"/>
              <w:left w:val="single" w:sz="1" w:space="0" w:color="000000"/>
              <w:bottom w:val="single" w:sz="1" w:space="0" w:color="000000"/>
            </w:tcBorders>
          </w:tcPr>
          <w:p>
            <w:pPr>
              <w:spacing w:lineRule="auto"/>
            </w:pPr>
            <w:r>
              <w:rPr/>
              <w:t xml:space="preserve">1550</w:t>
            </w:r>
          </w:p>
        </w:tc>
        <w:tc>
          <w:tcPr>
            <w:tcBorders>
              <w:top w:val="single" w:sz="1" w:space="0" w:color="000000"/>
              <w:left w:val="single" w:sz="1" w:space="0" w:color="000000"/>
              <w:bottom w:val="single" w:sz="1" w:space="0" w:color="000000"/>
            </w:tcBorders>
          </w:tcPr>
          <w:p>
            <w:pPr>
              <w:spacing w:lineRule="auto"/>
            </w:pPr>
            <w:r>
              <w:rPr/>
              <w:t xml:space="preserve">1750</w:t>
            </w:r>
          </w:p>
        </w:tc>
        <w:tc>
          <w:tcPr>
            <w:tcBorders>
              <w:top w:val="single" w:sz="1" w:space="0" w:color="000000"/>
              <w:left w:val="single" w:sz="1" w:space="0" w:color="000000"/>
              <w:bottom w:val="single" w:sz="1" w:space="0" w:color="000000"/>
            </w:tcBorders>
          </w:tcPr>
          <w:p>
            <w:pPr>
              <w:spacing w:lineRule="auto"/>
            </w:pPr>
            <w:r>
              <w:rPr/>
              <w:t xml:space="preserve">1900</w:t>
            </w:r>
          </w:p>
        </w:tc>
        <w:tc>
          <w:tcPr>
            <w:tcBorders>
              <w:top w:val="single" w:sz="1" w:space="0" w:color="000000"/>
              <w:left w:val="single" w:sz="1" w:space="0" w:color="000000"/>
              <w:bottom w:val="single" w:sz="1" w:space="0" w:color="000000"/>
            </w:tcBorders>
          </w:tcPr>
          <w:p>
            <w:pPr>
              <w:spacing w:lineRule="auto"/>
            </w:pPr>
            <w:r>
              <w:rPr/>
              <w:t xml:space="preserve">2050</w:t>
            </w:r>
          </w:p>
        </w:tc>
      </w:tr>
      <w:tr>
        <w:trPr>
          <w:cantSplit/>
        </w:trPr>
        <w:tc>
          <w:tcPr>
            <w:tcBorders>
              <w:top w:val="single" w:sz="1" w:space="0" w:color="000000"/>
              <w:bottom w:val="single" w:sz="1" w:space="0" w:color="000000"/>
            </w:tcBorders>
          </w:tcPr>
          <w:p>
            <w:pPr>
              <w:spacing w:lineRule="auto"/>
            </w:pPr>
            <w:r>
              <w:rPr/>
              <w:t xml:space="preserve">Prepaid Expenses &amp; Others</w:t>
            </w:r>
          </w:p>
        </w:tc>
        <w:tc>
          <w:tcPr>
            <w:tcBorders>
              <w:top w:val="single" w:sz="1" w:space="0" w:color="000000"/>
              <w:left w:val="single" w:sz="1" w:space="0" w:color="000000"/>
              <w:bottom w:val="single" w:sz="1" w:space="0" w:color="000000"/>
            </w:tcBorders>
          </w:tcPr>
          <w:p>
            <w:pPr>
              <w:spacing w:lineRule="auto"/>
            </w:pPr>
            <w:r>
              <w:rPr/>
              <w:t xml:space="preserve">350</w:t>
            </w:r>
          </w:p>
        </w:tc>
        <w:tc>
          <w:tcPr>
            <w:tcBorders>
              <w:top w:val="single" w:sz="1" w:space="0" w:color="000000"/>
              <w:left w:val="single" w:sz="1" w:space="0" w:color="000000"/>
              <w:bottom w:val="single" w:sz="1" w:space="0" w:color="000000"/>
            </w:tcBorders>
          </w:tcPr>
          <w:p>
            <w:pPr>
              <w:spacing w:lineRule="auto"/>
            </w:pPr>
            <w:r>
              <w:rPr/>
              <w:t xml:space="preserve">400</w:t>
            </w:r>
          </w:p>
        </w:tc>
        <w:tc>
          <w:tcPr>
            <w:tcBorders>
              <w:top w:val="single" w:sz="1" w:space="0" w:color="000000"/>
              <w:left w:val="single" w:sz="1" w:space="0" w:color="000000"/>
              <w:bottom w:val="single" w:sz="1" w:space="0" w:color="000000"/>
            </w:tcBorders>
          </w:tcPr>
          <w:p>
            <w:pPr>
              <w:spacing w:lineRule="auto"/>
            </w:pPr>
            <w:r>
              <w:rPr/>
              <w:t xml:space="preserve">450</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600</w:t>
            </w:r>
          </w:p>
        </w:tc>
      </w:tr>
      <w:tr>
        <w:trPr>
          <w:cantSplit/>
        </w:trPr>
        <w:tc>
          <w:tcPr>
            <w:tcBorders>
              <w:top w:val="single" w:sz="1" w:space="0" w:color="000000"/>
              <w:bottom w:val="single" w:sz="1" w:space="0" w:color="000000"/>
            </w:tcBorders>
          </w:tcPr>
          <w:p>
            <w:pPr>
              <w:spacing w:lineRule="auto"/>
            </w:pPr>
            <w:r>
              <w:rPr>
                <w:b/>
              </w:rPr>
              <w:t xml:space="preserve">Total Current Assets</w:t>
            </w:r>
          </w:p>
        </w:tc>
        <w:tc>
          <w:tcPr>
            <w:tcBorders>
              <w:top w:val="single" w:sz="1" w:space="0" w:color="000000"/>
              <w:left w:val="single" w:sz="1" w:space="0" w:color="000000"/>
              <w:bottom w:val="single" w:sz="1" w:space="0" w:color="000000"/>
            </w:tcBorders>
          </w:tcPr>
          <w:p>
            <w:pPr>
              <w:spacing w:lineRule="auto"/>
            </w:pPr>
            <w:r>
              <w:rPr>
                <w:b/>
              </w:rPr>
              <w:t xml:space="preserve">6600</w:t>
            </w:r>
          </w:p>
        </w:tc>
        <w:tc>
          <w:tcPr>
            <w:tcBorders>
              <w:top w:val="single" w:sz="1" w:space="0" w:color="000000"/>
              <w:left w:val="single" w:sz="1" w:space="0" w:color="000000"/>
              <w:bottom w:val="single" w:sz="1" w:space="0" w:color="000000"/>
            </w:tcBorders>
          </w:tcPr>
          <w:p>
            <w:pPr>
              <w:spacing w:lineRule="auto"/>
            </w:pPr>
            <w:r>
              <w:rPr>
                <w:b/>
              </w:rPr>
              <w:t xml:space="preserve">7070</w:t>
            </w:r>
          </w:p>
        </w:tc>
        <w:tc>
          <w:tcPr>
            <w:tcBorders>
              <w:top w:val="single" w:sz="1" w:space="0" w:color="000000"/>
              <w:left w:val="single" w:sz="1" w:space="0" w:color="000000"/>
              <w:bottom w:val="single" w:sz="1" w:space="0" w:color="000000"/>
            </w:tcBorders>
          </w:tcPr>
          <w:p>
            <w:pPr>
              <w:spacing w:lineRule="auto"/>
            </w:pPr>
            <w:r>
              <w:rPr>
                <w:b/>
              </w:rPr>
              <w:t xml:space="preserve">7880</w:t>
            </w:r>
          </w:p>
        </w:tc>
        <w:tc>
          <w:tcPr>
            <w:tcBorders>
              <w:top w:val="single" w:sz="1" w:space="0" w:color="000000"/>
              <w:left w:val="single" w:sz="1" w:space="0" w:color="000000"/>
              <w:bottom w:val="single" w:sz="1" w:space="0" w:color="000000"/>
            </w:tcBorders>
          </w:tcPr>
          <w:p>
            <w:pPr>
              <w:spacing w:lineRule="auto"/>
            </w:pPr>
            <w:r>
              <w:rPr>
                <w:b/>
              </w:rPr>
              <w:t xml:space="preserve">8500</w:t>
            </w:r>
          </w:p>
        </w:tc>
        <w:tc>
          <w:tcPr>
            <w:tcBorders>
              <w:top w:val="single" w:sz="1" w:space="0" w:color="000000"/>
              <w:left w:val="single" w:sz="1" w:space="0" w:color="000000"/>
              <w:bottom w:val="single" w:sz="1" w:space="0" w:color="000000"/>
            </w:tcBorders>
          </w:tcPr>
          <w:p>
            <w:pPr>
              <w:spacing w:lineRule="auto"/>
            </w:pPr>
            <w:r>
              <w:rPr>
                <w:b/>
              </w:rPr>
              <w:t xml:space="preserve">9250</w:t>
            </w:r>
          </w:p>
        </w:tc>
      </w:tr>
    </w:tbl>
    <w:p>
      <w:pPr>
        <w:spacing w:lineRule="auto"/>
      </w:pPr>
    </w:p>
    <w:p>
      <w:pPr>
        <w:spacing w:after="210" w:lineRule="auto"/>
      </w:pPr>
      <w:r>
        <w:rPr>
          <w:i/>
        </w:rPr>
        <w:t xml:space="preserve">Note: All figures are illustrative for demonstration. Actual figures should be extracted from the official HUL annual reports.</w:t>
      </w:r>
    </w:p>
    <w:p>
      <w:pPr>
        <w:spacing w:line="271" w:before="240" w:lineRule="auto"/>
      </w:pPr>
      <w:bookmarkStart w:id="34" w:name="bm_4_2_2_current_liabilities_in_crore"/>
      <w:r>
        <w:rPr>
          <w:rFonts w:eastAsia="Georgia" w:cs="Georgia" w:ascii="Georgia" w:hAnsi="Georgia"/>
          <w:b/>
          <w:sz w:val="28"/>
        </w:rPr>
        <w:t xml:space="preserve">4.2.2 Current Liabilities (in ₹ Crore)</w:t>
      </w:r>
      <w:bookmarkEnd w:id="3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Item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FY2020–21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FY2021–22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FY2022–23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FY2023–24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FY2024–25</w:t>
            </w:r>
          </w:p>
        </w:tc>
      </w:tr>
      <w:tr>
        <w:trPr>
          <w:cantSplit/>
        </w:trPr>
        <w:tc>
          <w:tcPr>
            <w:tcBorders>
              <w:top w:val="single" w:sz="1" w:space="0" w:color="000000"/>
              <w:bottom w:val="single" w:sz="1" w:space="0" w:color="000000"/>
            </w:tcBorders>
          </w:tcPr>
          <w:p>
            <w:pPr>
              <w:spacing w:lineRule="auto"/>
            </w:pPr>
            <w:r>
              <w:rPr/>
              <w:t xml:space="preserve">Trade Payables</w:t>
            </w:r>
          </w:p>
        </w:tc>
        <w:tc>
          <w:tcPr>
            <w:tcBorders>
              <w:top w:val="single" w:sz="1" w:space="0" w:color="000000"/>
              <w:left w:val="single" w:sz="1" w:space="0" w:color="000000"/>
              <w:bottom w:val="single" w:sz="1" w:space="0" w:color="000000"/>
            </w:tcBorders>
          </w:tcPr>
          <w:p>
            <w:pPr>
              <w:spacing w:lineRule="auto"/>
            </w:pPr>
            <w:r>
              <w:rPr/>
              <w:t xml:space="preserve">2500</w:t>
            </w:r>
          </w:p>
        </w:tc>
        <w:tc>
          <w:tcPr>
            <w:tcBorders>
              <w:top w:val="single" w:sz="1" w:space="0" w:color="000000"/>
              <w:left w:val="single" w:sz="1" w:space="0" w:color="000000"/>
              <w:bottom w:val="single" w:sz="1" w:space="0" w:color="000000"/>
            </w:tcBorders>
          </w:tcPr>
          <w:p>
            <w:pPr>
              <w:spacing w:lineRule="auto"/>
            </w:pPr>
            <w:r>
              <w:rPr/>
              <w:t xml:space="preserve">2800</w:t>
            </w:r>
          </w:p>
        </w:tc>
        <w:tc>
          <w:tcPr>
            <w:tcBorders>
              <w:top w:val="single" w:sz="1" w:space="0" w:color="000000"/>
              <w:left w:val="single" w:sz="1" w:space="0" w:color="000000"/>
              <w:bottom w:val="single" w:sz="1" w:space="0" w:color="000000"/>
            </w:tcBorders>
          </w:tcPr>
          <w:p>
            <w:pPr>
              <w:spacing w:lineRule="auto"/>
            </w:pPr>
            <w:r>
              <w:rPr/>
              <w:t xml:space="preserve">3100</w:t>
            </w:r>
          </w:p>
        </w:tc>
        <w:tc>
          <w:tcPr>
            <w:tcBorders>
              <w:top w:val="single" w:sz="1" w:space="0" w:color="000000"/>
              <w:left w:val="single" w:sz="1" w:space="0" w:color="000000"/>
              <w:bottom w:val="single" w:sz="1" w:space="0" w:color="000000"/>
            </w:tcBorders>
          </w:tcPr>
          <w:p>
            <w:pPr>
              <w:spacing w:lineRule="auto"/>
            </w:pPr>
            <w:r>
              <w:rPr/>
              <w:t xml:space="preserve">3400</w:t>
            </w:r>
          </w:p>
        </w:tc>
        <w:tc>
          <w:tcPr>
            <w:tcBorders>
              <w:top w:val="single" w:sz="1" w:space="0" w:color="000000"/>
              <w:left w:val="single" w:sz="1" w:space="0" w:color="000000"/>
              <w:bottom w:val="single" w:sz="1" w:space="0" w:color="000000"/>
            </w:tcBorders>
          </w:tcPr>
          <w:p>
            <w:pPr>
              <w:spacing w:lineRule="auto"/>
            </w:pPr>
            <w:r>
              <w:rPr/>
              <w:t xml:space="preserve">3700</w:t>
            </w:r>
          </w:p>
        </w:tc>
      </w:tr>
      <w:tr>
        <w:trPr>
          <w:cantSplit/>
        </w:trPr>
        <w:tc>
          <w:tcPr>
            <w:tcBorders>
              <w:top w:val="single" w:sz="1" w:space="0" w:color="000000"/>
              <w:bottom w:val="single" w:sz="1" w:space="0" w:color="000000"/>
            </w:tcBorders>
          </w:tcPr>
          <w:p>
            <w:pPr>
              <w:spacing w:lineRule="auto"/>
            </w:pPr>
            <w:r>
              <w:rPr/>
              <w:t xml:space="preserve">Short-term Borrowings</w:t>
            </w:r>
          </w:p>
        </w:tc>
        <w:tc>
          <w:tcPr>
            <w:tcBorders>
              <w:top w:val="single" w:sz="1" w:space="0" w:color="000000"/>
              <w:left w:val="single" w:sz="1" w:space="0" w:color="000000"/>
              <w:bottom w:val="single" w:sz="1" w:space="0" w:color="000000"/>
            </w:tcBorders>
          </w:tcPr>
          <w:p>
            <w:pPr>
              <w:spacing w:lineRule="auto"/>
            </w:pPr>
            <w:r>
              <w:rPr/>
              <w:t xml:space="preserve">100</w:t>
            </w:r>
          </w:p>
        </w:tc>
        <w:tc>
          <w:tcPr>
            <w:tcBorders>
              <w:top w:val="single" w:sz="1" w:space="0" w:color="000000"/>
              <w:left w:val="single" w:sz="1" w:space="0" w:color="000000"/>
              <w:bottom w:val="single" w:sz="1" w:space="0" w:color="000000"/>
            </w:tcBorders>
          </w:tcPr>
          <w:p>
            <w:pPr>
              <w:spacing w:lineRule="auto"/>
            </w:pPr>
            <w:r>
              <w:rPr/>
              <w:t xml:space="preserve">150</w:t>
            </w:r>
          </w:p>
        </w:tc>
        <w:tc>
          <w:tcPr>
            <w:tcBorders>
              <w:top w:val="single" w:sz="1" w:space="0" w:color="000000"/>
              <w:left w:val="single" w:sz="1" w:space="0" w:color="000000"/>
              <w:bottom w:val="single" w:sz="1" w:space="0" w:color="000000"/>
            </w:tcBorders>
          </w:tcPr>
          <w:p>
            <w:pPr>
              <w:spacing w:lineRule="auto"/>
            </w:pPr>
            <w:r>
              <w:rPr/>
              <w:t xml:space="preserve">200</w:t>
            </w:r>
          </w:p>
        </w:tc>
        <w:tc>
          <w:tcPr>
            <w:tcBorders>
              <w:top w:val="single" w:sz="1" w:space="0" w:color="000000"/>
              <w:left w:val="single" w:sz="1" w:space="0" w:color="000000"/>
              <w:bottom w:val="single" w:sz="1" w:space="0" w:color="000000"/>
            </w:tcBorders>
          </w:tcPr>
          <w:p>
            <w:pPr>
              <w:spacing w:lineRule="auto"/>
            </w:pPr>
            <w:r>
              <w:rPr/>
              <w:t xml:space="preserve">180</w:t>
            </w:r>
          </w:p>
        </w:tc>
        <w:tc>
          <w:tcPr>
            <w:tcBorders>
              <w:top w:val="single" w:sz="1" w:space="0" w:color="000000"/>
              <w:left w:val="single" w:sz="1" w:space="0" w:color="000000"/>
              <w:bottom w:val="single" w:sz="1" w:space="0" w:color="000000"/>
            </w:tcBorders>
          </w:tcPr>
          <w:p>
            <w:pPr>
              <w:spacing w:lineRule="auto"/>
            </w:pPr>
            <w:r>
              <w:rPr/>
              <w:t xml:space="preserve">150</w:t>
            </w:r>
          </w:p>
        </w:tc>
      </w:tr>
      <w:tr>
        <w:trPr>
          <w:cantSplit/>
        </w:trPr>
        <w:tc>
          <w:tcPr>
            <w:tcBorders>
              <w:top w:val="single" w:sz="1" w:space="0" w:color="000000"/>
              <w:bottom w:val="single" w:sz="1" w:space="0" w:color="000000"/>
            </w:tcBorders>
          </w:tcPr>
          <w:p>
            <w:pPr>
              <w:spacing w:lineRule="auto"/>
            </w:pPr>
            <w:r>
              <w:rPr/>
              <w:t xml:space="preserve">Current Provisions</w:t>
            </w:r>
          </w:p>
        </w:tc>
        <w:tc>
          <w:tcPr>
            <w:tcBorders>
              <w:top w:val="single" w:sz="1" w:space="0" w:color="000000"/>
              <w:left w:val="single" w:sz="1" w:space="0" w:color="000000"/>
              <w:bottom w:val="single" w:sz="1" w:space="0" w:color="000000"/>
            </w:tcBorders>
          </w:tcPr>
          <w:p>
            <w:pPr>
              <w:spacing w:lineRule="auto"/>
            </w:pPr>
            <w:r>
              <w:rPr/>
              <w:t xml:space="preserve">500</w:t>
            </w:r>
          </w:p>
        </w:tc>
        <w:tc>
          <w:tcPr>
            <w:tcBorders>
              <w:top w:val="single" w:sz="1" w:space="0" w:color="000000"/>
              <w:left w:val="single" w:sz="1" w:space="0" w:color="000000"/>
              <w:bottom w:val="single" w:sz="1" w:space="0" w:color="000000"/>
            </w:tcBorders>
          </w:tcPr>
          <w:p>
            <w:pPr>
              <w:spacing w:lineRule="auto"/>
            </w:pPr>
            <w:r>
              <w:rPr/>
              <w:t xml:space="preserve">550</w:t>
            </w:r>
          </w:p>
        </w:tc>
        <w:tc>
          <w:tcPr>
            <w:tcBorders>
              <w:top w:val="single" w:sz="1" w:space="0" w:color="000000"/>
              <w:left w:val="single" w:sz="1" w:space="0" w:color="000000"/>
              <w:bottom w:val="single" w:sz="1" w:space="0" w:color="000000"/>
            </w:tcBorders>
          </w:tcPr>
          <w:p>
            <w:pPr>
              <w:spacing w:lineRule="auto"/>
            </w:pPr>
            <w:r>
              <w:rPr/>
              <w:t xml:space="preserve">600</w:t>
            </w:r>
          </w:p>
        </w:tc>
        <w:tc>
          <w:tcPr>
            <w:tcBorders>
              <w:top w:val="single" w:sz="1" w:space="0" w:color="000000"/>
              <w:left w:val="single" w:sz="1" w:space="0" w:color="000000"/>
              <w:bottom w:val="single" w:sz="1" w:space="0" w:color="000000"/>
            </w:tcBorders>
          </w:tcPr>
          <w:p>
            <w:pPr>
              <w:spacing w:lineRule="auto"/>
            </w:pPr>
            <w:r>
              <w:rPr/>
              <w:t xml:space="preserve">650</w:t>
            </w:r>
          </w:p>
        </w:tc>
        <w:tc>
          <w:tcPr>
            <w:tcBorders>
              <w:top w:val="single" w:sz="1" w:space="0" w:color="000000"/>
              <w:left w:val="single" w:sz="1" w:space="0" w:color="000000"/>
              <w:bottom w:val="single" w:sz="1" w:space="0" w:color="000000"/>
            </w:tcBorders>
          </w:tcPr>
          <w:p>
            <w:pPr>
              <w:spacing w:lineRule="auto"/>
            </w:pPr>
            <w:r>
              <w:rPr/>
              <w:t xml:space="preserve">700</w:t>
            </w:r>
          </w:p>
        </w:tc>
      </w:tr>
      <w:tr>
        <w:trPr>
          <w:cantSplit/>
        </w:trPr>
        <w:tc>
          <w:tcPr>
            <w:tcBorders>
              <w:top w:val="single" w:sz="1" w:space="0" w:color="000000"/>
              <w:bottom w:val="single" w:sz="1" w:space="0" w:color="000000"/>
            </w:tcBorders>
          </w:tcPr>
          <w:p>
            <w:pPr>
              <w:spacing w:lineRule="auto"/>
            </w:pPr>
            <w:r>
              <w:rPr/>
              <w:t xml:space="preserve">Other Current Liabilities</w:t>
            </w:r>
          </w:p>
        </w:tc>
        <w:tc>
          <w:tcPr>
            <w:tcBorders>
              <w:top w:val="single" w:sz="1" w:space="0" w:color="000000"/>
              <w:left w:val="single" w:sz="1" w:space="0" w:color="000000"/>
              <w:bottom w:val="single" w:sz="1" w:space="0" w:color="000000"/>
            </w:tcBorders>
          </w:tcPr>
          <w:p>
            <w:pPr>
              <w:spacing w:lineRule="auto"/>
            </w:pPr>
            <w:r>
              <w:rPr/>
              <w:t xml:space="preserve">1100</w:t>
            </w:r>
          </w:p>
        </w:tc>
        <w:tc>
          <w:tcPr>
            <w:tcBorders>
              <w:top w:val="single" w:sz="1" w:space="0" w:color="000000"/>
              <w:left w:val="single" w:sz="1" w:space="0" w:color="000000"/>
              <w:bottom w:val="single" w:sz="1" w:space="0" w:color="000000"/>
            </w:tcBorders>
          </w:tcPr>
          <w:p>
            <w:pPr>
              <w:spacing w:lineRule="auto"/>
            </w:pPr>
            <w:r>
              <w:rPr/>
              <w:t xml:space="preserve">1200</w:t>
            </w:r>
          </w:p>
        </w:tc>
        <w:tc>
          <w:tcPr>
            <w:tcBorders>
              <w:top w:val="single" w:sz="1" w:space="0" w:color="000000"/>
              <w:left w:val="single" w:sz="1" w:space="0" w:color="000000"/>
              <w:bottom w:val="single" w:sz="1" w:space="0" w:color="000000"/>
            </w:tcBorders>
          </w:tcPr>
          <w:p>
            <w:pPr>
              <w:spacing w:lineRule="auto"/>
            </w:pPr>
            <w:r>
              <w:rPr/>
              <w:t xml:space="preserve">1300</w:t>
            </w:r>
          </w:p>
        </w:tc>
        <w:tc>
          <w:tcPr>
            <w:tcBorders>
              <w:top w:val="single" w:sz="1" w:space="0" w:color="000000"/>
              <w:left w:val="single" w:sz="1" w:space="0" w:color="000000"/>
              <w:bottom w:val="single" w:sz="1" w:space="0" w:color="000000"/>
            </w:tcBorders>
          </w:tcPr>
          <w:p>
            <w:pPr>
              <w:spacing w:lineRule="auto"/>
            </w:pPr>
            <w:r>
              <w:rPr/>
              <w:t xml:space="preserve">1400</w:t>
            </w:r>
          </w:p>
        </w:tc>
        <w:tc>
          <w:tcPr>
            <w:tcBorders>
              <w:top w:val="single" w:sz="1" w:space="0" w:color="000000"/>
              <w:left w:val="single" w:sz="1" w:space="0" w:color="000000"/>
              <w:bottom w:val="single" w:sz="1" w:space="0" w:color="000000"/>
            </w:tcBorders>
          </w:tcPr>
          <w:p>
            <w:pPr>
              <w:spacing w:lineRule="auto"/>
            </w:pPr>
            <w:r>
              <w:rPr/>
              <w:t xml:space="preserve">1500</w:t>
            </w:r>
          </w:p>
        </w:tc>
      </w:tr>
      <w:tr>
        <w:trPr>
          <w:cantSplit/>
        </w:trPr>
        <w:tc>
          <w:tcPr>
            <w:tcBorders>
              <w:top w:val="single" w:sz="1" w:space="0" w:color="000000"/>
              <w:bottom w:val="single" w:sz="1" w:space="0" w:color="000000"/>
            </w:tcBorders>
          </w:tcPr>
          <w:p>
            <w:pPr>
              <w:spacing w:lineRule="auto"/>
            </w:pPr>
            <w:r>
              <w:rPr>
                <w:b/>
              </w:rPr>
              <w:t xml:space="preserve">Total Current Liabilities</w:t>
            </w:r>
          </w:p>
        </w:tc>
        <w:tc>
          <w:tcPr>
            <w:tcBorders>
              <w:top w:val="single" w:sz="1" w:space="0" w:color="000000"/>
              <w:left w:val="single" w:sz="1" w:space="0" w:color="000000"/>
              <w:bottom w:val="single" w:sz="1" w:space="0" w:color="000000"/>
            </w:tcBorders>
          </w:tcPr>
          <w:p>
            <w:pPr>
              <w:spacing w:lineRule="auto"/>
            </w:pPr>
            <w:r>
              <w:rPr>
                <w:b/>
              </w:rPr>
              <w:t xml:space="preserve">6300</w:t>
            </w:r>
          </w:p>
        </w:tc>
        <w:tc>
          <w:tcPr>
            <w:tcBorders>
              <w:top w:val="single" w:sz="1" w:space="0" w:color="000000"/>
              <w:left w:val="single" w:sz="1" w:space="0" w:color="000000"/>
              <w:bottom w:val="single" w:sz="1" w:space="0" w:color="000000"/>
            </w:tcBorders>
          </w:tcPr>
          <w:p>
            <w:pPr>
              <w:spacing w:lineRule="auto"/>
            </w:pPr>
            <w:r>
              <w:rPr>
                <w:b/>
              </w:rPr>
              <w:t xml:space="preserve">6700</w:t>
            </w:r>
          </w:p>
        </w:tc>
        <w:tc>
          <w:tcPr>
            <w:tcBorders>
              <w:top w:val="single" w:sz="1" w:space="0" w:color="000000"/>
              <w:left w:val="single" w:sz="1" w:space="0" w:color="000000"/>
              <w:bottom w:val="single" w:sz="1" w:space="0" w:color="000000"/>
            </w:tcBorders>
          </w:tcPr>
          <w:p>
            <w:pPr>
              <w:spacing w:lineRule="auto"/>
            </w:pPr>
            <w:r>
              <w:rPr>
                <w:b/>
              </w:rPr>
              <w:t xml:space="preserve">7200</w:t>
            </w:r>
          </w:p>
        </w:tc>
        <w:tc>
          <w:tcPr>
            <w:tcBorders>
              <w:top w:val="single" w:sz="1" w:space="0" w:color="000000"/>
              <w:left w:val="single" w:sz="1" w:space="0" w:color="000000"/>
              <w:bottom w:val="single" w:sz="1" w:space="0" w:color="000000"/>
            </w:tcBorders>
          </w:tcPr>
          <w:p>
            <w:pPr>
              <w:spacing w:lineRule="auto"/>
            </w:pPr>
            <w:r>
              <w:rPr>
                <w:b/>
              </w:rPr>
              <w:t xml:space="preserve">7630</w:t>
            </w:r>
          </w:p>
        </w:tc>
        <w:tc>
          <w:tcPr>
            <w:tcBorders>
              <w:top w:val="single" w:sz="1" w:space="0" w:color="000000"/>
              <w:left w:val="single" w:sz="1" w:space="0" w:color="000000"/>
              <w:bottom w:val="single" w:sz="1" w:space="0" w:color="000000"/>
            </w:tcBorders>
          </w:tcPr>
          <w:p>
            <w:pPr>
              <w:spacing w:lineRule="auto"/>
            </w:pPr>
            <w:r>
              <w:rPr>
                <w:b/>
              </w:rPr>
              <w:t xml:space="preserve">8050</w:t>
            </w:r>
          </w:p>
        </w:tc>
      </w:tr>
    </w:tbl>
    <w:p>
      <w:pPr>
        <w:spacing w:lineRule="auto"/>
      </w:pPr>
    </w:p>
    <w:p>
      <w:pPr>
        <w:spacing w:after="210" w:lineRule="auto"/>
      </w:pPr>
      <w:r>
        <w:rPr>
          <w:i/>
        </w:rPr>
        <w:t xml:space="preserve">Note: All figures are illustrative. Actual figures from annual reports should be used.</w:t>
      </w:r>
    </w:p>
    <w:p>
      <w:pPr>
        <w:spacing w:line="271" w:before="240" w:lineRule="auto"/>
      </w:pPr>
      <w:bookmarkStart w:id="35" w:name="bm_4_2_3_net_sales_and_cogs_in_crore"/>
      <w:r>
        <w:rPr>
          <w:rFonts w:eastAsia="Georgia" w:cs="Georgia" w:ascii="Georgia" w:hAnsi="Georgia"/>
          <w:b/>
          <w:sz w:val="28"/>
        </w:rPr>
        <w:t xml:space="preserve">4.2.3 Net Sales and COGS (in ₹ Crore)</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1" w:space="0" w:color="000000"/>
              <w:bottom w:val="single" w:sz="1" w:space="0" w:color="000000"/>
            </w:tcBorders>
          </w:tcPr>
          <w:p>
            <w:pPr>
              <w:spacing w:lineRule="auto"/>
            </w:pPr>
            <w:r>
              <w:rPr/>
              <w:t xml:space="preserve">Item</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FY2020–21</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FY2021–22</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FY2022–23</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FY2023–24</w:t>
            </w:r>
          </w:p>
        </w:tc>
        <w:tc>
          <w:tcPr>
            <w:tcBorders>
              <w:top w:val="single" w:sz="1" w:space="0" w:color="000000"/>
              <w:left w:val="single" w:sz="1" w:space="0" w:color="000000"/>
              <w:bottom w:val="single" w:sz="1" w:space="0" w:color="000000"/>
            </w:tcBorders>
          </w:tcPr>
          <w:p>
            <w:pPr>
              <w:spacing w:lineRule="auto"/>
            </w:pPr>
            <w:r>
              <w:rPr>
                <w:rFonts w:eastAsia="Georgia" w:cs="Georgia" w:ascii="Georgia" w:hAnsi="Georgia"/>
              </w:rPr>
              <w:t xml:space="preserve">FY2024–25</w:t>
            </w:r>
          </w:p>
        </w:tc>
      </w:tr>
      <w:tr>
        <w:trPr>
          <w:cantSplit/>
        </w:trPr>
        <w:tc>
          <w:tcPr>
            <w:tcBorders>
              <w:top w:val="single" w:sz="1" w:space="0" w:color="000000"/>
              <w:bottom w:val="single" w:sz="1" w:space="0" w:color="000000"/>
            </w:tcBorders>
          </w:tcPr>
          <w:p>
            <w:pPr>
              <w:spacing w:lineRule="auto"/>
            </w:pPr>
            <w:r>
              <w:rPr>
                <w:b/>
              </w:rPr>
              <w:t xml:space="preserve">Net Sales</w:t>
            </w:r>
          </w:p>
        </w:tc>
        <w:tc>
          <w:tcPr>
            <w:tcBorders>
              <w:top w:val="single" w:sz="1" w:space="0" w:color="000000"/>
              <w:left w:val="single" w:sz="1" w:space="0" w:color="000000"/>
              <w:bottom w:val="single" w:sz="1" w:space="0" w:color="000000"/>
            </w:tcBorders>
          </w:tcPr>
          <w:p>
            <w:pPr>
              <w:spacing w:lineRule="auto"/>
            </w:pPr>
            <w:r>
              <w:rPr/>
              <w:t xml:space="preserve">38000</w:t>
            </w:r>
          </w:p>
        </w:tc>
        <w:tc>
          <w:tcPr>
            <w:tcBorders>
              <w:top w:val="single" w:sz="1" w:space="0" w:color="000000"/>
              <w:left w:val="single" w:sz="1" w:space="0" w:color="000000"/>
              <w:bottom w:val="single" w:sz="1" w:space="0" w:color="000000"/>
            </w:tcBorders>
          </w:tcPr>
          <w:p>
            <w:pPr>
              <w:spacing w:lineRule="auto"/>
            </w:pPr>
            <w:r>
              <w:rPr/>
              <w:t xml:space="preserve">41500</w:t>
            </w:r>
          </w:p>
        </w:tc>
        <w:tc>
          <w:tcPr>
            <w:tcBorders>
              <w:top w:val="single" w:sz="1" w:space="0" w:color="000000"/>
              <w:left w:val="single" w:sz="1" w:space="0" w:color="000000"/>
              <w:bottom w:val="single" w:sz="1" w:space="0" w:color="000000"/>
            </w:tcBorders>
          </w:tcPr>
          <w:p>
            <w:pPr>
              <w:spacing w:lineRule="auto"/>
            </w:pPr>
            <w:r>
              <w:rPr/>
              <w:t xml:space="preserve">44200</w:t>
            </w:r>
          </w:p>
        </w:tc>
        <w:tc>
          <w:tcPr>
            <w:tcBorders>
              <w:top w:val="single" w:sz="1" w:space="0" w:color="000000"/>
              <w:left w:val="single" w:sz="1" w:space="0" w:color="000000"/>
              <w:bottom w:val="single" w:sz="1" w:space="0" w:color="000000"/>
            </w:tcBorders>
          </w:tcPr>
          <w:p>
            <w:pPr>
              <w:spacing w:lineRule="auto"/>
            </w:pPr>
            <w:r>
              <w:rPr/>
              <w:t xml:space="preserve">46500</w:t>
            </w:r>
          </w:p>
        </w:tc>
        <w:tc>
          <w:tcPr>
            <w:tcBorders>
              <w:top w:val="single" w:sz="1" w:space="0" w:color="000000"/>
              <w:left w:val="single" w:sz="1" w:space="0" w:color="000000"/>
              <w:bottom w:val="single" w:sz="1" w:space="0" w:color="000000"/>
            </w:tcBorders>
          </w:tcPr>
          <w:p>
            <w:pPr>
              <w:spacing w:lineRule="auto"/>
            </w:pPr>
            <w:r>
              <w:rPr/>
              <w:t xml:space="preserve">48000</w:t>
            </w:r>
          </w:p>
        </w:tc>
      </w:tr>
      <w:tr>
        <w:trPr>
          <w:cantSplit/>
        </w:trPr>
        <w:tc>
          <w:tcPr>
            <w:tcBorders>
              <w:top w:val="single" w:sz="1" w:space="0" w:color="000000"/>
              <w:bottom w:val="single" w:sz="1" w:space="0" w:color="000000"/>
            </w:tcBorders>
          </w:tcPr>
          <w:p>
            <w:pPr>
              <w:spacing w:lineRule="auto"/>
            </w:pPr>
            <w:r>
              <w:rPr>
                <w:b/>
              </w:rPr>
              <w:t xml:space="preserve">Cost of Goods Sold</w:t>
            </w:r>
          </w:p>
        </w:tc>
        <w:tc>
          <w:tcPr>
            <w:tcBorders>
              <w:top w:val="single" w:sz="1" w:space="0" w:color="000000"/>
              <w:left w:val="single" w:sz="1" w:space="0" w:color="000000"/>
              <w:bottom w:val="single" w:sz="1" w:space="0" w:color="000000"/>
            </w:tcBorders>
          </w:tcPr>
          <w:p>
            <w:pPr>
              <w:spacing w:lineRule="auto"/>
            </w:pPr>
            <w:r>
              <w:rPr/>
              <w:t xml:space="preserve">18500</w:t>
            </w:r>
          </w:p>
        </w:tc>
        <w:tc>
          <w:tcPr>
            <w:tcBorders>
              <w:top w:val="single" w:sz="1" w:space="0" w:color="000000"/>
              <w:left w:val="single" w:sz="1" w:space="0" w:color="000000"/>
              <w:bottom w:val="single" w:sz="1" w:space="0" w:color="000000"/>
            </w:tcBorders>
          </w:tcPr>
          <w:p>
            <w:pPr>
              <w:spacing w:lineRule="auto"/>
            </w:pPr>
            <w:r>
              <w:rPr/>
              <w:t xml:space="preserve">20200</w:t>
            </w:r>
          </w:p>
        </w:tc>
        <w:tc>
          <w:tcPr>
            <w:tcBorders>
              <w:top w:val="single" w:sz="1" w:space="0" w:color="000000"/>
              <w:left w:val="single" w:sz="1" w:space="0" w:color="000000"/>
              <w:bottom w:val="single" w:sz="1" w:space="0" w:color="000000"/>
            </w:tcBorders>
          </w:tcPr>
          <w:p>
            <w:pPr>
              <w:spacing w:lineRule="auto"/>
            </w:pPr>
            <w:r>
              <w:rPr/>
              <w:t xml:space="preserve">21600</w:t>
            </w:r>
          </w:p>
        </w:tc>
        <w:tc>
          <w:tcPr>
            <w:tcBorders>
              <w:top w:val="single" w:sz="1" w:space="0" w:color="000000"/>
              <w:left w:val="single" w:sz="1" w:space="0" w:color="000000"/>
              <w:bottom w:val="single" w:sz="1" w:space="0" w:color="000000"/>
            </w:tcBorders>
          </w:tcPr>
          <w:p>
            <w:pPr>
              <w:spacing w:lineRule="auto"/>
            </w:pPr>
            <w:r>
              <w:rPr/>
              <w:t xml:space="preserve">22800</w:t>
            </w:r>
          </w:p>
        </w:tc>
        <w:tc>
          <w:tcPr>
            <w:tcBorders>
              <w:top w:val="single" w:sz="1" w:space="0" w:color="000000"/>
              <w:left w:val="single" w:sz="1" w:space="0" w:color="000000"/>
              <w:bottom w:val="single" w:sz="1" w:space="0" w:color="000000"/>
            </w:tcBorders>
          </w:tcPr>
          <w:p>
            <w:pPr>
              <w:spacing w:lineRule="auto"/>
            </w:pPr>
            <w:r>
              <w:rPr/>
              <w:t xml:space="preserve">23500</w:t>
            </w:r>
          </w:p>
        </w:tc>
      </w:tr>
    </w:tbl>
    <w:p>
      <w:pPr>
        <w:spacing w:lineRule="auto"/>
      </w:pPr>
    </w:p>
    <w:p>
      <w:pPr>
        <w:spacing w:after="210" w:lineRule="auto"/>
      </w:pPr>
      <w:r>
        <w:rPr>
          <w:i/>
        </w:rPr>
        <w:t xml:space="preserve">Note: All figures are illustrative and should be verified from official financial statements.</w:t>
      </w:r>
    </w:p>
    <w:p>
      <w:pPr>
        <w:spacing w:line="271" w:before="240" w:lineRule="auto"/>
      </w:pPr>
      <w:bookmarkStart w:id="36" w:name="bm_4_3_methodology"/>
      <w:r>
        <w:rPr>
          <w:b/>
          <w:sz w:val="33"/>
        </w:rPr>
        <w:t xml:space="preserve">4.3 Methodology</w:t>
      </w:r>
      <w:bookmarkEnd w:id="36"/>
    </w:p>
    <w:p>
      <w:pPr>
        <w:spacing w:line="271" w:before="240" w:lineRule="auto"/>
      </w:pPr>
      <w:bookmarkStart w:id="37" w:name="bm_4_3_1_analysis_approach"/>
      <w:r>
        <w:rPr>
          <w:b/>
          <w:sz w:val="28"/>
        </w:rPr>
        <w:t xml:space="preserve">4.3.1 Analysis Approach</w:t>
      </w:r>
      <w:bookmarkEnd w:id="37"/>
    </w:p>
    <w:p>
      <w:pPr>
        <w:spacing w:after="210" w:lineRule="auto"/>
      </w:pPr>
      <w:r>
        <w:rPr/>
        <w:t xml:space="preserve">The project employs a </w:t>
      </w:r>
      <w:r>
        <w:rPr>
          <w:b/>
        </w:rPr>
        <w:t xml:space="preserve">descriptive and quantitative analytical approach:</w:t>
      </w:r>
    </w:p>
    <w:p>
      <w:pPr>
        <w:numPr>
          <w:ilvl w:val="0"/>
          <w:numId w:val="33"/>
        </w:numPr>
        <w:spacing w:after="210" w:lineRule="auto"/>
      </w:pPr>
      <w:r>
        <w:rPr>
          <w:b/>
        </w:rPr>
        <w:t xml:space="preserve">Descriptive Analysis:</w:t>
      </w:r>
    </w:p>
    <w:p>
      <w:pPr>
        <w:numPr>
          <w:ilvl w:val="1"/>
          <w:numId w:val="33"/>
        </w:numPr>
        <w:spacing w:lineRule="auto"/>
      </w:pPr>
      <w:r>
        <w:rPr/>
        <w:t xml:space="preserve">Overview of working capital components and trends.</w:t>
      </w:r>
    </w:p>
    <w:p>
      <w:pPr>
        <w:numPr>
          <w:ilvl w:val="1"/>
          <w:numId w:val="33"/>
        </w:numPr>
        <w:spacing w:lineRule="auto"/>
      </w:pPr>
      <w:r>
        <w:rPr/>
        <w:t xml:space="preserve">Narrative explanation of findings and their implications.</w:t>
      </w:r>
    </w:p>
    <w:p>
      <w:pPr>
        <w:numPr>
          <w:ilvl w:val="0"/>
          <w:numId w:val="33"/>
        </w:numPr>
        <w:spacing w:after="210" w:lineRule="auto"/>
      </w:pPr>
      <w:r>
        <w:rPr>
          <w:b/>
        </w:rPr>
        <w:t xml:space="preserve">Quantitative Analysis:</w:t>
      </w:r>
    </w:p>
    <w:p>
      <w:pPr>
        <w:numPr>
          <w:ilvl w:val="1"/>
          <w:numId w:val="33"/>
        </w:numPr>
        <w:spacing w:lineRule="auto"/>
      </w:pPr>
      <w:r>
        <w:rPr/>
        <w:t xml:space="preserve">Calculation of working capital metrics and ratios.</w:t>
      </w:r>
    </w:p>
    <w:p>
      <w:pPr>
        <w:numPr>
          <w:ilvl w:val="1"/>
          <w:numId w:val="33"/>
        </w:numPr>
        <w:spacing w:lineRule="auto"/>
      </w:pPr>
      <w:r>
        <w:rPr/>
        <w:t xml:space="preserve">Trend analysis over the 5-year period.</w:t>
      </w:r>
    </w:p>
    <w:p>
      <w:pPr>
        <w:numPr>
          <w:ilvl w:val="1"/>
          <w:numId w:val="33"/>
        </w:numPr>
        <w:spacing w:lineRule="auto"/>
      </w:pPr>
      <w:r>
        <w:rPr/>
        <w:t xml:space="preserve">Year-on-year growth rates and percentage changes.</w:t>
      </w:r>
    </w:p>
    <w:p>
      <w:pPr>
        <w:numPr>
          <w:ilvl w:val="1"/>
          <w:numId w:val="33"/>
        </w:numPr>
        <w:spacing w:lineRule="auto"/>
      </w:pPr>
      <w:r>
        <w:rPr/>
        <w:t xml:space="preserve">Comparative analysis against industry benchmarks (if applicable).</w:t>
      </w:r>
    </w:p>
    <w:p>
      <w:pPr>
        <w:numPr>
          <w:ilvl w:val="0"/>
          <w:numId w:val="33"/>
        </w:numPr>
        <w:spacing w:after="210" w:lineRule="auto"/>
      </w:pPr>
      <w:r>
        <w:rPr>
          <w:b/>
        </w:rPr>
        <w:t xml:space="preserve">Graphical Representation:</w:t>
      </w:r>
    </w:p>
    <w:p>
      <w:pPr>
        <w:numPr>
          <w:ilvl w:val="1"/>
          <w:numId w:val="33"/>
        </w:numPr>
        <w:spacing w:lineRule="auto"/>
      </w:pPr>
      <w:r>
        <w:rPr/>
        <w:t xml:space="preserve">Line charts showing trends in key metrics.</w:t>
      </w:r>
    </w:p>
    <w:p>
      <w:pPr>
        <w:numPr>
          <w:ilvl w:val="1"/>
          <w:numId w:val="33"/>
        </w:numPr>
        <w:spacing w:lineRule="auto"/>
      </w:pPr>
      <w:r>
        <w:rPr/>
        <w:t xml:space="preserve">Bar charts for comparative analysis.</w:t>
      </w:r>
    </w:p>
    <w:p>
      <w:pPr>
        <w:numPr>
          <w:ilvl w:val="1"/>
          <w:numId w:val="33"/>
        </w:numPr>
        <w:spacing w:lineRule="auto"/>
      </w:pPr>
      <w:r>
        <w:rPr/>
        <w:t xml:space="preserve">Pie charts for component breakdowns.</w:t>
      </w:r>
    </w:p>
    <w:p>
      <w:pPr>
        <w:spacing w:line="271" w:before="240" w:lineRule="auto"/>
      </w:pPr>
      <w:bookmarkStart w:id="38" w:name="bm_4_3_2_calculation_methods"/>
      <w:r>
        <w:rPr>
          <w:b/>
          <w:sz w:val="28"/>
        </w:rPr>
        <w:t xml:space="preserve">4.3.2 Calculation Methods</w:t>
      </w:r>
      <w:bookmarkEnd w:id="38"/>
    </w:p>
    <w:p>
      <w:pPr>
        <w:spacing w:after="210" w:lineRule="auto"/>
      </w:pPr>
      <w:r>
        <w:rPr>
          <w:b/>
        </w:rPr>
        <w:t xml:space="preserve">Working Capital:</w:t>
      </w:r>
    </w:p>
    <w:p>
      <w:pPr>
        <w:spacing w:after="210" w:lineRule="auto"/>
      </w:pPr>
      <m:oMathPara>
        <m:oMath>
          <m:r>
            <m:rPr>
              <m:nor/>
            </m:rPr>
            <m:t>Net Working Capital</m:t>
          </m:r>
          <m:r>
            <m:rPr>
              <m:sty m:val="p"/>
            </m:rPr>
            <m:t>=</m:t>
          </m:r>
          <m:r>
            <m:rPr>
              <m:nor/>
            </m:rPr>
            <m:t>Current Assets</m:t>
          </m:r>
          <m:r>
            <m:rPr>
              <m:sty m:val="p"/>
            </m:rPr>
            <m:t>−</m:t>
          </m:r>
          <m:r>
            <m:rPr>
              <m:nor/>
            </m:rPr>
            <m:t>Current Liabilities</m:t>
          </m:r>
        </m:oMath>
      </m:oMathPara>
    </w:p>
    <w:p>
      <w:pPr>
        <w:spacing w:after="210" w:lineRule="auto"/>
      </w:pPr>
      <w:r>
        <w:rPr>
          <w:b/>
        </w:rPr>
        <w:t xml:space="preserve">Liquidity Ratios:</w:t>
      </w:r>
    </w:p>
    <w:p>
      <w:pPr>
        <w:spacing w:after="210" w:lineRule="auto"/>
      </w:pPr>
      <w:r>
        <w:rPr/>
        <w:t xml:space="preserve">All ratios defined in Section 3.5 are calculated year-by-year.</w:t>
      </w:r>
    </w:p>
    <w:p>
      <w:pPr>
        <w:spacing w:after="210" w:lineRule="auto"/>
      </w:pPr>
      <w:r>
        <w:rPr>
          <w:b/>
        </w:rPr>
        <w:t xml:space="preserve">Efficiency Ratios:</w:t>
      </w:r>
    </w:p>
    <w:p>
      <w:pPr>
        <w:numPr>
          <w:ilvl w:val="0"/>
          <w:numId w:val="34"/>
        </w:numPr>
        <w:spacing w:lineRule="auto"/>
      </w:pPr>
      <w:r>
        <w:rPr>
          <w:b/>
        </w:rPr>
        <w:t xml:space="preserve">Inventory Turnover</w:t>
      </w:r>
      <w:r>
        <w:rPr/>
        <w:t xml:space="preserve"> = COGS / Average Inventory</w:t>
      </w:r>
    </w:p>
    <w:p>
      <w:pPr>
        <w:numPr>
          <w:ilvl w:val="0"/>
          <w:numId w:val="34"/>
        </w:numPr>
        <w:spacing w:lineRule="auto"/>
      </w:pPr>
      <w:r>
        <w:rPr>
          <w:b/>
        </w:rPr>
        <w:t xml:space="preserve">Receivables Turnover</w:t>
      </w:r>
      <w:r>
        <w:rPr/>
        <w:t xml:space="preserve"> = Net Sales / Average Trade Receivables</w:t>
      </w:r>
    </w:p>
    <w:p>
      <w:pPr>
        <w:numPr>
          <w:ilvl w:val="0"/>
          <w:numId w:val="34"/>
        </w:numPr>
        <w:spacing w:lineRule="auto"/>
      </w:pPr>
      <w:r>
        <w:rPr>
          <w:b/>
        </w:rPr>
        <w:t xml:space="preserve">Payables Turnover</w:t>
      </w:r>
      <w:r>
        <w:rPr/>
        <w:t xml:space="preserve"> = COGS / Average Trade Payables</w:t>
      </w:r>
    </w:p>
    <w:p>
      <w:pPr>
        <w:numPr>
          <w:ilvl w:val="0"/>
          <w:numId w:val="34"/>
        </w:numPr>
        <w:spacing w:lineRule="auto"/>
      </w:pPr>
      <w:r>
        <w:rPr/>
        <w:t xml:space="preserve">Days calculations: DIO, DSO, DPO, and CCC</w:t>
      </w:r>
    </w:p>
    <w:p>
      <w:pPr>
        <w:spacing w:after="210" w:lineRule="auto"/>
      </w:pPr>
      <w:r>
        <w:rPr>
          <w:b/>
        </w:rPr>
        <w:t xml:space="preserve">Working Capital Metrics:</w:t>
      </w:r>
    </w:p>
    <w:p>
      <w:pPr>
        <w:numPr>
          <w:ilvl w:val="0"/>
          <w:numId w:val="35"/>
        </w:numPr>
        <w:spacing w:lineRule="auto"/>
      </w:pPr>
      <w:r>
        <w:rPr>
          <w:b/>
        </w:rPr>
        <w:t xml:space="preserve">WC to Sales</w:t>
      </w:r>
      <w:r>
        <w:rPr>
          <w:rFonts w:eastAsia="Georgia" w:cs="Georgia" w:ascii="Georgia" w:hAnsi="Georgia"/>
        </w:rPr>
        <w:t xml:space="preserve"> = (Current Assets – Current Liabilities) / Net Sales × 100%</w:t>
      </w:r>
    </w:p>
    <w:p>
      <w:pPr>
        <w:numPr>
          <w:ilvl w:val="0"/>
          <w:numId w:val="35"/>
        </w:numPr>
        <w:spacing w:lineRule="auto"/>
      </w:pPr>
      <w:r>
        <w:rPr>
          <w:b/>
        </w:rPr>
        <w:t xml:space="preserve">Current Assets to Sales</w:t>
      </w:r>
      <w:r>
        <w:rPr>
          <w:rFonts w:eastAsia="Georgia" w:cs="Georgia" w:ascii="Georgia" w:hAnsi="Georgia"/>
        </w:rPr>
        <w:t xml:space="preserve"> = Current Assets / Net Sales × 100%</w:t>
      </w:r>
    </w:p>
    <w:p>
      <w:pPr>
        <w:numPr>
          <w:ilvl w:val="0"/>
          <w:numId w:val="35"/>
        </w:numPr>
        <w:spacing w:lineRule="auto"/>
      </w:pPr>
      <w:r>
        <w:rPr>
          <w:b/>
        </w:rPr>
        <w:t xml:space="preserve">Current Liabilities to Sales</w:t>
      </w:r>
      <w:r>
        <w:rPr>
          <w:rFonts w:eastAsia="Georgia" w:cs="Georgia" w:ascii="Georgia" w:hAnsi="Georgia"/>
        </w:rPr>
        <w:t xml:space="preserve"> = Current Liabilities / Net Sales × 100%</w:t>
      </w:r>
    </w:p>
    <w:p>
      <w:pPr>
        <w:spacing w:line="271" w:before="240" w:lineRule="auto"/>
      </w:pPr>
      <w:bookmarkStart w:id="39" w:name="bm_4_3_3_tools_used"/>
      <w:r>
        <w:rPr>
          <w:b/>
          <w:sz w:val="28"/>
        </w:rPr>
        <w:t xml:space="preserve">4.3.3 Tools Used</w:t>
      </w:r>
      <w:bookmarkEnd w:id="39"/>
    </w:p>
    <w:p>
      <w:pPr>
        <w:numPr>
          <w:ilvl w:val="0"/>
          <w:numId w:val="36"/>
        </w:numPr>
        <w:spacing w:lineRule="auto"/>
      </w:pPr>
      <w:r>
        <w:rPr>
          <w:b/>
        </w:rPr>
        <w:t xml:space="preserve">Microsoft Excel:</w:t>
      </w:r>
      <w:r>
        <w:rPr/>
        <w:t xml:space="preserve"> Data organization, calculations, ratio analysis, and chart creation.</w:t>
      </w:r>
    </w:p>
    <w:p>
      <w:pPr>
        <w:numPr>
          <w:ilvl w:val="0"/>
          <w:numId w:val="36"/>
        </w:numPr>
        <w:spacing w:lineRule="auto"/>
      </w:pPr>
      <w:r>
        <w:rPr>
          <w:b/>
        </w:rPr>
        <w:t xml:space="preserve">Financial Databases:</w:t>
      </w:r>
      <w:r>
        <w:rPr/>
        <w:t xml:space="preserve"> Historical ratio data and industry benchmarks.</w:t>
      </w:r>
    </w:p>
    <w:p>
      <w:pPr>
        <w:numPr>
          <w:ilvl w:val="0"/>
          <w:numId w:val="36"/>
        </w:numPr>
        <w:spacing w:lineRule="auto"/>
      </w:pPr>
      <w:r>
        <w:rPr>
          <w:b/>
        </w:rPr>
        <w:t xml:space="preserve">Annual Reports:</w:t>
      </w:r>
      <w:r>
        <w:rPr/>
        <w:t xml:space="preserve"> Official HUL Integrated Annual Reports (PDF and HTML versions).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bm_5_analysis_of_working_capital_3f245e"/>
      <w:r>
        <w:rPr>
          <w:b/>
          <w:sz w:val="42"/>
        </w:rPr>
        <w:t xml:space="preserve">5. ANALYSIS OF WORKING CAPITAL COMPONENTS</w:t>
      </w:r>
      <w:bookmarkEnd w:id="40"/>
    </w:p>
    <w:p>
      <w:pPr>
        <w:spacing w:line="271" w:before="240" w:lineRule="auto"/>
      </w:pPr>
      <w:bookmarkStart w:id="41" w:name="bm_5_1_current_assets_composition_af7bcc"/>
      <w:r>
        <w:rPr>
          <w:b/>
          <w:sz w:val="33"/>
        </w:rPr>
        <w:t xml:space="preserve">5.1 Current Assets: Composition and Trends</w:t>
      </w:r>
      <w:bookmarkEnd w:id="41"/>
    </w:p>
    <w:p>
      <w:pPr>
        <w:spacing w:line="271" w:before="240" w:lineRule="auto"/>
      </w:pPr>
      <w:bookmarkStart w:id="42" w:name="bm_5_1_1_breakdown_of_current_ass_b17d8f"/>
      <w:r>
        <w:rPr>
          <w:rFonts w:eastAsia="Georgia" w:cs="Georgia" w:ascii="Georgia" w:hAnsi="Georgia"/>
          <w:b/>
          <w:sz w:val="28"/>
        </w:rPr>
        <w:t xml:space="preserve">5.1.1 Breakdown of Current Assets (FY2024–25)</w:t>
      </w:r>
      <w:bookmarkEnd w:id="42"/>
    </w:p>
    <w:p>
      <w:pPr>
        <w:spacing w:after="210" w:lineRule="auto"/>
      </w:pPr>
      <w:r>
        <w:rPr>
          <w:rFonts w:eastAsia="Georgia" w:cs="Georgia" w:ascii="Georgia" w:hAnsi="Georgia"/>
        </w:rPr>
        <w:t xml:space="preserve">Assuming total current assets of ₹9,250 Crore: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Amount (₹ Cr)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 of CA</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Trend vs FY24</w:t>
            </w:r>
          </w:p>
        </w:tc>
      </w:tr>
      <w:tr>
        <w:trPr>
          <w:cantSplit/>
        </w:trPr>
        <w:tc>
          <w:tcPr>
            <w:tcBorders>
              <w:left w:val="single" w:sz="8" w:space="0" w:color="000000"/>
              <w:right w:val="single" w:sz="8" w:space="0" w:color="000000"/>
            </w:tcBorders>
            <w:vAlign w:val="center"/>
          </w:tcPr>
          <w:p>
            <w:pPr>
              <w:spacing w:lineRule="auto"/>
              <w:jc w:val="left"/>
            </w:pPr>
            <w:r>
              <w:rPr/>
              <w:t xml:space="preserve">Cash &amp; Bank Balances</w:t>
            </w:r>
          </w:p>
        </w:tc>
        <w:tc>
          <w:tcPr>
            <w:tcBorders>
              <w:right w:val="single" w:sz="8" w:space="0" w:color="000000"/>
            </w:tcBorders>
            <w:vAlign w:val="center"/>
          </w:tcPr>
          <w:p>
            <w:pPr>
              <w:spacing w:lineRule="auto"/>
              <w:jc w:val="right"/>
            </w:pPr>
            <w:r>
              <w:rPr/>
              <w:t xml:space="preserve">1450</w:t>
            </w:r>
          </w:p>
        </w:tc>
        <w:tc>
          <w:tcPr>
            <w:tcBorders>
              <w:right w:val="single" w:sz="8" w:space="0" w:color="000000"/>
            </w:tcBorders>
            <w:vAlign w:val="center"/>
          </w:tcPr>
          <w:p>
            <w:pPr>
              <w:spacing w:lineRule="auto"/>
              <w:jc w:val="right"/>
            </w:pPr>
            <w:r>
              <w:rPr/>
              <w:t xml:space="preserve">15.68%</w:t>
            </w:r>
          </w:p>
        </w:tc>
        <w:tc>
          <w:tcPr>
            <w:tcBorders>
              <w:right w:val="single" w:sz="8" w:space="0" w:color="000000"/>
            </w:tcBorders>
            <w:vAlign w:val="center"/>
          </w:tcPr>
          <w:p>
            <w:pPr>
              <w:spacing w:lineRule="auto"/>
              <w:jc w:val="right"/>
            </w:pPr>
            <m:oMath>
              <m:r>
                <m:rPr>
                  <m:sty m:val="p"/>
                </m:rPr>
                <m:t>↑</m:t>
              </m:r>
            </m:oMath>
            <w:r>
              <w:rPr/>
              <w:t xml:space="preserve"> 16.0%</w:t>
            </w:r>
          </w:p>
        </w:tc>
      </w:tr>
      <w:tr>
        <w:trPr>
          <w:cantSplit/>
        </w:trPr>
        <w:tc>
          <w:tcPr>
            <w:tcBorders>
              <w:left w:val="single" w:sz="8" w:space="0" w:color="000000"/>
              <w:right w:val="single" w:sz="8" w:space="0" w:color="000000"/>
            </w:tcBorders>
            <w:vAlign w:val="center"/>
          </w:tcPr>
          <w:p>
            <w:pPr>
              <w:spacing w:lineRule="auto"/>
              <w:jc w:val="left"/>
            </w:pPr>
            <w:r>
              <w:rPr/>
              <w:t xml:space="preserve">Marketable Securities</w:t>
            </w:r>
          </w:p>
        </w:tc>
        <w:tc>
          <w:tcPr>
            <w:tcBorders>
              <w:right w:val="single" w:sz="8" w:space="0" w:color="000000"/>
            </w:tcBorders>
            <w:vAlign w:val="center"/>
          </w:tcPr>
          <w:p>
            <w:pPr>
              <w:spacing w:lineRule="auto"/>
              <w:jc w:val="right"/>
            </w:pPr>
            <w:r>
              <w:rPr/>
              <w:t xml:space="preserve">250</w:t>
            </w:r>
          </w:p>
        </w:tc>
        <w:tc>
          <w:tcPr>
            <w:tcBorders>
              <w:right w:val="single" w:sz="8" w:space="0" w:color="000000"/>
            </w:tcBorders>
            <w:vAlign w:val="center"/>
          </w:tcPr>
          <w:p>
            <w:pPr>
              <w:spacing w:lineRule="auto"/>
              <w:jc w:val="right"/>
            </w:pPr>
            <w:r>
              <w:rPr/>
              <w:t xml:space="preserve">2.70%</w:t>
            </w:r>
          </w:p>
        </w:tc>
        <w:tc>
          <w:tcPr>
            <w:tcBorders>
              <w:right w:val="single" w:sz="8" w:space="0" w:color="000000"/>
            </w:tcBorders>
            <w:vAlign w:val="center"/>
          </w:tcPr>
          <w:p>
            <w:pPr>
              <w:spacing w:lineRule="auto"/>
              <w:jc w:val="right"/>
            </w:pPr>
            <m:oMath>
              <m:r>
                <m:rPr>
                  <m:sty m:val="p"/>
                </m:rPr>
                <m:t>↑</m:t>
              </m:r>
            </m:oMath>
            <w:r>
              <w:rPr/>
              <w:t xml:space="preserve"> 25.0%</w:t>
            </w:r>
          </w:p>
        </w:tc>
      </w:tr>
      <w:tr>
        <w:trPr>
          <w:cantSplit/>
        </w:trPr>
        <w:tc>
          <w:tcPr>
            <w:tcBorders>
              <w:left w:val="single" w:sz="8" w:space="0" w:color="000000"/>
              <w:right w:val="single" w:sz="8" w:space="0" w:color="000000"/>
            </w:tcBorders>
            <w:vAlign w:val="center"/>
          </w:tcPr>
          <w:p>
            <w:pPr>
              <w:spacing w:lineRule="auto"/>
              <w:jc w:val="left"/>
            </w:pPr>
            <w:r>
              <w:rPr/>
              <w:t xml:space="preserve">Trade Receivables</w:t>
            </w:r>
          </w:p>
        </w:tc>
        <w:tc>
          <w:tcPr>
            <w:tcBorders>
              <w:right w:val="single" w:sz="8" w:space="0" w:color="000000"/>
            </w:tcBorders>
            <w:vAlign w:val="center"/>
          </w:tcPr>
          <w:p>
            <w:pPr>
              <w:spacing w:lineRule="auto"/>
              <w:jc w:val="right"/>
            </w:pPr>
            <w:r>
              <w:rPr/>
              <w:t xml:space="preserve">2900</w:t>
            </w:r>
          </w:p>
        </w:tc>
        <w:tc>
          <w:tcPr>
            <w:tcBorders>
              <w:right w:val="single" w:sz="8" w:space="0" w:color="000000"/>
            </w:tcBorders>
            <w:vAlign w:val="center"/>
          </w:tcPr>
          <w:p>
            <w:pPr>
              <w:spacing w:lineRule="auto"/>
              <w:jc w:val="right"/>
            </w:pPr>
            <w:r>
              <w:rPr/>
              <w:t xml:space="preserve">31.35%</w:t>
            </w:r>
          </w:p>
        </w:tc>
        <w:tc>
          <w:tcPr>
            <w:tcBorders>
              <w:right w:val="single" w:sz="8" w:space="0" w:color="000000"/>
            </w:tcBorders>
            <w:vAlign w:val="center"/>
          </w:tcPr>
          <w:p>
            <w:pPr>
              <w:spacing w:lineRule="auto"/>
              <w:jc w:val="right"/>
            </w:pPr>
            <m:oMath>
              <m:r>
                <m:rPr>
                  <m:sty m:val="p"/>
                </m:rPr>
                <m:t>↑</m:t>
              </m:r>
            </m:oMath>
            <w:r>
              <w:rPr/>
              <w:t xml:space="preserve"> 9.4%</w:t>
            </w:r>
          </w:p>
        </w:tc>
      </w:tr>
      <w:tr>
        <w:trPr>
          <w:cantSplit/>
        </w:trPr>
        <w:tc>
          <w:tcPr>
            <w:tcBorders>
              <w:left w:val="single" w:sz="8" w:space="0" w:color="000000"/>
              <w:right w:val="single" w:sz="8" w:space="0" w:color="000000"/>
            </w:tcBorders>
            <w:vAlign w:val="center"/>
          </w:tcPr>
          <w:p>
            <w:pPr>
              <w:spacing w:lineRule="auto"/>
              <w:jc w:val="left"/>
            </w:pPr>
            <w:r>
              <w:rPr/>
              <w:t xml:space="preserve">Inventories</w:t>
            </w:r>
          </w:p>
        </w:tc>
        <w:tc>
          <w:tcPr>
            <w:tcBorders>
              <w:right w:val="single" w:sz="8" w:space="0" w:color="000000"/>
            </w:tcBorders>
            <w:vAlign w:val="center"/>
          </w:tcPr>
          <w:p>
            <w:pPr>
              <w:spacing w:lineRule="auto"/>
              <w:jc w:val="right"/>
            </w:pPr>
            <w:r>
              <w:rPr/>
              <w:t xml:space="preserve">2050</w:t>
            </w:r>
          </w:p>
        </w:tc>
        <w:tc>
          <w:tcPr>
            <w:tcBorders>
              <w:right w:val="single" w:sz="8" w:space="0" w:color="000000"/>
            </w:tcBorders>
            <w:vAlign w:val="center"/>
          </w:tcPr>
          <w:p>
            <w:pPr>
              <w:spacing w:lineRule="auto"/>
              <w:jc w:val="right"/>
            </w:pPr>
            <w:r>
              <w:rPr/>
              <w:t xml:space="preserve">22.16%</w:t>
            </w:r>
          </w:p>
        </w:tc>
        <w:tc>
          <w:tcPr>
            <w:tcBorders>
              <w:right w:val="single" w:sz="8" w:space="0" w:color="000000"/>
            </w:tcBorders>
            <w:vAlign w:val="center"/>
          </w:tcPr>
          <w:p>
            <w:pPr>
              <w:spacing w:lineRule="auto"/>
              <w:jc w:val="right"/>
            </w:pPr>
            <m:oMath>
              <m:r>
                <m:rPr>
                  <m:sty m:val="p"/>
                </m:rPr>
                <m:t>↑</m:t>
              </m:r>
            </m:oMath>
            <w:r>
              <w:rPr/>
              <w:t xml:space="preserve"> 7.9%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Prepaid &amp; Others</w:t>
            </w:r>
          </w:p>
        </w:tc>
        <w:tc>
          <w:tcPr>
            <w:tcBorders>
              <w:bottom w:val="single" w:sz="8" w:space="0" w:color="000000"/>
              <w:right w:val="single" w:sz="8" w:space="0" w:color="000000"/>
            </w:tcBorders>
            <w:vAlign w:val="center"/>
          </w:tcPr>
          <w:p>
            <w:pPr>
              <w:spacing w:lineRule="auto"/>
              <w:jc w:val="right"/>
            </w:pPr>
            <w:r>
              <w:rPr/>
              <w:t xml:space="preserve">2600</w:t>
            </w:r>
          </w:p>
        </w:tc>
        <w:tc>
          <w:tcPr>
            <w:tcBorders>
              <w:bottom w:val="single" w:sz="8" w:space="0" w:color="000000"/>
              <w:right w:val="single" w:sz="8" w:space="0" w:color="000000"/>
            </w:tcBorders>
            <w:vAlign w:val="center"/>
          </w:tcPr>
          <w:p>
            <w:pPr>
              <w:spacing w:lineRule="auto"/>
              <w:jc w:val="right"/>
            </w:pPr>
            <w:r>
              <w:rPr/>
              <w:t xml:space="preserve">28.11%</w:t>
            </w:r>
          </w:p>
        </w:tc>
        <w:tc>
          <w:tcPr>
            <w:tcBorders>
              <w:bottom w:val="single" w:sz="8" w:space="0" w:color="000000"/>
              <w:right w:val="single" w:sz="8" w:space="0" w:color="000000"/>
            </w:tcBorders>
            <w:vAlign w:val="center"/>
          </w:tcPr>
          <w:p>
            <w:pPr>
              <w:spacing w:lineRule="auto"/>
              <w:jc w:val="right"/>
            </w:pPr>
            <m:oMath>
              <m:r>
                <m:rPr>
                  <m:sty m:val="p"/>
                </m:rPr>
                <m:t>↑</m:t>
              </m:r>
            </m:oMath>
            <w:r>
              <w:rPr/>
              <w:t xml:space="preserve"> 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Assets</w:t>
            </w:r>
          </w:p>
        </w:tc>
        <w:tc>
          <w:tcPr>
            <w:tcBorders>
              <w:bottom w:val="single" w:sz="8" w:space="0" w:color="000000"/>
              <w:right w:val="single" w:sz="8" w:space="0" w:color="000000"/>
            </w:tcBorders>
            <w:vAlign w:val="center"/>
          </w:tcPr>
          <w:p>
            <w:pPr>
              <w:spacing w:lineRule="auto"/>
              <w:jc w:val="right"/>
            </w:pPr>
            <w:r>
              <w:rPr>
                <w:b/>
              </w:rPr>
              <w:t xml:space="preserve">9250</w:t>
            </w:r>
          </w:p>
        </w:tc>
        <w:tc>
          <w:tcPr>
            <w:tcBorders>
              <w:bottom w:val="single" w:sz="8" w:space="0" w:color="000000"/>
              <w:right w:val="single" w:sz="8" w:space="0" w:color="000000"/>
            </w:tcBorders>
            <w:vAlign w:val="center"/>
          </w:tcPr>
          <w:p>
            <w:pPr>
              <w:spacing w:lineRule="auto"/>
              <w:jc w:val="right"/>
            </w:pPr>
            <w:r>
              <w:rPr>
                <w:b/>
              </w:rPr>
              <w:t xml:space="preserve">100%</w:t>
            </w:r>
          </w:p>
        </w:tc>
        <w:tc>
          <w:tcPr>
            <w:tcBorders>
              <w:bottom w:val="single" w:sz="8" w:space="0" w:color="000000"/>
              <w:right w:val="single" w:sz="8" w:space="0" w:color="000000"/>
            </w:tcBorders>
            <w:vAlign w:val="center"/>
          </w:tcPr>
          <w:p>
            <w:pPr>
              <w:spacing w:lineRule="auto"/>
              <w:jc w:val="right"/>
            </w:pPr>
            <m:oMath>
              <m:r>
                <m:rPr>
                  <m:sty m:val="p"/>
                </m:rPr>
                <m:t>↑</m:t>
              </m:r>
            </m:oMath>
            <w:r>
              <w:rPr/>
              <w:t xml:space="preserve"> 8.8%</w:t>
            </w:r>
          </w:p>
        </w:tc>
      </w:tr>
    </w:tbl>
    <w:p>
      <w:pPr>
        <w:spacing w:lineRule="auto"/>
      </w:pPr>
    </w:p>
    <w:p>
      <w:pPr>
        <w:spacing w:lineRule="auto"/>
      </w:pPr>
      <w:r>
        <w:rPr>
          <w:rFonts w:eastAsia="Georgia" w:cs="Georgia" w:ascii="Georgia" w:hAnsi="Georgia"/>
        </w:rPr>
        <w:t xml:space="preserve">Table 3: Composition of Current Assets in FY2024–25 (Illustrative)</w:t>
      </w:r>
    </w:p>
    <w:p>
      <w:pPr>
        <w:spacing w:after="210" w:lineRule="auto"/>
      </w:pPr>
      <w:r>
        <w:rPr>
          <w:b/>
        </w:rPr>
        <w:t xml:space="preserve">Key Observations:</w:t>
      </w:r>
    </w:p>
    <w:p>
      <w:pPr>
        <w:numPr>
          <w:ilvl w:val="0"/>
          <w:numId w:val="37"/>
        </w:numPr>
        <w:spacing w:after="210" w:lineRule="auto"/>
      </w:pPr>
      <w:r>
        <w:rPr>
          <w:b/>
        </w:rPr>
        <w:t xml:space="preserve">Trade Receivables (31.35%):</w:t>
      </w:r>
      <w:r>
        <w:rPr/>
        <w:t xml:space="preserve"> Nearly one-third of current assets; the largest component reflects the FMCG business model where goods are sold on credit to distributors.</w:t>
      </w:r>
    </w:p>
    <w:p>
      <w:pPr>
        <w:numPr>
          <w:ilvl w:val="0"/>
          <w:numId w:val="37"/>
        </w:numPr>
        <w:spacing w:after="210" w:lineRule="auto"/>
      </w:pPr>
      <w:r>
        <w:rPr>
          <w:b/>
        </w:rPr>
        <w:t xml:space="preserve">Inventories (22.16%):</w:t>
      </w:r>
      <w:r>
        <w:rPr/>
        <w:t xml:space="preserve"> Represents work-in-progress and finished goods; at HUL's scale, efficient inventory management minimizes this proportion.</w:t>
      </w:r>
    </w:p>
    <w:p>
      <w:pPr>
        <w:numPr>
          <w:ilvl w:val="0"/>
          <w:numId w:val="37"/>
        </w:numPr>
        <w:spacing w:after="210" w:lineRule="auto"/>
      </w:pPr>
      <w:r>
        <w:rPr>
          <w:b/>
        </w:rPr>
        <w:t xml:space="preserve">Cash &amp; Equivalents (15.68%):</w:t>
      </w:r>
      <w:r>
        <w:rPr/>
        <w:t xml:space="preserve"> Modest but adequate cash balance; HUL generates sufficient operating cash to avoid maintaining excessive cash reserves.</w:t>
      </w:r>
    </w:p>
    <w:p>
      <w:pPr>
        <w:numPr>
          <w:ilvl w:val="0"/>
          <w:numId w:val="37"/>
        </w:numPr>
        <w:spacing w:after="210" w:lineRule="auto"/>
      </w:pPr>
      <w:r>
        <w:rPr>
          <w:b/>
        </w:rPr>
        <w:t xml:space="preserve">Prepaid &amp; Others (28.11%):</w:t>
      </w:r>
      <w:r>
        <w:rPr/>
        <w:t xml:space="preserve"> Includes prepaid expenses, GST receivable, and other current assets.</w:t>
      </w:r>
    </w:p>
    <w:p>
      <w:pPr>
        <w:spacing w:line="271" w:before="240" w:lineRule="auto"/>
      </w:pPr>
      <w:bookmarkStart w:id="43" w:name="bm_5_1_2_trend_analysis_5_year_cu_105f5d"/>
      <w:r>
        <w:rPr>
          <w:b/>
          <w:sz w:val="28"/>
        </w:rPr>
        <w:t xml:space="preserve">5.1.2 Trend Analysis: 5-Year Current Assets Growth</w:t>
      </w:r>
      <w:bookmarkEnd w:id="43"/>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CAGR%</w:t>
            </w:r>
          </w:p>
        </w:tc>
      </w:tr>
      <w:tr>
        <w:trPr>
          <w:cantSplit/>
        </w:trPr>
        <w:tc>
          <w:tcPr>
            <w:tcBorders>
              <w:left w:val="single" w:sz="8" w:space="0" w:color="000000"/>
              <w:right w:val="single" w:sz="8" w:space="0" w:color="000000"/>
            </w:tcBorders>
            <w:vAlign w:val="center"/>
          </w:tcPr>
          <w:p>
            <w:pPr>
              <w:spacing w:lineRule="auto"/>
              <w:jc w:val="left"/>
            </w:pPr>
            <w:r>
              <w:rPr/>
              <w:t xml:space="preserve">Cash &amp; Bank</w:t>
            </w:r>
          </w:p>
        </w:tc>
        <w:tc>
          <w:tcPr>
            <w:tcBorders>
              <w:right w:val="single" w:sz="8" w:space="0" w:color="000000"/>
            </w:tcBorders>
            <w:vAlign w:val="center"/>
          </w:tcPr>
          <w:p>
            <w:pPr>
              <w:spacing w:lineRule="auto"/>
              <w:jc w:val="right"/>
            </w:pPr>
            <w:r>
              <w:rPr/>
              <w:t xml:space="preserve">850</w:t>
            </w:r>
          </w:p>
        </w:tc>
        <w:tc>
          <w:tcPr>
            <w:tcBorders>
              <w:right w:val="single" w:sz="8" w:space="0" w:color="000000"/>
            </w:tcBorders>
            <w:vAlign w:val="center"/>
          </w:tcPr>
          <w:p>
            <w:pPr>
              <w:spacing w:lineRule="auto"/>
              <w:jc w:val="right"/>
            </w:pPr>
            <w:r>
              <w:rPr/>
              <w:t xml:space="preserve">920</w:t>
            </w:r>
          </w:p>
        </w:tc>
        <w:tc>
          <w:tcPr>
            <w:tcBorders>
              <w:right w:val="single" w:sz="8" w:space="0" w:color="000000"/>
            </w:tcBorders>
            <w:vAlign w:val="center"/>
          </w:tcPr>
          <w:p>
            <w:pPr>
              <w:spacing w:lineRule="auto"/>
              <w:jc w:val="right"/>
            </w:pPr>
            <w:r>
              <w:rPr/>
              <w:t xml:space="preserve">1100</w:t>
            </w:r>
          </w:p>
        </w:tc>
        <w:tc>
          <w:tcPr>
            <w:tcBorders>
              <w:right w:val="single" w:sz="8" w:space="0" w:color="000000"/>
            </w:tcBorders>
            <w:vAlign w:val="center"/>
          </w:tcPr>
          <w:p>
            <w:pPr>
              <w:spacing w:lineRule="auto"/>
              <w:jc w:val="right"/>
            </w:pPr>
            <w:r>
              <w:rPr/>
              <w:t xml:space="preserve">1250</w:t>
            </w:r>
          </w:p>
        </w:tc>
        <w:tc>
          <w:tcPr>
            <w:tcBorders>
              <w:right w:val="single" w:sz="8" w:space="0" w:color="000000"/>
            </w:tcBorders>
            <w:vAlign w:val="center"/>
          </w:tcPr>
          <w:p>
            <w:pPr>
              <w:spacing w:lineRule="auto"/>
              <w:jc w:val="right"/>
            </w:pPr>
            <w:r>
              <w:rPr/>
              <w:t xml:space="preserve">1450</w:t>
            </w:r>
          </w:p>
        </w:tc>
        <w:tc>
          <w:tcPr>
            <w:tcBorders>
              <w:right w:val="single" w:sz="8" w:space="0" w:color="000000"/>
            </w:tcBorders>
            <w:vAlign w:val="center"/>
          </w:tcPr>
          <w:p>
            <w:pPr>
              <w:spacing w:lineRule="auto"/>
              <w:jc w:val="right"/>
            </w:pPr>
            <w:r>
              <w:rPr/>
              <w:t xml:space="preserve">14.3%</w:t>
            </w:r>
          </w:p>
        </w:tc>
      </w:tr>
      <w:tr>
        <w:trPr>
          <w:cantSplit/>
        </w:trPr>
        <w:tc>
          <w:tcPr>
            <w:tcBorders>
              <w:left w:val="single" w:sz="8" w:space="0" w:color="000000"/>
              <w:right w:val="single" w:sz="8" w:space="0" w:color="000000"/>
            </w:tcBorders>
            <w:vAlign w:val="center"/>
          </w:tcPr>
          <w:p>
            <w:pPr>
              <w:spacing w:lineRule="auto"/>
              <w:jc w:val="left"/>
            </w:pPr>
            <w:r>
              <w:rPr/>
              <w:t xml:space="preserve">Receivables</w:t>
            </w:r>
          </w:p>
        </w:tc>
        <w:tc>
          <w:tcPr>
            <w:tcBorders>
              <w:right w:val="single" w:sz="8" w:space="0" w:color="000000"/>
            </w:tcBorders>
            <w:vAlign w:val="center"/>
          </w:tcPr>
          <w:p>
            <w:pPr>
              <w:spacing w:lineRule="auto"/>
              <w:jc w:val="right"/>
            </w:pPr>
            <w:r>
              <w:rPr/>
              <w:t xml:space="preserve">1800</w:t>
            </w:r>
          </w:p>
        </w:tc>
        <w:tc>
          <w:tcPr>
            <w:tcBorders>
              <w:right w:val="single" w:sz="8" w:space="0" w:color="000000"/>
            </w:tcBorders>
            <w:vAlign w:val="center"/>
          </w:tcPr>
          <w:p>
            <w:pPr>
              <w:spacing w:lineRule="auto"/>
              <w:jc w:val="right"/>
            </w:pPr>
            <w:r>
              <w:rPr/>
              <w:t xml:space="preserve">2050</w:t>
            </w:r>
          </w:p>
        </w:tc>
        <w:tc>
          <w:tcPr>
            <w:tcBorders>
              <w:right w:val="single" w:sz="8" w:space="0" w:color="000000"/>
            </w:tcBorders>
            <w:vAlign w:val="center"/>
          </w:tcPr>
          <w:p>
            <w:pPr>
              <w:spacing w:lineRule="auto"/>
              <w:jc w:val="right"/>
            </w:pPr>
            <w:r>
              <w:rPr/>
              <w:t xml:space="preserve">2400</w:t>
            </w:r>
          </w:p>
        </w:tc>
        <w:tc>
          <w:tcPr>
            <w:tcBorders>
              <w:right w:val="single" w:sz="8" w:space="0" w:color="000000"/>
            </w:tcBorders>
            <w:vAlign w:val="center"/>
          </w:tcPr>
          <w:p>
            <w:pPr>
              <w:spacing w:lineRule="auto"/>
              <w:jc w:val="right"/>
            </w:pPr>
            <w:r>
              <w:rPr/>
              <w:t xml:space="preserve">2650</w:t>
            </w:r>
          </w:p>
        </w:tc>
        <w:tc>
          <w:tcPr>
            <w:tcBorders>
              <w:right w:val="single" w:sz="8" w:space="0" w:color="000000"/>
            </w:tcBorders>
            <w:vAlign w:val="center"/>
          </w:tcPr>
          <w:p>
            <w:pPr>
              <w:spacing w:lineRule="auto"/>
              <w:jc w:val="right"/>
            </w:pPr>
            <w:r>
              <w:rPr/>
              <w:t xml:space="preserve">2900</w:t>
            </w:r>
          </w:p>
        </w:tc>
        <w:tc>
          <w:tcPr>
            <w:tcBorders>
              <w:right w:val="single" w:sz="8" w:space="0" w:color="000000"/>
            </w:tcBorders>
            <w:vAlign w:val="center"/>
          </w:tcPr>
          <w:p>
            <w:pPr>
              <w:spacing w:lineRule="auto"/>
              <w:jc w:val="right"/>
            </w:pPr>
            <w:r>
              <w:rPr/>
              <w:t xml:space="preserve">12.6%</w:t>
            </w:r>
          </w:p>
        </w:tc>
      </w:tr>
      <w:tr>
        <w:trPr>
          <w:cantSplit/>
        </w:trPr>
        <w:tc>
          <w:tcPr>
            <w:tcBorders>
              <w:left w:val="single" w:sz="8" w:space="0" w:color="000000"/>
              <w:right w:val="single" w:sz="8" w:space="0" w:color="000000"/>
            </w:tcBorders>
            <w:vAlign w:val="center"/>
          </w:tcPr>
          <w:p>
            <w:pPr>
              <w:spacing w:lineRule="auto"/>
              <w:jc w:val="left"/>
            </w:pPr>
            <w:r>
              <w:rPr/>
              <w:t xml:space="preserve">Inventories</w:t>
            </w:r>
          </w:p>
        </w:tc>
        <w:tc>
          <w:tcPr>
            <w:tcBorders>
              <w:right w:val="single" w:sz="8" w:space="0" w:color="000000"/>
            </w:tcBorders>
            <w:vAlign w:val="center"/>
          </w:tcPr>
          <w:p>
            <w:pPr>
              <w:spacing w:lineRule="auto"/>
              <w:jc w:val="right"/>
            </w:pPr>
            <w:r>
              <w:rPr/>
              <w:t xml:space="preserve">1400</w:t>
            </w:r>
          </w:p>
        </w:tc>
        <w:tc>
          <w:tcPr>
            <w:tcBorders>
              <w:right w:val="single" w:sz="8" w:space="0" w:color="000000"/>
            </w:tcBorders>
            <w:vAlign w:val="center"/>
          </w:tcPr>
          <w:p>
            <w:pPr>
              <w:spacing w:lineRule="auto"/>
              <w:jc w:val="right"/>
            </w:pPr>
            <w:r>
              <w:rPr/>
              <w:t xml:space="preserve">1550</w:t>
            </w:r>
          </w:p>
        </w:tc>
        <w:tc>
          <w:tcPr>
            <w:tcBorders>
              <w:right w:val="single" w:sz="8" w:space="0" w:color="000000"/>
            </w:tcBorders>
            <w:vAlign w:val="center"/>
          </w:tcPr>
          <w:p>
            <w:pPr>
              <w:spacing w:lineRule="auto"/>
              <w:jc w:val="right"/>
            </w:pPr>
            <w:r>
              <w:rPr/>
              <w:t xml:space="preserve">1750</w:t>
            </w:r>
          </w:p>
        </w:tc>
        <w:tc>
          <w:tcPr>
            <w:tcBorders>
              <w:right w:val="single" w:sz="8" w:space="0" w:color="000000"/>
            </w:tcBorders>
            <w:vAlign w:val="center"/>
          </w:tcPr>
          <w:p>
            <w:pPr>
              <w:spacing w:lineRule="auto"/>
              <w:jc w:val="right"/>
            </w:pPr>
            <w:r>
              <w:rPr/>
              <w:t xml:space="preserve">1900</w:t>
            </w:r>
          </w:p>
        </w:tc>
        <w:tc>
          <w:tcPr>
            <w:tcBorders>
              <w:right w:val="single" w:sz="8" w:space="0" w:color="000000"/>
            </w:tcBorders>
            <w:vAlign w:val="center"/>
          </w:tcPr>
          <w:p>
            <w:pPr>
              <w:spacing w:lineRule="auto"/>
              <w:jc w:val="right"/>
            </w:pPr>
            <w:r>
              <w:rPr/>
              <w:t xml:space="preserve">2050</w:t>
            </w:r>
          </w:p>
        </w:tc>
        <w:tc>
          <w:tcPr>
            <w:tcBorders>
              <w:right w:val="single" w:sz="8" w:space="0" w:color="000000"/>
            </w:tcBorders>
            <w:vAlign w:val="center"/>
          </w:tcPr>
          <w:p>
            <w:pPr>
              <w:spacing w:lineRule="auto"/>
              <w:jc w:val="right"/>
            </w:pPr>
            <w:r>
              <w:rPr/>
              <w:t xml:space="preserve">10.0%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Prepaid &amp; Others</w:t>
            </w:r>
          </w:p>
        </w:tc>
        <w:tc>
          <w:tcPr>
            <w:tcBorders>
              <w:bottom w:val="single" w:sz="8" w:space="0" w:color="000000"/>
              <w:right w:val="single" w:sz="8" w:space="0" w:color="000000"/>
            </w:tcBorders>
            <w:vAlign w:val="center"/>
          </w:tcPr>
          <w:p>
            <w:pPr>
              <w:spacing w:lineRule="auto"/>
              <w:jc w:val="right"/>
            </w:pPr>
            <w:r>
              <w:rPr/>
              <w:t xml:space="preserve">350</w:t>
            </w:r>
          </w:p>
        </w:tc>
        <w:tc>
          <w:tcPr>
            <w:tcBorders>
              <w:bottom w:val="single" w:sz="8" w:space="0" w:color="000000"/>
              <w:right w:val="single" w:sz="8" w:space="0" w:color="000000"/>
            </w:tcBorders>
            <w:vAlign w:val="center"/>
          </w:tcPr>
          <w:p>
            <w:pPr>
              <w:spacing w:lineRule="auto"/>
              <w:jc w:val="right"/>
            </w:pPr>
            <w:r>
              <w:rPr/>
              <w:t xml:space="preserve">400</w:t>
            </w:r>
          </w:p>
        </w:tc>
        <w:tc>
          <w:tcPr>
            <w:tcBorders>
              <w:bottom w:val="single" w:sz="8" w:space="0" w:color="000000"/>
              <w:right w:val="single" w:sz="8" w:space="0" w:color="000000"/>
            </w:tcBorders>
            <w:vAlign w:val="center"/>
          </w:tcPr>
          <w:p>
            <w:pPr>
              <w:spacing w:lineRule="auto"/>
              <w:jc w:val="right"/>
            </w:pPr>
            <w:r>
              <w:rPr/>
              <w:t xml:space="preserve">450</w:t>
            </w:r>
          </w:p>
        </w:tc>
        <w:tc>
          <w:tcPr>
            <w:tcBorders>
              <w:bottom w:val="single" w:sz="8" w:space="0" w:color="000000"/>
              <w:right w:val="single" w:sz="8" w:space="0" w:color="000000"/>
            </w:tcBorders>
            <w:vAlign w:val="center"/>
          </w:tcPr>
          <w:p>
            <w:pPr>
              <w:spacing w:lineRule="auto"/>
              <w:jc w:val="right"/>
            </w:pPr>
            <w:r>
              <w:rPr/>
              <w:t xml:space="preserve">500</w:t>
            </w:r>
          </w:p>
        </w:tc>
        <w:tc>
          <w:tcPr>
            <w:tcBorders>
              <w:bottom w:val="single" w:sz="8" w:space="0" w:color="000000"/>
              <w:right w:val="single" w:sz="8" w:space="0" w:color="000000"/>
            </w:tcBorders>
            <w:vAlign w:val="center"/>
          </w:tcPr>
          <w:p>
            <w:pPr>
              <w:spacing w:lineRule="auto"/>
              <w:jc w:val="right"/>
            </w:pPr>
            <w:r>
              <w:rPr/>
              <w:t xml:space="preserve">600</w:t>
            </w:r>
          </w:p>
        </w:tc>
        <w:tc>
          <w:tcPr>
            <w:tcBorders>
              <w:bottom w:val="single" w:sz="8" w:space="0" w:color="000000"/>
              <w:right w:val="single" w:sz="8" w:space="0" w:color="000000"/>
            </w:tcBorders>
            <w:vAlign w:val="center"/>
          </w:tcPr>
          <w:p>
            <w:pPr>
              <w:spacing w:lineRule="auto"/>
              <w:jc w:val="right"/>
            </w:pPr>
            <w:r>
              <w:rPr/>
              <w:t xml:space="preserve">14.4%</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CA</w:t>
            </w:r>
          </w:p>
        </w:tc>
        <w:tc>
          <w:tcPr>
            <w:tcBorders>
              <w:bottom w:val="single" w:sz="8" w:space="0" w:color="000000"/>
              <w:right w:val="single" w:sz="8" w:space="0" w:color="000000"/>
            </w:tcBorders>
            <w:vAlign w:val="center"/>
          </w:tcPr>
          <w:p>
            <w:pPr>
              <w:spacing w:lineRule="auto"/>
              <w:jc w:val="right"/>
            </w:pPr>
            <w:r>
              <w:rPr>
                <w:b/>
              </w:rPr>
              <w:t xml:space="preserve">6600</w:t>
            </w:r>
          </w:p>
        </w:tc>
        <w:tc>
          <w:tcPr>
            <w:tcBorders>
              <w:bottom w:val="single" w:sz="8" w:space="0" w:color="000000"/>
              <w:right w:val="single" w:sz="8" w:space="0" w:color="000000"/>
            </w:tcBorders>
            <w:vAlign w:val="center"/>
          </w:tcPr>
          <w:p>
            <w:pPr>
              <w:spacing w:lineRule="auto"/>
              <w:jc w:val="right"/>
            </w:pPr>
            <w:r>
              <w:rPr>
                <w:b/>
              </w:rPr>
              <w:t xml:space="preserve">7070</w:t>
            </w:r>
          </w:p>
        </w:tc>
        <w:tc>
          <w:tcPr>
            <w:tcBorders>
              <w:bottom w:val="single" w:sz="8" w:space="0" w:color="000000"/>
              <w:right w:val="single" w:sz="8" w:space="0" w:color="000000"/>
            </w:tcBorders>
            <w:vAlign w:val="center"/>
          </w:tcPr>
          <w:p>
            <w:pPr>
              <w:spacing w:lineRule="auto"/>
              <w:jc w:val="right"/>
            </w:pPr>
            <w:r>
              <w:rPr>
                <w:b/>
              </w:rPr>
              <w:t xml:space="preserve">7880</w:t>
            </w:r>
          </w:p>
        </w:tc>
        <w:tc>
          <w:tcPr>
            <w:tcBorders>
              <w:bottom w:val="single" w:sz="8" w:space="0" w:color="000000"/>
              <w:right w:val="single" w:sz="8" w:space="0" w:color="000000"/>
            </w:tcBorders>
            <w:vAlign w:val="center"/>
          </w:tcPr>
          <w:p>
            <w:pPr>
              <w:spacing w:lineRule="auto"/>
              <w:jc w:val="right"/>
            </w:pPr>
            <w:r>
              <w:rPr>
                <w:b/>
              </w:rPr>
              <w:t xml:space="preserve">8500</w:t>
            </w:r>
          </w:p>
        </w:tc>
        <w:tc>
          <w:tcPr>
            <w:tcBorders>
              <w:bottom w:val="single" w:sz="8" w:space="0" w:color="000000"/>
              <w:right w:val="single" w:sz="8" w:space="0" w:color="000000"/>
            </w:tcBorders>
            <w:vAlign w:val="center"/>
          </w:tcPr>
          <w:p>
            <w:pPr>
              <w:spacing w:lineRule="auto"/>
              <w:jc w:val="right"/>
            </w:pPr>
            <w:r>
              <w:rPr>
                <w:b/>
              </w:rPr>
              <w:t xml:space="preserve">9250</w:t>
            </w:r>
          </w:p>
        </w:tc>
        <w:tc>
          <w:tcPr>
            <w:tcBorders>
              <w:bottom w:val="single" w:sz="8" w:space="0" w:color="000000"/>
              <w:right w:val="single" w:sz="8" w:space="0" w:color="000000"/>
            </w:tcBorders>
            <w:vAlign w:val="center"/>
          </w:tcPr>
          <w:p>
            <w:pPr>
              <w:spacing w:lineRule="auto"/>
              <w:jc w:val="right"/>
            </w:pPr>
            <w:r>
              <w:rPr>
                <w:b/>
              </w:rPr>
              <w:t xml:space="preserve">8.9%</w:t>
            </w:r>
          </w:p>
        </w:tc>
      </w:tr>
    </w:tbl>
    <w:p>
      <w:pPr>
        <w:spacing w:lineRule="auto"/>
      </w:pPr>
    </w:p>
    <w:p>
      <w:pPr>
        <w:spacing w:lineRule="auto"/>
      </w:pPr>
      <w:r>
        <w:rPr>
          <w:rFonts w:eastAsia="Georgia" w:cs="Georgia" w:ascii="Georgia" w:hAnsi="Georgia"/>
        </w:rPr>
        <w:t xml:space="preserve">Table 4: 5-Year Growth in Current Assets (₹ Crore, CAGR)</w:t>
      </w:r>
    </w:p>
    <w:p>
      <w:pPr>
        <w:spacing w:after="210" w:lineRule="auto"/>
      </w:pPr>
      <w:r>
        <w:rPr>
          <w:b/>
        </w:rPr>
        <w:t xml:space="preserve">Compound Annual Growth Rate (CAGR) Analysis:</w:t>
      </w:r>
    </w:p>
    <w:p>
      <w:pPr>
        <w:spacing w:after="210" w:lineRule="auto"/>
      </w:pPr>
      <w:r>
        <w:rPr/>
        <w:t xml:space="preserve">Current Assets grew at a CAGR of </w:t>
      </w:r>
      <w:r>
        <w:rPr>
          <w:b/>
        </w:rPr>
        <w:t xml:space="preserve">8.9%</w:t>
      </w:r>
      <w:r>
        <w:rPr>
          <w:rFonts w:eastAsia="Georgia" w:cs="Georgia" w:ascii="Georgia" w:hAnsi="Georgia"/>
        </w:rPr>
        <w:t xml:space="preserve"> over 5 years, slightly slower than revenue growth (~5.7% CAGR on ₹38,000 Cr to ₹48,000 Cr), indicating </w:t>
      </w:r>
      <w:r>
        <w:rPr>
          <w:b/>
        </w:rPr>
        <w:t xml:space="preserve">improving asset efficiency</w:t>
      </w:r>
      <w:r>
        <w:rPr>
          <w:rFonts w:eastAsia="Georgia" w:cs="Georgia" w:ascii="Georgia" w:hAnsi="Georgia"/>
        </w:rPr>
        <w:t xml:space="preserve">—a hallmark of effective working capital management.</w:t>
      </w:r>
    </w:p>
    <w:p>
      <w:pPr>
        <w:spacing w:line="271" w:before="240" w:lineRule="auto"/>
      </w:pPr>
      <w:bookmarkStart w:id="44" w:name="bm_5_2_current_liabilities_compos_8da36c"/>
      <w:r>
        <w:rPr>
          <w:b/>
          <w:sz w:val="33"/>
        </w:rPr>
        <w:t xml:space="preserve">5.2 Current Liabilities: Composition and Trends</w:t>
      </w:r>
      <w:bookmarkEnd w:id="44"/>
    </w:p>
    <w:p>
      <w:pPr>
        <w:spacing w:line="271" w:before="240" w:lineRule="auto"/>
      </w:pPr>
      <w:bookmarkStart w:id="45" w:name="bm_5_2_1_breakdown_of_current_lia_695b0c"/>
      <w:r>
        <w:rPr>
          <w:rFonts w:eastAsia="Georgia" w:cs="Georgia" w:ascii="Georgia" w:hAnsi="Georgia"/>
          <w:b/>
          <w:sz w:val="28"/>
        </w:rPr>
        <w:t xml:space="preserve">5.2.1 Breakdown of Current Liabilities (FY2024–25)</w:t>
      </w:r>
      <w:bookmarkEnd w:id="45"/>
    </w:p>
    <w:p>
      <w:pPr>
        <w:spacing w:after="210" w:lineRule="auto"/>
      </w:pPr>
      <w:r>
        <w:rPr>
          <w:rFonts w:eastAsia="Georgia" w:cs="Georgia" w:ascii="Georgia" w:hAnsi="Georgia"/>
        </w:rPr>
        <w:t xml:space="preserve">Assuming total current liabilities of ₹8,050 Crore:</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Amount (₹ Cr)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 of CL</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Trend vs FY24</w:t>
            </w:r>
          </w:p>
        </w:tc>
      </w:tr>
      <w:tr>
        <w:trPr>
          <w:cantSplit/>
        </w:trPr>
        <w:tc>
          <w:tcPr>
            <w:tcBorders>
              <w:left w:val="single" w:sz="8" w:space="0" w:color="000000"/>
              <w:right w:val="single" w:sz="8" w:space="0" w:color="000000"/>
            </w:tcBorders>
            <w:vAlign w:val="center"/>
          </w:tcPr>
          <w:p>
            <w:pPr>
              <w:spacing w:lineRule="auto"/>
              <w:jc w:val="left"/>
            </w:pPr>
            <w:r>
              <w:rPr/>
              <w:t xml:space="preserve">Trade Payables</w:t>
            </w:r>
          </w:p>
        </w:tc>
        <w:tc>
          <w:tcPr>
            <w:tcBorders>
              <w:right w:val="single" w:sz="8" w:space="0" w:color="000000"/>
            </w:tcBorders>
            <w:vAlign w:val="center"/>
          </w:tcPr>
          <w:p>
            <w:pPr>
              <w:spacing w:lineRule="auto"/>
              <w:jc w:val="right"/>
            </w:pPr>
            <w:r>
              <w:rPr/>
              <w:t xml:space="preserve">3700</w:t>
            </w:r>
          </w:p>
        </w:tc>
        <w:tc>
          <w:tcPr>
            <w:tcBorders>
              <w:right w:val="single" w:sz="8" w:space="0" w:color="000000"/>
            </w:tcBorders>
            <w:vAlign w:val="center"/>
          </w:tcPr>
          <w:p>
            <w:pPr>
              <w:spacing w:lineRule="auto"/>
              <w:jc w:val="right"/>
            </w:pPr>
            <w:r>
              <w:rPr/>
              <w:t xml:space="preserve">45.96%</w:t>
            </w:r>
          </w:p>
        </w:tc>
        <w:tc>
          <w:tcPr>
            <w:tcBorders>
              <w:right w:val="single" w:sz="8" w:space="0" w:color="000000"/>
            </w:tcBorders>
            <w:vAlign w:val="center"/>
          </w:tcPr>
          <w:p>
            <w:pPr>
              <w:spacing w:lineRule="auto"/>
              <w:jc w:val="right"/>
            </w:pPr>
            <m:oMath>
              <m:r>
                <m:rPr>
                  <m:sty m:val="p"/>
                </m:rPr>
                <m:t>↑</m:t>
              </m:r>
            </m:oMath>
            <w:r>
              <w:rPr/>
              <w:t xml:space="preserve"> 8.8%</w:t>
            </w:r>
          </w:p>
        </w:tc>
      </w:tr>
      <w:tr>
        <w:trPr>
          <w:cantSplit/>
        </w:trPr>
        <w:tc>
          <w:tcPr>
            <w:tcBorders>
              <w:left w:val="single" w:sz="8" w:space="0" w:color="000000"/>
              <w:right w:val="single" w:sz="8" w:space="0" w:color="000000"/>
            </w:tcBorders>
            <w:vAlign w:val="center"/>
          </w:tcPr>
          <w:p>
            <w:pPr>
              <w:spacing w:lineRule="auto"/>
              <w:jc w:val="left"/>
            </w:pPr>
            <w:r>
              <w:rPr/>
              <w:t xml:space="preserve">Short-term Borrowings</w:t>
            </w:r>
          </w:p>
        </w:tc>
        <w:tc>
          <w:tcPr>
            <w:tcBorders>
              <w:right w:val="single" w:sz="8" w:space="0" w:color="000000"/>
            </w:tcBorders>
            <w:vAlign w:val="center"/>
          </w:tcPr>
          <w:p>
            <w:pPr>
              <w:spacing w:lineRule="auto"/>
              <w:jc w:val="right"/>
            </w:pPr>
            <w:r>
              <w:rPr/>
              <w:t xml:space="preserve">150</w:t>
            </w:r>
          </w:p>
        </w:tc>
        <w:tc>
          <w:tcPr>
            <w:tcBorders>
              <w:right w:val="single" w:sz="8" w:space="0" w:color="000000"/>
            </w:tcBorders>
            <w:vAlign w:val="center"/>
          </w:tcPr>
          <w:p>
            <w:pPr>
              <w:spacing w:lineRule="auto"/>
              <w:jc w:val="right"/>
            </w:pPr>
            <w:r>
              <w:rPr/>
              <w:t xml:space="preserve">1.86%</w:t>
            </w:r>
          </w:p>
        </w:tc>
        <w:tc>
          <w:tcPr>
            <w:tcBorders>
              <w:right w:val="single" w:sz="8" w:space="0" w:color="000000"/>
            </w:tcBorders>
            <w:vAlign w:val="center"/>
          </w:tcPr>
          <w:p>
            <w:pPr>
              <w:spacing w:lineRule="auto"/>
              <w:jc w:val="right"/>
            </w:pPr>
            <m:oMath>
              <m:r>
                <m:rPr>
                  <m:sty m:val="p"/>
                </m:rPr>
                <m:t>↓</m:t>
              </m:r>
            </m:oMath>
            <w:r>
              <w:rPr/>
              <w:t xml:space="preserve"> 16.7%</w:t>
            </w:r>
          </w:p>
        </w:tc>
      </w:tr>
      <w:tr>
        <w:trPr>
          <w:cantSplit/>
        </w:trPr>
        <w:tc>
          <w:tcPr>
            <w:tcBorders>
              <w:left w:val="single" w:sz="8" w:space="0" w:color="000000"/>
              <w:right w:val="single" w:sz="8" w:space="0" w:color="000000"/>
            </w:tcBorders>
            <w:vAlign w:val="center"/>
          </w:tcPr>
          <w:p>
            <w:pPr>
              <w:spacing w:lineRule="auto"/>
              <w:jc w:val="left"/>
            </w:pPr>
            <w:r>
              <w:rPr/>
              <w:t xml:space="preserve">Current Provisions</w:t>
            </w:r>
          </w:p>
        </w:tc>
        <w:tc>
          <w:tcPr>
            <w:tcBorders>
              <w:right w:val="single" w:sz="8" w:space="0" w:color="000000"/>
            </w:tcBorders>
            <w:vAlign w:val="center"/>
          </w:tcPr>
          <w:p>
            <w:pPr>
              <w:spacing w:lineRule="auto"/>
              <w:jc w:val="right"/>
            </w:pPr>
            <w:r>
              <w:rPr/>
              <w:t xml:space="preserve">700</w:t>
            </w:r>
          </w:p>
        </w:tc>
        <w:tc>
          <w:tcPr>
            <w:tcBorders>
              <w:right w:val="single" w:sz="8" w:space="0" w:color="000000"/>
            </w:tcBorders>
            <w:vAlign w:val="center"/>
          </w:tcPr>
          <w:p>
            <w:pPr>
              <w:spacing w:lineRule="auto"/>
              <w:jc w:val="right"/>
            </w:pPr>
            <w:r>
              <w:rPr/>
              <w:t xml:space="preserve">8.70%</w:t>
            </w:r>
          </w:p>
        </w:tc>
        <w:tc>
          <w:tcPr>
            <w:tcBorders>
              <w:right w:val="single" w:sz="8" w:space="0" w:color="000000"/>
            </w:tcBorders>
            <w:vAlign w:val="center"/>
          </w:tcPr>
          <w:p>
            <w:pPr>
              <w:spacing w:lineRule="auto"/>
              <w:jc w:val="right"/>
            </w:pPr>
            <m:oMath>
              <m:r>
                <m:rPr>
                  <m:sty m:val="p"/>
                </m:rPr>
                <m:t>↑</m:t>
              </m:r>
            </m:oMath>
            <w:r>
              <w:rPr/>
              <w:t xml:space="preserve"> 7.7%</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Liabilities</w:t>
            </w:r>
          </w:p>
        </w:tc>
        <w:tc>
          <w:tcPr>
            <w:tcBorders>
              <w:bottom w:val="single" w:sz="8" w:space="0" w:color="000000"/>
              <w:right w:val="single" w:sz="8" w:space="0" w:color="000000"/>
            </w:tcBorders>
            <w:vAlign w:val="center"/>
          </w:tcPr>
          <w:p>
            <w:pPr>
              <w:spacing w:lineRule="auto"/>
              <w:jc w:val="right"/>
            </w:pPr>
            <w:r>
              <w:rPr/>
              <w:t xml:space="preserve">1500</w:t>
            </w:r>
          </w:p>
        </w:tc>
        <w:tc>
          <w:tcPr>
            <w:tcBorders>
              <w:bottom w:val="single" w:sz="8" w:space="0" w:color="000000"/>
              <w:right w:val="single" w:sz="8" w:space="0" w:color="000000"/>
            </w:tcBorders>
            <w:vAlign w:val="center"/>
          </w:tcPr>
          <w:p>
            <w:pPr>
              <w:spacing w:lineRule="auto"/>
              <w:jc w:val="right"/>
            </w:pPr>
            <w:r>
              <w:rPr/>
              <w:t xml:space="preserve">18.63%</w:t>
            </w:r>
          </w:p>
        </w:tc>
        <w:tc>
          <w:tcPr>
            <w:tcBorders>
              <w:bottom w:val="single" w:sz="8" w:space="0" w:color="000000"/>
              <w:right w:val="single" w:sz="8" w:space="0" w:color="000000"/>
            </w:tcBorders>
            <w:vAlign w:val="center"/>
          </w:tcPr>
          <w:p>
            <w:pPr>
              <w:spacing w:lineRule="auto"/>
              <w:jc w:val="right"/>
            </w:pPr>
            <m:oMath>
              <m:r>
                <m:rPr>
                  <m:sty m:val="p"/>
                </m:rPr>
                <m:t>↑</m:t>
              </m:r>
            </m:oMath>
            <w:r>
              <w:rPr/>
              <w:t xml:space="preserve"> 7.1%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Liabilities</w:t>
            </w:r>
          </w:p>
        </w:tc>
        <w:tc>
          <w:tcPr>
            <w:tcBorders>
              <w:bottom w:val="single" w:sz="8" w:space="0" w:color="000000"/>
              <w:right w:val="single" w:sz="8" w:space="0" w:color="000000"/>
            </w:tcBorders>
            <w:vAlign w:val="center"/>
          </w:tcPr>
          <w:p>
            <w:pPr>
              <w:spacing w:lineRule="auto"/>
              <w:jc w:val="right"/>
            </w:pPr>
            <w:r>
              <w:rPr>
                <w:b/>
              </w:rPr>
              <w:t xml:space="preserve">8050</w:t>
            </w:r>
          </w:p>
        </w:tc>
        <w:tc>
          <w:tcPr>
            <w:tcBorders>
              <w:bottom w:val="single" w:sz="8" w:space="0" w:color="000000"/>
              <w:right w:val="single" w:sz="8" w:space="0" w:color="000000"/>
            </w:tcBorders>
            <w:vAlign w:val="center"/>
          </w:tcPr>
          <w:p>
            <w:pPr>
              <w:spacing w:lineRule="auto"/>
              <w:jc w:val="right"/>
            </w:pPr>
            <w:r>
              <w:rPr>
                <w:b/>
              </w:rPr>
              <w:t xml:space="preserve">100%</w:t>
            </w:r>
          </w:p>
        </w:tc>
        <w:tc>
          <w:tcPr>
            <w:tcBorders>
              <w:bottom w:val="single" w:sz="8" w:space="0" w:color="000000"/>
              <w:right w:val="single" w:sz="8" w:space="0" w:color="000000"/>
            </w:tcBorders>
            <w:vAlign w:val="center"/>
          </w:tcPr>
          <w:p>
            <w:pPr>
              <w:spacing w:lineRule="auto"/>
              <w:jc w:val="right"/>
            </w:pPr>
            <m:oMath>
              <m:r>
                <m:rPr>
                  <m:sty m:val="p"/>
                </m:rPr>
                <m:t>↑</m:t>
              </m:r>
            </m:oMath>
            <w:r>
              <w:rPr/>
              <w:t xml:space="preserve"> 5.5%</w:t>
            </w:r>
          </w:p>
        </w:tc>
      </w:tr>
    </w:tbl>
    <w:p>
      <w:pPr>
        <w:spacing w:lineRule="auto"/>
      </w:pPr>
    </w:p>
    <w:p>
      <w:pPr>
        <w:spacing w:lineRule="auto"/>
      </w:pPr>
      <w:r>
        <w:rPr>
          <w:rFonts w:eastAsia="Georgia" w:cs="Georgia" w:ascii="Georgia" w:hAnsi="Georgia"/>
        </w:rPr>
        <w:t xml:space="preserve">Table 5: Composition of Current Liabilities in FY2024–25 (Illustrative)</w:t>
      </w:r>
    </w:p>
    <w:p>
      <w:pPr>
        <w:spacing w:after="210" w:lineRule="auto"/>
      </w:pPr>
      <w:r>
        <w:rPr>
          <w:b/>
        </w:rPr>
        <w:t xml:space="preserve">Key Observations:</w:t>
      </w:r>
    </w:p>
    <w:p>
      <w:pPr>
        <w:numPr>
          <w:ilvl w:val="0"/>
          <w:numId w:val="38"/>
        </w:numPr>
        <w:spacing w:after="210" w:lineRule="auto"/>
      </w:pPr>
      <w:r>
        <w:rPr>
          <w:b/>
        </w:rPr>
        <w:t xml:space="preserve">Trade Payables (45.96%):</w:t>
      </w:r>
      <w:r>
        <w:rPr/>
        <w:t xml:space="preserve"> The dominant liability component; HUL negotiates extended payment terms with suppliers due to its market power, effectively using supplier credit to finance operations.</w:t>
      </w:r>
    </w:p>
    <w:p>
      <w:pPr>
        <w:numPr>
          <w:ilvl w:val="0"/>
          <w:numId w:val="38"/>
        </w:numPr>
        <w:spacing w:after="210" w:lineRule="auto"/>
      </w:pPr>
      <w:r>
        <w:rPr>
          <w:b/>
        </w:rPr>
        <w:t xml:space="preserve">Short-term Borrowings (1.86%):</w:t>
      </w:r>
      <w:r>
        <w:rPr/>
        <w:t xml:space="preserve"> Minimal use of short-term debt; HUL generates strong operating cash flows, reducing reliance on external financing.</w:t>
      </w:r>
    </w:p>
    <w:p>
      <w:pPr>
        <w:numPr>
          <w:ilvl w:val="0"/>
          <w:numId w:val="38"/>
        </w:numPr>
        <w:spacing w:after="210" w:lineRule="auto"/>
      </w:pPr>
      <w:r>
        <w:rPr>
          <w:b/>
        </w:rPr>
        <w:t xml:space="preserve">Current Provisions (8.70%):</w:t>
      </w:r>
      <w:r>
        <w:rPr/>
        <w:t xml:space="preserve"> Provisions for employee benefits, restructuring, and other contingencies.</w:t>
      </w:r>
    </w:p>
    <w:p>
      <w:pPr>
        <w:numPr>
          <w:ilvl w:val="0"/>
          <w:numId w:val="38"/>
        </w:numPr>
        <w:spacing w:after="210" w:lineRule="auto"/>
      </w:pPr>
      <w:r>
        <w:rPr>
          <w:b/>
        </w:rPr>
        <w:t xml:space="preserve">Other Liabilities (18.63%):</w:t>
      </w:r>
      <w:r>
        <w:rPr/>
        <w:t xml:space="preserve"> Includes advance received from customers, accrued expenses, and other payables.</w:t>
      </w:r>
    </w:p>
    <w:p>
      <w:pPr>
        <w:spacing w:line="271" w:before="240" w:lineRule="auto"/>
      </w:pPr>
      <w:bookmarkStart w:id="46" w:name="bm_5_2_2_trend_analysis_5_year_cu_e4ee95"/>
      <w:r>
        <w:rPr>
          <w:b/>
          <w:sz w:val="28"/>
        </w:rPr>
        <w:t xml:space="preserve">5.2.2 Trend Analysis: 5-Year Current Liabilities Growth</w:t>
      </w:r>
      <w:bookmarkEnd w:id="46"/>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CAGR%</w:t>
            </w:r>
          </w:p>
        </w:tc>
      </w:tr>
      <w:tr>
        <w:trPr>
          <w:cantSplit/>
        </w:trPr>
        <w:tc>
          <w:tcPr>
            <w:tcBorders>
              <w:left w:val="single" w:sz="8" w:space="0" w:color="000000"/>
              <w:right w:val="single" w:sz="8" w:space="0" w:color="000000"/>
            </w:tcBorders>
            <w:vAlign w:val="center"/>
          </w:tcPr>
          <w:p>
            <w:pPr>
              <w:spacing w:lineRule="auto"/>
              <w:jc w:val="left"/>
            </w:pPr>
            <w:r>
              <w:rPr/>
              <w:t xml:space="preserve">Trade Payables</w:t>
            </w:r>
          </w:p>
        </w:tc>
        <w:tc>
          <w:tcPr>
            <w:tcBorders>
              <w:right w:val="single" w:sz="8" w:space="0" w:color="000000"/>
            </w:tcBorders>
            <w:vAlign w:val="center"/>
          </w:tcPr>
          <w:p>
            <w:pPr>
              <w:spacing w:lineRule="auto"/>
              <w:jc w:val="right"/>
            </w:pPr>
            <w:r>
              <w:rPr/>
              <w:t xml:space="preserve">2500</w:t>
            </w:r>
          </w:p>
        </w:tc>
        <w:tc>
          <w:tcPr>
            <w:tcBorders>
              <w:right w:val="single" w:sz="8" w:space="0" w:color="000000"/>
            </w:tcBorders>
            <w:vAlign w:val="center"/>
          </w:tcPr>
          <w:p>
            <w:pPr>
              <w:spacing w:lineRule="auto"/>
              <w:jc w:val="right"/>
            </w:pPr>
            <w:r>
              <w:rPr/>
              <w:t xml:space="preserve">2800</w:t>
            </w:r>
          </w:p>
        </w:tc>
        <w:tc>
          <w:tcPr>
            <w:tcBorders>
              <w:right w:val="single" w:sz="8" w:space="0" w:color="000000"/>
            </w:tcBorders>
            <w:vAlign w:val="center"/>
          </w:tcPr>
          <w:p>
            <w:pPr>
              <w:spacing w:lineRule="auto"/>
              <w:jc w:val="right"/>
            </w:pPr>
            <w:r>
              <w:rPr/>
              <w:t xml:space="preserve">3100</w:t>
            </w:r>
          </w:p>
        </w:tc>
        <w:tc>
          <w:tcPr>
            <w:tcBorders>
              <w:right w:val="single" w:sz="8" w:space="0" w:color="000000"/>
            </w:tcBorders>
            <w:vAlign w:val="center"/>
          </w:tcPr>
          <w:p>
            <w:pPr>
              <w:spacing w:lineRule="auto"/>
              <w:jc w:val="right"/>
            </w:pPr>
            <w:r>
              <w:rPr/>
              <w:t xml:space="preserve">3400</w:t>
            </w:r>
          </w:p>
        </w:tc>
        <w:tc>
          <w:tcPr>
            <w:tcBorders>
              <w:right w:val="single" w:sz="8" w:space="0" w:color="000000"/>
            </w:tcBorders>
            <w:vAlign w:val="center"/>
          </w:tcPr>
          <w:p>
            <w:pPr>
              <w:spacing w:lineRule="auto"/>
              <w:jc w:val="right"/>
            </w:pPr>
            <w:r>
              <w:rPr/>
              <w:t xml:space="preserve">3700</w:t>
            </w:r>
          </w:p>
        </w:tc>
        <w:tc>
          <w:tcPr>
            <w:tcBorders>
              <w:right w:val="single" w:sz="8" w:space="0" w:color="000000"/>
            </w:tcBorders>
            <w:vAlign w:val="center"/>
          </w:tcPr>
          <w:p>
            <w:pPr>
              <w:spacing w:lineRule="auto"/>
              <w:jc w:val="right"/>
            </w:pPr>
            <w:r>
              <w:rPr/>
              <w:t xml:space="preserve">10.3%</w:t>
            </w:r>
          </w:p>
        </w:tc>
      </w:tr>
      <w:tr>
        <w:trPr>
          <w:cantSplit/>
        </w:trPr>
        <w:tc>
          <w:tcPr>
            <w:tcBorders>
              <w:left w:val="single" w:sz="8" w:space="0" w:color="000000"/>
              <w:right w:val="single" w:sz="8" w:space="0" w:color="000000"/>
            </w:tcBorders>
            <w:vAlign w:val="center"/>
          </w:tcPr>
          <w:p>
            <w:pPr>
              <w:spacing w:lineRule="auto"/>
              <w:jc w:val="left"/>
            </w:pPr>
            <w:r>
              <w:rPr/>
              <w:t xml:space="preserve">Short-term Borrow.</w:t>
            </w:r>
          </w:p>
        </w:tc>
        <w:tc>
          <w:tcPr>
            <w:tcBorders>
              <w:right w:val="single" w:sz="8" w:space="0" w:color="000000"/>
            </w:tcBorders>
            <w:vAlign w:val="center"/>
          </w:tcPr>
          <w:p>
            <w:pPr>
              <w:spacing w:lineRule="auto"/>
              <w:jc w:val="right"/>
            </w:pPr>
            <w:r>
              <w:rPr/>
              <w:t xml:space="preserve">100</w:t>
            </w:r>
          </w:p>
        </w:tc>
        <w:tc>
          <w:tcPr>
            <w:tcBorders>
              <w:right w:val="single" w:sz="8" w:space="0" w:color="000000"/>
            </w:tcBorders>
            <w:vAlign w:val="center"/>
          </w:tcPr>
          <w:p>
            <w:pPr>
              <w:spacing w:lineRule="auto"/>
              <w:jc w:val="right"/>
            </w:pPr>
            <w:r>
              <w:rPr/>
              <w:t xml:space="preserve">150</w:t>
            </w:r>
          </w:p>
        </w:tc>
        <w:tc>
          <w:tcPr>
            <w:tcBorders>
              <w:right w:val="single" w:sz="8" w:space="0" w:color="000000"/>
            </w:tcBorders>
            <w:vAlign w:val="center"/>
          </w:tcPr>
          <w:p>
            <w:pPr>
              <w:spacing w:lineRule="auto"/>
              <w:jc w:val="right"/>
            </w:pPr>
            <w:r>
              <w:rPr/>
              <w:t xml:space="preserve">200</w:t>
            </w:r>
          </w:p>
        </w:tc>
        <w:tc>
          <w:tcPr>
            <w:tcBorders>
              <w:right w:val="single" w:sz="8" w:space="0" w:color="000000"/>
            </w:tcBorders>
            <w:vAlign w:val="center"/>
          </w:tcPr>
          <w:p>
            <w:pPr>
              <w:spacing w:lineRule="auto"/>
              <w:jc w:val="right"/>
            </w:pPr>
            <w:r>
              <w:rPr/>
              <w:t xml:space="preserve">180</w:t>
            </w:r>
          </w:p>
        </w:tc>
        <w:tc>
          <w:tcPr>
            <w:tcBorders>
              <w:right w:val="single" w:sz="8" w:space="0" w:color="000000"/>
            </w:tcBorders>
            <w:vAlign w:val="center"/>
          </w:tcPr>
          <w:p>
            <w:pPr>
              <w:spacing w:lineRule="auto"/>
              <w:jc w:val="right"/>
            </w:pPr>
            <w:r>
              <w:rPr/>
              <w:t xml:space="preserve">150</w:t>
            </w:r>
          </w:p>
        </w:tc>
        <w:tc>
          <w:tcPr>
            <w:tcBorders>
              <w:right w:val="single" w:sz="8" w:space="0" w:color="000000"/>
            </w:tcBorders>
            <w:vAlign w:val="center"/>
          </w:tcPr>
          <w:p>
            <w:pPr>
              <w:spacing w:lineRule="auto"/>
              <w:jc w:val="right"/>
            </w:pPr>
            <w:r>
              <w:rPr/>
              <w:t xml:space="preserve">10.8%</w:t>
            </w:r>
          </w:p>
        </w:tc>
      </w:tr>
      <w:tr>
        <w:trPr>
          <w:cantSplit/>
        </w:trPr>
        <w:tc>
          <w:tcPr>
            <w:tcBorders>
              <w:left w:val="single" w:sz="8" w:space="0" w:color="000000"/>
              <w:right w:val="single" w:sz="8" w:space="0" w:color="000000"/>
            </w:tcBorders>
            <w:vAlign w:val="center"/>
          </w:tcPr>
          <w:p>
            <w:pPr>
              <w:spacing w:lineRule="auto"/>
              <w:jc w:val="left"/>
            </w:pPr>
            <w:r>
              <w:rPr/>
              <w:t xml:space="preserve">Current Provisions</w:t>
            </w:r>
          </w:p>
        </w:tc>
        <w:tc>
          <w:tcPr>
            <w:tcBorders>
              <w:right w:val="single" w:sz="8" w:space="0" w:color="000000"/>
            </w:tcBorders>
            <w:vAlign w:val="center"/>
          </w:tcPr>
          <w:p>
            <w:pPr>
              <w:spacing w:lineRule="auto"/>
              <w:jc w:val="right"/>
            </w:pPr>
            <w:r>
              <w:rPr/>
              <w:t xml:space="preserve">500</w:t>
            </w:r>
          </w:p>
        </w:tc>
        <w:tc>
          <w:tcPr>
            <w:tcBorders>
              <w:right w:val="single" w:sz="8" w:space="0" w:color="000000"/>
            </w:tcBorders>
            <w:vAlign w:val="center"/>
          </w:tcPr>
          <w:p>
            <w:pPr>
              <w:spacing w:lineRule="auto"/>
              <w:jc w:val="right"/>
            </w:pPr>
            <w:r>
              <w:rPr/>
              <w:t xml:space="preserve">550</w:t>
            </w:r>
          </w:p>
        </w:tc>
        <w:tc>
          <w:tcPr>
            <w:tcBorders>
              <w:right w:val="single" w:sz="8" w:space="0" w:color="000000"/>
            </w:tcBorders>
            <w:vAlign w:val="center"/>
          </w:tcPr>
          <w:p>
            <w:pPr>
              <w:spacing w:lineRule="auto"/>
              <w:jc w:val="right"/>
            </w:pPr>
            <w:r>
              <w:rPr/>
              <w:t xml:space="preserve">600</w:t>
            </w:r>
          </w:p>
        </w:tc>
        <w:tc>
          <w:tcPr>
            <w:tcBorders>
              <w:right w:val="single" w:sz="8" w:space="0" w:color="000000"/>
            </w:tcBorders>
            <w:vAlign w:val="center"/>
          </w:tcPr>
          <w:p>
            <w:pPr>
              <w:spacing w:lineRule="auto"/>
              <w:jc w:val="right"/>
            </w:pPr>
            <w:r>
              <w:rPr/>
              <w:t xml:space="preserve">650</w:t>
            </w:r>
          </w:p>
        </w:tc>
        <w:tc>
          <w:tcPr>
            <w:tcBorders>
              <w:right w:val="single" w:sz="8" w:space="0" w:color="000000"/>
            </w:tcBorders>
            <w:vAlign w:val="center"/>
          </w:tcPr>
          <w:p>
            <w:pPr>
              <w:spacing w:lineRule="auto"/>
              <w:jc w:val="right"/>
            </w:pPr>
            <w:r>
              <w:rPr/>
              <w:t xml:space="preserve">700</w:t>
            </w:r>
          </w:p>
        </w:tc>
        <w:tc>
          <w:tcPr>
            <w:tcBorders>
              <w:right w:val="single" w:sz="8" w:space="0" w:color="000000"/>
            </w:tcBorders>
            <w:vAlign w:val="center"/>
          </w:tcPr>
          <w:p>
            <w:pPr>
              <w:spacing w:lineRule="auto"/>
              <w:jc w:val="right"/>
            </w:pPr>
            <w:r>
              <w:rPr/>
              <w:t xml:space="preserve">8.8%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Liabilities</w:t>
            </w:r>
          </w:p>
        </w:tc>
        <w:tc>
          <w:tcPr>
            <w:tcBorders>
              <w:bottom w:val="single" w:sz="8" w:space="0" w:color="000000"/>
              <w:right w:val="single" w:sz="8" w:space="0" w:color="000000"/>
            </w:tcBorders>
            <w:vAlign w:val="center"/>
          </w:tcPr>
          <w:p>
            <w:pPr>
              <w:spacing w:lineRule="auto"/>
              <w:jc w:val="right"/>
            </w:pPr>
            <w:r>
              <w:rPr/>
              <w:t xml:space="preserve">1100</w:t>
            </w:r>
          </w:p>
        </w:tc>
        <w:tc>
          <w:tcPr>
            <w:tcBorders>
              <w:bottom w:val="single" w:sz="8" w:space="0" w:color="000000"/>
              <w:right w:val="single" w:sz="8" w:space="0" w:color="000000"/>
            </w:tcBorders>
            <w:vAlign w:val="center"/>
          </w:tcPr>
          <w:p>
            <w:pPr>
              <w:spacing w:lineRule="auto"/>
              <w:jc w:val="right"/>
            </w:pPr>
            <w:r>
              <w:rPr/>
              <w:t xml:space="preserve">1200</w:t>
            </w:r>
          </w:p>
        </w:tc>
        <w:tc>
          <w:tcPr>
            <w:tcBorders>
              <w:bottom w:val="single" w:sz="8" w:space="0" w:color="000000"/>
              <w:right w:val="single" w:sz="8" w:space="0" w:color="000000"/>
            </w:tcBorders>
            <w:vAlign w:val="center"/>
          </w:tcPr>
          <w:p>
            <w:pPr>
              <w:spacing w:lineRule="auto"/>
              <w:jc w:val="right"/>
            </w:pPr>
            <w:r>
              <w:rPr/>
              <w:t xml:space="preserve">1300</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1500</w:t>
            </w:r>
          </w:p>
        </w:tc>
        <w:tc>
          <w:tcPr>
            <w:tcBorders>
              <w:bottom w:val="single" w:sz="8" w:space="0" w:color="000000"/>
              <w:right w:val="single" w:sz="8" w:space="0" w:color="000000"/>
            </w:tcBorders>
            <w:vAlign w:val="center"/>
          </w:tcPr>
          <w:p>
            <w:pPr>
              <w:spacing w:lineRule="auto"/>
              <w:jc w:val="right"/>
            </w:pPr>
            <w:r>
              <w:rPr/>
              <w:t xml:space="preserve">8.0%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CL</w:t>
            </w:r>
          </w:p>
        </w:tc>
        <w:tc>
          <w:tcPr>
            <w:tcBorders>
              <w:bottom w:val="single" w:sz="8" w:space="0" w:color="000000"/>
              <w:right w:val="single" w:sz="8" w:space="0" w:color="000000"/>
            </w:tcBorders>
            <w:vAlign w:val="center"/>
          </w:tcPr>
          <w:p>
            <w:pPr>
              <w:spacing w:lineRule="auto"/>
              <w:jc w:val="right"/>
            </w:pPr>
            <w:r>
              <w:rPr>
                <w:b/>
              </w:rPr>
              <w:t xml:space="preserve">6300</w:t>
            </w:r>
          </w:p>
        </w:tc>
        <w:tc>
          <w:tcPr>
            <w:tcBorders>
              <w:bottom w:val="single" w:sz="8" w:space="0" w:color="000000"/>
              <w:right w:val="single" w:sz="8" w:space="0" w:color="000000"/>
            </w:tcBorders>
            <w:vAlign w:val="center"/>
          </w:tcPr>
          <w:p>
            <w:pPr>
              <w:spacing w:lineRule="auto"/>
              <w:jc w:val="right"/>
            </w:pPr>
            <w:r>
              <w:rPr>
                <w:b/>
              </w:rPr>
              <w:t xml:space="preserve">6700</w:t>
            </w:r>
          </w:p>
        </w:tc>
        <w:tc>
          <w:tcPr>
            <w:tcBorders>
              <w:bottom w:val="single" w:sz="8" w:space="0" w:color="000000"/>
              <w:right w:val="single" w:sz="8" w:space="0" w:color="000000"/>
            </w:tcBorders>
            <w:vAlign w:val="center"/>
          </w:tcPr>
          <w:p>
            <w:pPr>
              <w:spacing w:lineRule="auto"/>
              <w:jc w:val="right"/>
            </w:pPr>
            <w:r>
              <w:rPr>
                <w:b/>
              </w:rPr>
              <w:t xml:space="preserve">7200</w:t>
            </w:r>
          </w:p>
        </w:tc>
        <w:tc>
          <w:tcPr>
            <w:tcBorders>
              <w:bottom w:val="single" w:sz="8" w:space="0" w:color="000000"/>
              <w:right w:val="single" w:sz="8" w:space="0" w:color="000000"/>
            </w:tcBorders>
            <w:vAlign w:val="center"/>
          </w:tcPr>
          <w:p>
            <w:pPr>
              <w:spacing w:lineRule="auto"/>
              <w:jc w:val="right"/>
            </w:pPr>
            <w:r>
              <w:rPr>
                <w:b/>
              </w:rPr>
              <w:t xml:space="preserve">7630</w:t>
            </w:r>
          </w:p>
        </w:tc>
        <w:tc>
          <w:tcPr>
            <w:tcBorders>
              <w:bottom w:val="single" w:sz="8" w:space="0" w:color="000000"/>
              <w:right w:val="single" w:sz="8" w:space="0" w:color="000000"/>
            </w:tcBorders>
            <w:vAlign w:val="center"/>
          </w:tcPr>
          <w:p>
            <w:pPr>
              <w:spacing w:lineRule="auto"/>
              <w:jc w:val="right"/>
            </w:pPr>
            <w:r>
              <w:rPr>
                <w:b/>
              </w:rPr>
              <w:t xml:space="preserve">8050</w:t>
            </w:r>
          </w:p>
        </w:tc>
        <w:tc>
          <w:tcPr>
            <w:tcBorders>
              <w:bottom w:val="single" w:sz="8" w:space="0" w:color="000000"/>
              <w:right w:val="single" w:sz="8" w:space="0" w:color="000000"/>
            </w:tcBorders>
            <w:vAlign w:val="center"/>
          </w:tcPr>
          <w:p>
            <w:pPr>
              <w:spacing w:lineRule="auto"/>
              <w:jc w:val="right"/>
            </w:pPr>
            <w:r>
              <w:rPr>
                <w:b/>
              </w:rPr>
              <w:t xml:space="preserve">6.2%</w:t>
            </w:r>
          </w:p>
        </w:tc>
      </w:tr>
    </w:tbl>
    <w:p>
      <w:pPr>
        <w:spacing w:lineRule="auto"/>
      </w:pPr>
    </w:p>
    <w:p>
      <w:pPr>
        <w:spacing w:lineRule="auto"/>
      </w:pPr>
      <w:r>
        <w:rPr>
          <w:rFonts w:eastAsia="Georgia" w:cs="Georgia" w:ascii="Georgia" w:hAnsi="Georgia"/>
        </w:rPr>
        <w:t xml:space="preserve">Table 6: 5-Year Growth in Current Liabilities (₹ Crore, CAGR)</w:t>
      </w:r>
    </w:p>
    <w:p>
      <w:pPr>
        <w:spacing w:after="210" w:lineRule="auto"/>
      </w:pPr>
      <w:r>
        <w:rPr>
          <w:b/>
        </w:rPr>
        <w:t xml:space="preserve">Key Insight:</w:t>
      </w:r>
    </w:p>
    <w:p>
      <w:pPr>
        <w:spacing w:after="210" w:lineRule="auto"/>
      </w:pPr>
      <w:r>
        <w:rPr/>
        <w:t xml:space="preserve">Current Liabilities grew at </w:t>
      </w:r>
      <w:r>
        <w:rPr>
          <w:b/>
        </w:rPr>
        <w:t xml:space="preserve">6.2% CAGR</w:t>
      </w:r>
      <w:r>
        <w:rPr>
          <w:rFonts w:eastAsia="Georgia" w:cs="Georgia" w:ascii="Georgia" w:hAnsi="Georgia"/>
        </w:rPr>
        <w:t xml:space="preserve">, slower than both Current Assets (8.9%) and Revenue (~5.7%), suggesting that HUL is </w:t>
      </w:r>
      <w:r>
        <w:rPr>
          <w:b/>
        </w:rPr>
        <w:t xml:space="preserve">increasingly financing operations through supplier credit</w:t>
      </w:r>
      <w:r>
        <w:rPr>
          <w:rFonts w:eastAsia="Georgia" w:cs="Georgia" w:ascii="Georgia" w:hAnsi="Georgia"/>
        </w:rPr>
        <w:t xml:space="preserve"> while maintaining strong liquidity—a sophisticated working capital optimization strategy.</w:t>
      </w:r>
    </w:p>
    <w:p>
      <w:pPr>
        <w:spacing w:line="271" w:before="240" w:lineRule="auto"/>
      </w:pPr>
      <w:bookmarkStart w:id="47" w:name="bm_5_3_net_working_capital_nwc_analysis"/>
      <w:r>
        <w:rPr>
          <w:b/>
          <w:sz w:val="33"/>
        </w:rPr>
        <w:t xml:space="preserve">5.3 Net Working Capital (NWC) Analysis</w:t>
      </w:r>
      <w:bookmarkEnd w:id="47"/>
    </w:p>
    <w:p>
      <w:pPr>
        <w:spacing w:line="271" w:before="240" w:lineRule="auto"/>
      </w:pPr>
      <w:bookmarkStart w:id="48" w:name="bm_5_3_1_5_year_nwc_calculation_a_2be467"/>
      <w:r>
        <w:rPr>
          <w:b/>
          <w:sz w:val="28"/>
        </w:rPr>
        <w:t xml:space="preserve">5.3.1 5-Year NWC Calculation and Trend</w:t>
      </w:r>
      <w:bookmarkEnd w:id="48"/>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Net Working Capital (₹ Cr)</w:t>
            </w:r>
          </w:p>
        </w:tc>
        <w:tc>
          <w:tcPr>
            <w:tcBorders>
              <w:bottom w:val="single" w:sz="8" w:space="0" w:color="000000"/>
              <w:right w:val="single" w:sz="8" w:space="0" w:color="000000"/>
            </w:tcBorders>
            <w:vAlign w:val="center"/>
          </w:tcPr>
          <w:p>
            <w:pPr>
              <w:spacing w:lineRule="auto"/>
              <w:jc w:val="right"/>
            </w:pPr>
            <w:r>
              <w:rPr>
                <w:b/>
              </w:rPr>
              <w:t xml:space="preserve">300</w:t>
            </w:r>
          </w:p>
        </w:tc>
        <w:tc>
          <w:tcPr>
            <w:tcBorders>
              <w:bottom w:val="single" w:sz="8" w:space="0" w:color="000000"/>
              <w:right w:val="single" w:sz="8" w:space="0" w:color="000000"/>
            </w:tcBorders>
            <w:vAlign w:val="center"/>
          </w:tcPr>
          <w:p>
            <w:pPr>
              <w:spacing w:lineRule="auto"/>
              <w:jc w:val="right"/>
            </w:pPr>
            <w:r>
              <w:rPr>
                <w:b/>
              </w:rPr>
              <w:t xml:space="preserve">370</w:t>
            </w:r>
          </w:p>
        </w:tc>
        <w:tc>
          <w:tcPr>
            <w:tcBorders>
              <w:bottom w:val="single" w:sz="8" w:space="0" w:color="000000"/>
              <w:right w:val="single" w:sz="8" w:space="0" w:color="000000"/>
            </w:tcBorders>
            <w:vAlign w:val="center"/>
          </w:tcPr>
          <w:p>
            <w:pPr>
              <w:spacing w:lineRule="auto"/>
              <w:jc w:val="right"/>
            </w:pPr>
            <w:r>
              <w:rPr>
                <w:b/>
              </w:rPr>
              <w:t xml:space="preserve">680</w:t>
            </w:r>
          </w:p>
        </w:tc>
        <w:tc>
          <w:tcPr>
            <w:tcBorders>
              <w:bottom w:val="single" w:sz="8" w:space="0" w:color="000000"/>
              <w:right w:val="single" w:sz="8" w:space="0" w:color="000000"/>
            </w:tcBorders>
            <w:vAlign w:val="center"/>
          </w:tcPr>
          <w:p>
            <w:pPr>
              <w:spacing w:lineRule="auto"/>
              <w:jc w:val="right"/>
            </w:pPr>
            <w:r>
              <w:rPr>
                <w:b/>
              </w:rPr>
              <w:t xml:space="preserve">870</w:t>
            </w:r>
          </w:p>
        </w:tc>
        <w:tc>
          <w:tcPr>
            <w:tcBorders>
              <w:bottom w:val="single" w:sz="8" w:space="0" w:color="000000"/>
              <w:right w:val="single" w:sz="8" w:space="0" w:color="000000"/>
            </w:tcBorders>
            <w:vAlign w:val="center"/>
          </w:tcPr>
          <w:p>
            <w:pPr>
              <w:spacing w:lineRule="auto"/>
              <w:jc w:val="right"/>
            </w:pPr>
            <w:r>
              <w:rPr>
                <w:b/>
              </w:rPr>
              <w:t xml:space="preserve">1200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NWC as % of CA</w:t>
            </w:r>
          </w:p>
        </w:tc>
        <w:tc>
          <w:tcPr>
            <w:tcBorders>
              <w:bottom w:val="single" w:sz="8" w:space="0" w:color="000000"/>
              <w:right w:val="single" w:sz="8" w:space="0" w:color="000000"/>
            </w:tcBorders>
            <w:vAlign w:val="center"/>
          </w:tcPr>
          <w:p>
            <w:pPr>
              <w:spacing w:lineRule="auto"/>
              <w:jc w:val="right"/>
            </w:pPr>
            <w:r>
              <w:rPr/>
              <w:t xml:space="preserve">4.5%</w:t>
            </w:r>
          </w:p>
        </w:tc>
        <w:tc>
          <w:tcPr>
            <w:tcBorders>
              <w:bottom w:val="single" w:sz="8" w:space="0" w:color="000000"/>
              <w:right w:val="single" w:sz="8" w:space="0" w:color="000000"/>
            </w:tcBorders>
            <w:vAlign w:val="center"/>
          </w:tcPr>
          <w:p>
            <w:pPr>
              <w:spacing w:lineRule="auto"/>
              <w:jc w:val="right"/>
            </w:pPr>
            <w:r>
              <w:rPr/>
              <w:t xml:space="preserve">5.2%</w:t>
            </w:r>
          </w:p>
        </w:tc>
        <w:tc>
          <w:tcPr>
            <w:tcBorders>
              <w:bottom w:val="single" w:sz="8" w:space="0" w:color="000000"/>
              <w:right w:val="single" w:sz="8" w:space="0" w:color="000000"/>
            </w:tcBorders>
            <w:vAlign w:val="center"/>
          </w:tcPr>
          <w:p>
            <w:pPr>
              <w:spacing w:lineRule="auto"/>
              <w:jc w:val="right"/>
            </w:pPr>
            <w:r>
              <w:rPr/>
              <w:t xml:space="preserve">8.6%</w:t>
            </w:r>
          </w:p>
        </w:tc>
        <w:tc>
          <w:tcPr>
            <w:tcBorders>
              <w:bottom w:val="single" w:sz="8" w:space="0" w:color="000000"/>
              <w:right w:val="single" w:sz="8" w:space="0" w:color="000000"/>
            </w:tcBorders>
            <w:vAlign w:val="center"/>
          </w:tcPr>
          <w:p>
            <w:pPr>
              <w:spacing w:lineRule="auto"/>
              <w:jc w:val="right"/>
            </w:pPr>
            <w:r>
              <w:rPr/>
              <w:t xml:space="preserve">10.2%</w:t>
            </w:r>
          </w:p>
        </w:tc>
        <w:tc>
          <w:tcPr>
            <w:tcBorders>
              <w:bottom w:val="single" w:sz="8" w:space="0" w:color="000000"/>
              <w:right w:val="single" w:sz="8" w:space="0" w:color="000000"/>
            </w:tcBorders>
            <w:vAlign w:val="center"/>
          </w:tcPr>
          <w:p>
            <w:pPr>
              <w:spacing w:lineRule="auto"/>
              <w:jc w:val="right"/>
            </w:pPr>
            <w:r>
              <w:rPr/>
              <w:t xml:space="preserve">13.0%</w:t>
            </w:r>
          </w:p>
        </w:tc>
      </w:tr>
    </w:tbl>
    <w:p>
      <w:pPr>
        <w:spacing w:lineRule="auto"/>
      </w:pPr>
    </w:p>
    <w:p>
      <w:pPr>
        <w:spacing w:lineRule="auto"/>
      </w:pPr>
      <w:r>
        <w:rPr>
          <w:rFonts w:eastAsia="Georgia" w:cs="Georgia" w:ascii="Georgia" w:hAnsi="Georgia"/>
        </w:rPr>
        <w:t xml:space="preserve">Table 7: Net Working Capital Trend (FY2021–2025)</w:t>
      </w:r>
    </w:p>
    <w:p>
      <w:pPr>
        <w:spacing w:after="210" w:lineRule="auto"/>
      </w:pPr>
      <w:r>
        <w:rPr>
          <w:b/>
        </w:rPr>
        <w:t xml:space="preserve">Interpretation:</w:t>
      </w:r>
    </w:p>
    <w:p>
      <w:pPr>
        <w:numPr>
          <w:ilvl w:val="0"/>
          <w:numId w:val="39"/>
        </w:numPr>
        <w:spacing w:lineRule="auto"/>
      </w:pPr>
      <w:r>
        <w:rPr>
          <w:rFonts w:eastAsia="Georgia" w:cs="Georgia" w:ascii="Georgia" w:hAnsi="Georgia"/>
        </w:rPr>
        <w:t xml:space="preserve">NWC increased from ₹300 Cr in FY2021 to ₹1,200 Cr in FY2025, a </w:t>
      </w:r>
      <w:r>
        <w:rPr>
          <w:b/>
        </w:rPr>
        <w:t xml:space="preserve">300% growth</w:t>
      </w:r>
      <w:r>
        <w:rPr/>
        <w:t xml:space="preserve"> over 5 years.</w:t>
      </w:r>
    </w:p>
    <w:p>
      <w:pPr>
        <w:numPr>
          <w:ilvl w:val="0"/>
          <w:numId w:val="39"/>
        </w:numPr>
        <w:spacing w:lineRule="auto"/>
      </w:pPr>
      <w:r>
        <w:rPr/>
        <w:t xml:space="preserve">As a percentage of current assets, NWC rose from 4.5% to 13.0%, indicating an </w:t>
      </w:r>
      <w:r>
        <w:rPr>
          <w:b/>
        </w:rPr>
        <w:t xml:space="preserve">increasing proportion of assets financed by equity and long-term debt</w:t>
      </w:r>
      <w:r>
        <w:rPr/>
        <w:t xml:space="preserve"> rather than current liabilities.</w:t>
      </w:r>
    </w:p>
    <w:p>
      <w:pPr>
        <w:numPr>
          <w:ilvl w:val="0"/>
          <w:numId w:val="39"/>
        </w:numPr>
        <w:spacing w:lineRule="auto"/>
      </w:pPr>
      <w:r>
        <w:rPr/>
        <w:t xml:space="preserve">This trend suggests HUL is building </w:t>
      </w:r>
      <w:r>
        <w:rPr>
          <w:b/>
        </w:rPr>
        <w:t xml:space="preserve">financial flexibility</w:t>
      </w:r>
      <w:r>
        <w:rPr/>
        <w:t xml:space="preserve"> and liquidity cushion despite the company's operational efficiency.</w:t>
      </w:r>
    </w:p>
    <w:p>
      <w:pPr>
        <w:spacing w:line="271" w:before="240" w:lineRule="auto"/>
      </w:pPr>
      <w:bookmarkStart w:id="49" w:name="bm_5_3_2_nwc_efficiency_index"/>
      <w:r>
        <w:rPr>
          <w:b/>
          <w:sz w:val="28"/>
        </w:rPr>
        <w:t xml:space="preserve">5.3.2 NWC Efficiency Index</w:t>
      </w:r>
      <w:bookmarkEnd w:id="4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right w:val="single" w:sz="8" w:space="0" w:color="000000"/>
            </w:tcBorders>
            <w:vAlign w:val="center"/>
          </w:tcPr>
          <w:p>
            <w:pPr>
              <w:spacing w:lineRule="auto"/>
              <w:jc w:val="right"/>
            </w:pPr>
            <w:r>
              <w:rPr/>
              <w:t xml:space="preserve">38000</w:t>
            </w:r>
          </w:p>
        </w:tc>
        <w:tc>
          <w:tcPr>
            <w:tcBorders>
              <w:right w:val="single" w:sz="8" w:space="0" w:color="000000"/>
            </w:tcBorders>
            <w:vAlign w:val="center"/>
          </w:tcPr>
          <w:p>
            <w:pPr>
              <w:spacing w:lineRule="auto"/>
              <w:jc w:val="right"/>
            </w:pPr>
            <w:r>
              <w:rPr/>
              <w:t xml:space="preserve">41500</w:t>
            </w:r>
          </w:p>
        </w:tc>
        <w:tc>
          <w:tcPr>
            <w:tcBorders>
              <w:right w:val="single" w:sz="8" w:space="0" w:color="000000"/>
            </w:tcBorders>
            <w:vAlign w:val="center"/>
          </w:tcPr>
          <w:p>
            <w:pPr>
              <w:spacing w:lineRule="auto"/>
              <w:jc w:val="right"/>
            </w:pPr>
            <w:r>
              <w:rPr/>
              <w:t xml:space="preserve">44200</w:t>
            </w:r>
          </w:p>
        </w:tc>
        <w:tc>
          <w:tcPr>
            <w:tcBorders>
              <w:right w:val="single" w:sz="8" w:space="0" w:color="000000"/>
            </w:tcBorders>
            <w:vAlign w:val="center"/>
          </w:tcPr>
          <w:p>
            <w:pPr>
              <w:spacing w:lineRule="auto"/>
              <w:jc w:val="right"/>
            </w:pPr>
            <w:r>
              <w:rPr/>
              <w:t xml:space="preserve">46500</w:t>
            </w:r>
          </w:p>
        </w:tc>
        <w:tc>
          <w:tcPr>
            <w:tcBorders>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NWC (₹ Cr)</w:t>
            </w:r>
          </w:p>
        </w:tc>
        <w:tc>
          <w:tcPr>
            <w:tcBorders>
              <w:bottom w:val="single" w:sz="8" w:space="0" w:color="000000"/>
              <w:right w:val="single" w:sz="8" w:space="0" w:color="000000"/>
            </w:tcBorders>
            <w:vAlign w:val="center"/>
          </w:tcPr>
          <w:p>
            <w:pPr>
              <w:spacing w:lineRule="auto"/>
              <w:jc w:val="right"/>
            </w:pPr>
            <w:r>
              <w:rPr/>
              <w:t xml:space="preserve">300</w:t>
            </w:r>
          </w:p>
        </w:tc>
        <w:tc>
          <w:tcPr>
            <w:tcBorders>
              <w:bottom w:val="single" w:sz="8" w:space="0" w:color="000000"/>
              <w:right w:val="single" w:sz="8" w:space="0" w:color="000000"/>
            </w:tcBorders>
            <w:vAlign w:val="center"/>
          </w:tcPr>
          <w:p>
            <w:pPr>
              <w:spacing w:lineRule="auto"/>
              <w:jc w:val="right"/>
            </w:pPr>
            <w:r>
              <w:rPr/>
              <w:t xml:space="preserve">370</w:t>
            </w:r>
          </w:p>
        </w:tc>
        <w:tc>
          <w:tcPr>
            <w:tcBorders>
              <w:bottom w:val="single" w:sz="8" w:space="0" w:color="000000"/>
              <w:right w:val="single" w:sz="8" w:space="0" w:color="000000"/>
            </w:tcBorders>
            <w:vAlign w:val="center"/>
          </w:tcPr>
          <w:p>
            <w:pPr>
              <w:spacing w:lineRule="auto"/>
              <w:jc w:val="right"/>
            </w:pPr>
            <w:r>
              <w:rPr/>
              <w:t xml:space="preserve">680</w:t>
            </w:r>
          </w:p>
        </w:tc>
        <w:tc>
          <w:tcPr>
            <w:tcBorders>
              <w:bottom w:val="single" w:sz="8" w:space="0" w:color="000000"/>
              <w:right w:val="single" w:sz="8" w:space="0" w:color="000000"/>
            </w:tcBorders>
            <w:vAlign w:val="center"/>
          </w:tcPr>
          <w:p>
            <w:pPr>
              <w:spacing w:lineRule="auto"/>
              <w:jc w:val="right"/>
            </w:pPr>
            <w:r>
              <w:rPr/>
              <w:t xml:space="preserve">870</w:t>
            </w:r>
          </w:p>
        </w:tc>
        <w:tc>
          <w:tcPr>
            <w:tcBorders>
              <w:bottom w:val="single" w:sz="8" w:space="0" w:color="000000"/>
              <w:right w:val="single" w:sz="8" w:space="0" w:color="000000"/>
            </w:tcBorders>
            <w:vAlign w:val="center"/>
          </w:tcPr>
          <w:p>
            <w:pPr>
              <w:spacing w:lineRule="auto"/>
              <w:jc w:val="right"/>
            </w:pPr>
            <w:r>
              <w:rPr/>
              <w:t xml:space="preserve">1200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NWC to Sales (%)</w:t>
            </w:r>
          </w:p>
        </w:tc>
        <w:tc>
          <w:tcPr>
            <w:tcBorders>
              <w:bottom w:val="single" w:sz="8" w:space="0" w:color="000000"/>
              <w:right w:val="single" w:sz="8" w:space="0" w:color="000000"/>
            </w:tcBorders>
            <w:vAlign w:val="center"/>
          </w:tcPr>
          <w:p>
            <w:pPr>
              <w:spacing w:lineRule="auto"/>
              <w:jc w:val="right"/>
            </w:pPr>
            <w:r>
              <w:rPr/>
              <w:t xml:space="preserve">0.79%</w:t>
            </w:r>
          </w:p>
        </w:tc>
        <w:tc>
          <w:tcPr>
            <w:tcBorders>
              <w:bottom w:val="single" w:sz="8" w:space="0" w:color="000000"/>
              <w:right w:val="single" w:sz="8" w:space="0" w:color="000000"/>
            </w:tcBorders>
            <w:vAlign w:val="center"/>
          </w:tcPr>
          <w:p>
            <w:pPr>
              <w:spacing w:lineRule="auto"/>
              <w:jc w:val="right"/>
            </w:pPr>
            <w:r>
              <w:rPr/>
              <w:t xml:space="preserve">0.89%</w:t>
            </w:r>
          </w:p>
        </w:tc>
        <w:tc>
          <w:tcPr>
            <w:tcBorders>
              <w:bottom w:val="single" w:sz="8" w:space="0" w:color="000000"/>
              <w:right w:val="single" w:sz="8" w:space="0" w:color="000000"/>
            </w:tcBorders>
            <w:vAlign w:val="center"/>
          </w:tcPr>
          <w:p>
            <w:pPr>
              <w:spacing w:lineRule="auto"/>
              <w:jc w:val="right"/>
            </w:pPr>
            <w:r>
              <w:rPr/>
              <w:t xml:space="preserve">1.54%</w:t>
            </w:r>
          </w:p>
        </w:tc>
        <w:tc>
          <w:tcPr>
            <w:tcBorders>
              <w:bottom w:val="single" w:sz="8" w:space="0" w:color="000000"/>
              <w:right w:val="single" w:sz="8" w:space="0" w:color="000000"/>
            </w:tcBorders>
            <w:vAlign w:val="center"/>
          </w:tcPr>
          <w:p>
            <w:pPr>
              <w:spacing w:lineRule="auto"/>
              <w:jc w:val="right"/>
            </w:pPr>
            <w:r>
              <w:rPr/>
              <w:t xml:space="preserve">1.87%</w:t>
            </w:r>
          </w:p>
        </w:tc>
        <w:tc>
          <w:tcPr>
            <w:tcBorders>
              <w:bottom w:val="single" w:sz="8" w:space="0" w:color="000000"/>
              <w:right w:val="single" w:sz="8" w:space="0" w:color="000000"/>
            </w:tcBorders>
            <w:vAlign w:val="center"/>
          </w:tcPr>
          <w:p>
            <w:pPr>
              <w:spacing w:lineRule="auto"/>
              <w:jc w:val="right"/>
            </w:pPr>
            <w:r>
              <w:rPr/>
              <w:t xml:space="preserve">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Sales Growth (%)</w:t>
            </w:r>
          </w:p>
        </w:tc>
        <w:tc>
          <w:tcPr>
            <w:tcBorders>
              <w:bottom w:val="single" w:sz="8" w:space="0" w:color="000000"/>
              <w:right w:val="single" w:sz="8" w:space="0" w:color="000000"/>
            </w:tcBorders>
            <w:vAlign w:val="center"/>
          </w:tcPr>
          <w:p>
            <w:pPr>
              <w:spacing w:lineRule="auto"/>
              <w:jc w:val="right"/>
            </w:pPr>
            <w:r>
              <w:rPr/>
              <w:t xml:space="preserve">-</w:t>
            </w:r>
          </w:p>
        </w:tc>
        <w:tc>
          <w:tcPr>
            <w:tcBorders>
              <w:bottom w:val="single" w:sz="8" w:space="0" w:color="000000"/>
              <w:right w:val="single" w:sz="8" w:space="0" w:color="000000"/>
            </w:tcBorders>
            <w:vAlign w:val="center"/>
          </w:tcPr>
          <w:p>
            <w:pPr>
              <w:spacing w:lineRule="auto"/>
              <w:jc w:val="right"/>
            </w:pPr>
            <w:r>
              <w:rPr/>
              <w:t xml:space="preserve">9.2%</w:t>
            </w:r>
          </w:p>
        </w:tc>
        <w:tc>
          <w:tcPr>
            <w:tcBorders>
              <w:bottom w:val="single" w:sz="8" w:space="0" w:color="000000"/>
              <w:right w:val="single" w:sz="8" w:space="0" w:color="000000"/>
            </w:tcBorders>
            <w:vAlign w:val="center"/>
          </w:tcPr>
          <w:p>
            <w:pPr>
              <w:spacing w:lineRule="auto"/>
              <w:jc w:val="right"/>
            </w:pPr>
            <w:r>
              <w:rPr/>
              <w:t xml:space="preserve">6.5%</w:t>
            </w:r>
          </w:p>
        </w:tc>
        <w:tc>
          <w:tcPr>
            <w:tcBorders>
              <w:bottom w:val="single" w:sz="8" w:space="0" w:color="000000"/>
              <w:right w:val="single" w:sz="8" w:space="0" w:color="000000"/>
            </w:tcBorders>
            <w:vAlign w:val="center"/>
          </w:tcPr>
          <w:p>
            <w:pPr>
              <w:spacing w:lineRule="auto"/>
              <w:jc w:val="right"/>
            </w:pPr>
            <w:r>
              <w:rPr/>
              <w:t xml:space="preserve">5.2%</w:t>
            </w:r>
          </w:p>
        </w:tc>
        <w:tc>
          <w:tcPr>
            <w:tcBorders>
              <w:bottom w:val="single" w:sz="8" w:space="0" w:color="000000"/>
              <w:right w:val="single" w:sz="8" w:space="0" w:color="000000"/>
            </w:tcBorders>
            <w:vAlign w:val="center"/>
          </w:tcPr>
          <w:p>
            <w:pPr>
              <w:spacing w:lineRule="auto"/>
              <w:jc w:val="right"/>
            </w:pPr>
            <w:r>
              <w:rPr/>
              <w:t xml:space="preserve">3.2%</w:t>
            </w:r>
          </w:p>
        </w:tc>
      </w:tr>
    </w:tbl>
    <w:p>
      <w:pPr>
        <w:spacing w:lineRule="auto"/>
      </w:pPr>
    </w:p>
    <w:p>
      <w:pPr>
        <w:spacing w:lineRule="auto"/>
      </w:pPr>
      <w:r>
        <w:rPr/>
        <w:t xml:space="preserve">Table 8: NWC Efficiency: Working Capital as Percentage of Sales</w:t>
      </w:r>
    </w:p>
    <w:p>
      <w:pPr>
        <w:spacing w:after="210" w:lineRule="auto"/>
      </w:pPr>
      <w:r>
        <w:rPr>
          <w:b/>
        </w:rPr>
        <w:t xml:space="preserve">Analysis:</w:t>
      </w:r>
    </w:p>
    <w:p>
      <w:pPr>
        <w:spacing w:after="210" w:lineRule="auto"/>
      </w:pPr>
      <w:r>
        <w:rPr/>
        <w:t xml:space="preserve">The </w:t>
      </w:r>
      <w:r>
        <w:rPr>
          <w:b/>
        </w:rPr>
        <w:t xml:space="preserve">NWC to Sales ratio</w:t>
      </w:r>
      <w:r>
        <w:rPr/>
        <w:t xml:space="preserve"> increased from 0.79% to 2.50%, indicating that while NWC is growing, it is still a </w:t>
      </w:r>
      <w:r>
        <w:rPr>
          <w:b/>
        </w:rPr>
        <w:t xml:space="preserve">small fraction of sales</w:t>
      </w:r>
      <w:r>
        <w:rPr>
          <w:rFonts w:eastAsia="Georgia" w:cs="Georgia" w:ascii="Georgia" w:hAnsi="Georgia"/>
        </w:rPr>
        <w:t xml:space="preserve">—a testament to HUL's operational efficiency. For every ₹100 of sales, HUL maintains only ₹2.50 in net working capital, compared to industry average of 5–8%, demonstrating superior management.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0" w:name="bm_6_liquidity_ratio_analysis"/>
      <w:r>
        <w:rPr>
          <w:b/>
          <w:sz w:val="42"/>
        </w:rPr>
        <w:t xml:space="preserve">6. LIQUIDITY RATIO ANALYSIS</w:t>
      </w:r>
      <w:bookmarkEnd w:id="50"/>
    </w:p>
    <w:p>
      <w:pPr>
        <w:spacing w:line="271" w:before="240" w:lineRule="auto"/>
      </w:pPr>
      <w:bookmarkStart w:id="51" w:name="bm_6_1_current_ratio_analysis"/>
      <w:r>
        <w:rPr>
          <w:b/>
          <w:sz w:val="33"/>
        </w:rPr>
        <w:t xml:space="preserve">6.1 Current Ratio Analysis</w:t>
      </w:r>
      <w:bookmarkEnd w:id="51"/>
    </w:p>
    <w:p>
      <w:pPr>
        <w:spacing w:after="210" w:lineRule="auto"/>
      </w:pPr>
      <w:r>
        <w:rPr>
          <w:b/>
        </w:rPr>
        <w:t xml:space="preserve">Current Ratio Formula:</w:t>
      </w:r>
    </w:p>
    <w:p>
      <w:pPr>
        <w:spacing w:after="210" w:lineRule="auto"/>
      </w:pPr>
      <m:oMathPara>
        <m:oMath>
          <m:r>
            <m:rPr>
              <m:nor/>
            </m:rPr>
            <m:t>Current Ratio</m:t>
          </m:r>
          <m:r>
            <m:rPr>
              <m:sty m:val="p"/>
            </m:rPr>
            <m:t>=</m:t>
          </m:r>
          <m:f>
            <m:fPr>
              <m:ctrlPr>
                <w:rPr>
                  <w:rFonts w:ascii="Cambria Math" w:hAnsi="Cambria Math"/>
                </w:rPr>
              </m:ctrlPr>
            </m:fPr>
            <m:num>
              <m:r>
                <m:rPr>
                  <m:nor/>
                </m:rPr>
                <m:t>Current Assets</m:t>
              </m:r>
            </m:num>
            <m:den>
              <m:r>
                <m:rPr>
                  <m:nor/>
                </m:rPr>
                <m:t>Current Liabilities</m:t>
              </m:r>
            </m:den>
          </m:f>
        </m:oMath>
      </m:oMathPara>
    </w:p>
    <w:p>
      <w:pPr>
        <w:spacing w:line="271" w:before="240" w:lineRule="auto"/>
      </w:pPr>
      <w:bookmarkStart w:id="52" w:name="bm_6_1_1_current_ratio_trend_5_year"/>
      <w:r>
        <w:rPr>
          <w:b/>
          <w:sz w:val="28"/>
        </w:rPr>
        <w:t xml:space="preserve">6.1.1 Current Ratio Trend (5-Year)</w:t>
      </w:r>
      <w:bookmarkEnd w:id="52"/>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Current Ratio</w:t>
            </w:r>
          </w:p>
        </w:tc>
        <w:tc>
          <w:tcPr>
            <w:tcBorders>
              <w:bottom w:val="single" w:sz="8" w:space="0" w:color="000000"/>
              <w:right w:val="single" w:sz="8" w:space="0" w:color="000000"/>
            </w:tcBorders>
            <w:vAlign w:val="center"/>
          </w:tcPr>
          <w:p>
            <w:pPr>
              <w:spacing w:lineRule="auto"/>
              <w:jc w:val="right"/>
            </w:pPr>
            <w:r>
              <w:rPr>
                <w:b/>
              </w:rPr>
              <w:t xml:space="preserve">1.048</w:t>
            </w:r>
          </w:p>
        </w:tc>
        <w:tc>
          <w:tcPr>
            <w:tcBorders>
              <w:bottom w:val="single" w:sz="8" w:space="0" w:color="000000"/>
              <w:right w:val="single" w:sz="8" w:space="0" w:color="000000"/>
            </w:tcBorders>
            <w:vAlign w:val="center"/>
          </w:tcPr>
          <w:p>
            <w:pPr>
              <w:spacing w:lineRule="auto"/>
              <w:jc w:val="right"/>
            </w:pPr>
            <w:r>
              <w:rPr>
                <w:b/>
              </w:rPr>
              <w:t xml:space="preserve">1.055</w:t>
            </w:r>
          </w:p>
        </w:tc>
        <w:tc>
          <w:tcPr>
            <w:tcBorders>
              <w:bottom w:val="single" w:sz="8" w:space="0" w:color="000000"/>
              <w:right w:val="single" w:sz="8" w:space="0" w:color="000000"/>
            </w:tcBorders>
            <w:vAlign w:val="center"/>
          </w:tcPr>
          <w:p>
            <w:pPr>
              <w:spacing w:lineRule="auto"/>
              <w:jc w:val="right"/>
            </w:pPr>
            <w:r>
              <w:rPr>
                <w:b/>
              </w:rPr>
              <w:t xml:space="preserve">1.094</w:t>
            </w:r>
          </w:p>
        </w:tc>
        <w:tc>
          <w:tcPr>
            <w:tcBorders>
              <w:bottom w:val="single" w:sz="8" w:space="0" w:color="000000"/>
              <w:right w:val="single" w:sz="8" w:space="0" w:color="000000"/>
            </w:tcBorders>
            <w:vAlign w:val="center"/>
          </w:tcPr>
          <w:p>
            <w:pPr>
              <w:spacing w:lineRule="auto"/>
              <w:jc w:val="right"/>
            </w:pPr>
            <w:r>
              <w:rPr>
                <w:b/>
              </w:rPr>
              <w:t xml:space="preserve">1.114</w:t>
            </w:r>
          </w:p>
        </w:tc>
        <w:tc>
          <w:tcPr>
            <w:tcBorders>
              <w:bottom w:val="single" w:sz="8" w:space="0" w:color="000000"/>
              <w:right w:val="single" w:sz="8" w:space="0" w:color="000000"/>
            </w:tcBorders>
            <w:vAlign w:val="center"/>
          </w:tcPr>
          <w:p>
            <w:pPr>
              <w:spacing w:lineRule="auto"/>
              <w:jc w:val="right"/>
            </w:pPr>
            <w:r>
              <w:rPr>
                <w:b/>
              </w:rPr>
              <w:t xml:space="preserve">1.149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YoY Change (Pts)</w:t>
            </w:r>
          </w:p>
        </w:tc>
        <w:tc>
          <w:tcPr>
            <w:tcBorders>
              <w:bottom w:val="single" w:sz="8" w:space="0" w:color="000000"/>
              <w:right w:val="single" w:sz="8" w:space="0" w:color="000000"/>
            </w:tcBorders>
            <w:vAlign w:val="center"/>
          </w:tcPr>
          <w:p>
            <w:pPr>
              <w:spacing w:lineRule="auto"/>
              <w:jc w:val="right"/>
            </w:pPr>
            <w:r>
              <w:rPr/>
              <w:t xml:space="preserve">-</w:t>
            </w:r>
          </w:p>
        </w:tc>
        <w:tc>
          <w:tcPr>
            <w:tcBorders>
              <w:bottom w:val="single" w:sz="8" w:space="0" w:color="000000"/>
              <w:right w:val="single" w:sz="8" w:space="0" w:color="000000"/>
            </w:tcBorders>
            <w:vAlign w:val="center"/>
          </w:tcPr>
          <w:p>
            <w:pPr>
              <w:spacing w:lineRule="auto"/>
              <w:jc w:val="right"/>
            </w:pPr>
            <w:r>
              <w:rPr/>
              <w:t xml:space="preserve">+0.007</w:t>
            </w:r>
          </w:p>
        </w:tc>
        <w:tc>
          <w:tcPr>
            <w:tcBorders>
              <w:bottom w:val="single" w:sz="8" w:space="0" w:color="000000"/>
              <w:right w:val="single" w:sz="8" w:space="0" w:color="000000"/>
            </w:tcBorders>
            <w:vAlign w:val="center"/>
          </w:tcPr>
          <w:p>
            <w:pPr>
              <w:spacing w:lineRule="auto"/>
              <w:jc w:val="right"/>
            </w:pPr>
            <w:r>
              <w:rPr/>
              <w:t xml:space="preserve">+0.039</w:t>
            </w:r>
          </w:p>
        </w:tc>
        <w:tc>
          <w:tcPr>
            <w:tcBorders>
              <w:bottom w:val="single" w:sz="8" w:space="0" w:color="000000"/>
              <w:right w:val="single" w:sz="8" w:space="0" w:color="000000"/>
            </w:tcBorders>
            <w:vAlign w:val="center"/>
          </w:tcPr>
          <w:p>
            <w:pPr>
              <w:spacing w:lineRule="auto"/>
              <w:jc w:val="right"/>
            </w:pPr>
            <w:r>
              <w:rPr/>
              <w:t xml:space="preserve">+0.020</w:t>
            </w:r>
          </w:p>
        </w:tc>
        <w:tc>
          <w:tcPr>
            <w:tcBorders>
              <w:bottom w:val="single" w:sz="8" w:space="0" w:color="000000"/>
              <w:right w:val="single" w:sz="8" w:space="0" w:color="000000"/>
            </w:tcBorders>
            <w:vAlign w:val="center"/>
          </w:tcPr>
          <w:p>
            <w:pPr>
              <w:spacing w:lineRule="auto"/>
              <w:jc w:val="right"/>
            </w:pPr>
            <w:r>
              <w:rPr/>
              <w:t xml:space="preserve">+0.035</w:t>
            </w:r>
          </w:p>
        </w:tc>
      </w:tr>
    </w:tbl>
    <w:p>
      <w:pPr>
        <w:spacing w:lineRule="auto"/>
      </w:pPr>
    </w:p>
    <w:p>
      <w:pPr>
        <w:spacing w:lineRule="auto"/>
      </w:pPr>
      <w:r>
        <w:rPr>
          <w:rFonts w:eastAsia="Georgia" w:cs="Georgia" w:ascii="Georgia" w:hAnsi="Georgia"/>
        </w:rPr>
        <w:t xml:space="preserve">Table 9: Current Ratio Trend (FY2021–2025)</w:t>
      </w:r>
    </w:p>
    <w:p>
      <w:pPr>
        <w:spacing w:line="271" w:before="240" w:lineRule="auto"/>
      </w:pPr>
      <w:bookmarkStart w:id="53" w:name="bm_6_1_2_interpretation"/>
      <w:r>
        <w:rPr>
          <w:b/>
          <w:sz w:val="28"/>
        </w:rPr>
        <w:t xml:space="preserve">6.1.2 Interpretation</w:t>
      </w:r>
      <w:bookmarkEnd w:id="53"/>
    </w:p>
    <w:p>
      <w:pPr>
        <w:spacing w:after="210" w:lineRule="auto"/>
      </w:pPr>
      <w:r>
        <w:rPr>
          <w:b/>
        </w:rPr>
        <w:t xml:space="preserve">Traditional Benchmark:</w:t>
      </w:r>
      <w:r>
        <w:rPr>
          <w:rFonts w:eastAsia="Georgia" w:cs="Georgia" w:ascii="Georgia" w:hAnsi="Georgia"/>
        </w:rPr>
        <w:t xml:space="preserve"> 1.5–2.0</w:t>
      </w:r>
    </w:p>
    <w:p>
      <w:pPr>
        <w:spacing w:after="210" w:lineRule="auto"/>
      </w:pPr>
      <w:r>
        <w:rPr>
          <w:b/>
        </w:rPr>
        <w:t xml:space="preserve">HUL's Position:</w:t>
      </w:r>
      <w:r>
        <w:rPr>
          <w:rFonts w:eastAsia="Georgia" w:cs="Georgia" w:ascii="Georgia" w:hAnsi="Georgia"/>
        </w:rPr>
        <w:t xml:space="preserve"> 1.048–1.149 (Below traditional benchmark, but acceptable for HUL)</w:t>
      </w:r>
    </w:p>
    <w:p>
      <w:pPr>
        <w:spacing w:after="210" w:lineRule="auto"/>
      </w:pPr>
      <w:r>
        <w:rPr>
          <w:b/>
        </w:rPr>
        <w:t xml:space="preserve">Why Lower is Acceptable at HUL:</w:t>
      </w:r>
    </w:p>
    <w:p>
      <w:pPr>
        <w:numPr>
          <w:ilvl w:val="0"/>
          <w:numId w:val="40"/>
        </w:numPr>
        <w:spacing w:after="210" w:lineRule="auto"/>
      </w:pPr>
      <w:r>
        <w:rPr>
          <w:b/>
        </w:rPr>
        <w:t xml:space="preserve">Strong Operating Cash Flows:</w:t>
      </w:r>
      <w:r>
        <w:rPr>
          <w:rFonts w:eastAsia="Georgia" w:cs="Georgia" w:ascii="Georgia" w:hAnsi="Georgia"/>
        </w:rPr>
        <w:t xml:space="preserve"> HUL generates ₹6,000–8,000 Cr in operating cash annually, sufficient to meet obligations without relying on current asset conversion.</w:t>
      </w:r>
    </w:p>
    <w:p>
      <w:pPr>
        <w:numPr>
          <w:ilvl w:val="0"/>
          <w:numId w:val="40"/>
        </w:numPr>
        <w:spacing w:after="210" w:lineRule="auto"/>
      </w:pPr>
      <w:r>
        <w:rPr>
          <w:b/>
        </w:rPr>
        <w:t xml:space="preserve">Negative Working Capital Days:</w:t>
      </w:r>
      <w:r>
        <w:rPr/>
        <w:t xml:space="preserve"> As an FMCG company, HUL collects cash from customers faster than it pays suppliers, creating built-in liquidity.</w:t>
      </w:r>
    </w:p>
    <w:p>
      <w:pPr>
        <w:numPr>
          <w:ilvl w:val="0"/>
          <w:numId w:val="40"/>
        </w:numPr>
        <w:spacing w:after="210" w:lineRule="auto"/>
      </w:pPr>
      <w:r>
        <w:rPr>
          <w:b/>
        </w:rPr>
        <w:t xml:space="preserve">Market Power:</w:t>
      </w:r>
      <w:r>
        <w:rPr/>
        <w:t xml:space="preserve"> HUL's brand strength and market dominance enable favorable payment terms and quick cash collection.</w:t>
      </w:r>
    </w:p>
    <w:p>
      <w:pPr>
        <w:numPr>
          <w:ilvl w:val="0"/>
          <w:numId w:val="40"/>
        </w:numPr>
        <w:spacing w:after="210" w:lineRule="auto"/>
      </w:pPr>
      <w:r>
        <w:rPr>
          <w:b/>
        </w:rPr>
        <w:t xml:space="preserve">Profitability:</w:t>
      </w:r>
      <w:r>
        <w:rPr/>
        <w:t xml:space="preserve"> High operating margins ensure continuous cash generation.</w:t>
      </w:r>
    </w:p>
    <w:p>
      <w:pPr>
        <w:spacing w:after="210" w:lineRule="auto"/>
      </w:pPr>
      <w:r>
        <w:rPr>
          <w:b/>
        </w:rPr>
        <w:t xml:space="preserve">Insight:</w:t>
      </w:r>
      <w:r>
        <w:rPr/>
        <w:t xml:space="preserve"> A current ratio just above 1.0 indicates HUL </w:t>
      </w:r>
      <w:r>
        <w:rPr>
          <w:b/>
        </w:rPr>
        <w:t xml:space="preserve">minimizes idle working capital</w:t>
      </w:r>
      <w:r>
        <w:rPr/>
        <w:t xml:space="preserve">, using capital efficiently to earn returns elsewhere. This is a </w:t>
      </w:r>
      <w:r>
        <w:rPr>
          <w:b/>
        </w:rPr>
        <w:t xml:space="preserve">sign of operational excellence</w:t>
      </w:r>
      <w:r>
        <w:rPr/>
        <w:t xml:space="preserve">, not financial distress.</w:t>
      </w:r>
    </w:p>
    <w:p>
      <w:pPr>
        <w:spacing w:line="271" w:before="240" w:lineRule="auto"/>
      </w:pPr>
      <w:bookmarkStart w:id="54" w:name="bm_6_2_quick_ratio_acid_test_analysis"/>
      <w:r>
        <w:rPr>
          <w:b/>
          <w:sz w:val="33"/>
        </w:rPr>
        <w:t xml:space="preserve">6.2 Quick Ratio (Acid Test) Analysis</w:t>
      </w:r>
      <w:bookmarkEnd w:id="54"/>
    </w:p>
    <w:p>
      <w:pPr>
        <w:spacing w:after="210" w:lineRule="auto"/>
      </w:pPr>
      <w:r>
        <w:rPr>
          <w:b/>
        </w:rPr>
        <w:t xml:space="preserve">Quick Ratio Formula:</w:t>
      </w:r>
    </w:p>
    <w:p>
      <w:pPr>
        <w:spacing w:after="210" w:lineRule="auto"/>
      </w:pPr>
      <m:oMathPara>
        <m:oMath>
          <m:r>
            <m:rPr>
              <m:nor/>
            </m:rPr>
            <m:t>Quick Ratio</m:t>
          </m:r>
          <m:r>
            <m:rPr>
              <m:sty m:val="p"/>
            </m:rPr>
            <m:t>=</m:t>
          </m:r>
          <m:f>
            <m:fPr>
              <m:ctrlPr>
                <w:rPr>
                  <w:rFonts w:ascii="Cambria Math" w:hAnsi="Cambria Math"/>
                </w:rPr>
              </m:ctrlPr>
            </m:fPr>
            <m:num>
              <m:r>
                <m:rPr>
                  <m:nor/>
                </m:rPr>
                <m:t>Current Assets</m:t>
              </m:r>
              <m:r>
                <m:rPr>
                  <m:sty m:val="p"/>
                </m:rPr>
                <m:t>−</m:t>
              </m:r>
              <m:r>
                <m:rPr>
                  <m:nor/>
                </m:rPr>
                <m:t>Inventory</m:t>
              </m:r>
            </m:num>
            <m:den>
              <m:r>
                <m:rPr>
                  <m:nor/>
                </m:rPr>
                <m:t>Current Liabilities</m:t>
              </m:r>
            </m:den>
          </m:f>
        </m:oMath>
      </m:oMathPara>
    </w:p>
    <w:p>
      <w:pPr>
        <w:spacing w:line="271" w:before="240" w:lineRule="auto"/>
      </w:pPr>
      <w:bookmarkStart w:id="55" w:name="bm_6_2_1_quick_ratio_calculation"/>
      <w:r>
        <w:rPr>
          <w:b/>
          <w:sz w:val="28"/>
        </w:rPr>
        <w:t xml:space="preserve">6.2.1 Quick Ratio Calculation</w:t>
      </w:r>
      <w:bookmarkEnd w:id="55"/>
    </w:p>
    <w:p>
      <w:pPr>
        <w:spacing w:after="210" w:lineRule="auto"/>
      </w:pPr>
      <w:r>
        <w:rPr/>
        <w:t xml:space="preserve">Assuming inventory represents approximately 22% of current assets:</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Inventory (₹ Cr)</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1550</w:t>
            </w:r>
          </w:p>
        </w:tc>
        <w:tc>
          <w:tcPr>
            <w:tcBorders>
              <w:bottom w:val="single" w:sz="8" w:space="0" w:color="000000"/>
              <w:right w:val="single" w:sz="8" w:space="0" w:color="000000"/>
            </w:tcBorders>
            <w:vAlign w:val="center"/>
          </w:tcPr>
          <w:p>
            <w:pPr>
              <w:spacing w:lineRule="auto"/>
              <w:jc w:val="right"/>
            </w:pPr>
            <w:r>
              <w:rPr/>
              <w:t xml:space="preserve">1750</w:t>
            </w:r>
          </w:p>
        </w:tc>
        <w:tc>
          <w:tcPr>
            <w:tcBorders>
              <w:bottom w:val="single" w:sz="8" w:space="0" w:color="000000"/>
              <w:right w:val="single" w:sz="8" w:space="0" w:color="000000"/>
            </w:tcBorders>
            <w:vAlign w:val="center"/>
          </w:tcPr>
          <w:p>
            <w:pPr>
              <w:spacing w:lineRule="auto"/>
              <w:jc w:val="right"/>
            </w:pPr>
            <w:r>
              <w:rPr/>
              <w:t xml:space="preserve">1900</w:t>
            </w:r>
          </w:p>
        </w:tc>
        <w:tc>
          <w:tcPr>
            <w:tcBorders>
              <w:bottom w:val="single" w:sz="8" w:space="0" w:color="000000"/>
              <w:right w:val="single" w:sz="8" w:space="0" w:color="000000"/>
            </w:tcBorders>
            <w:vAlign w:val="center"/>
          </w:tcPr>
          <w:p>
            <w:pPr>
              <w:spacing w:lineRule="auto"/>
              <w:jc w:val="right"/>
            </w:pPr>
            <w:r>
              <w:rPr/>
              <w:t xml:space="preserve">2050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Quick Assets (₹ Cr)</w:t>
            </w:r>
          </w:p>
        </w:tc>
        <w:tc>
          <w:tcPr>
            <w:tcBorders>
              <w:right w:val="single" w:sz="8" w:space="0" w:color="000000"/>
            </w:tcBorders>
            <w:vAlign w:val="center"/>
          </w:tcPr>
          <w:p>
            <w:pPr>
              <w:spacing w:lineRule="auto"/>
              <w:jc w:val="right"/>
            </w:pPr>
            <w:r>
              <w:rPr/>
              <w:t xml:space="preserve">5200</w:t>
            </w:r>
          </w:p>
        </w:tc>
        <w:tc>
          <w:tcPr>
            <w:tcBorders>
              <w:right w:val="single" w:sz="8" w:space="0" w:color="000000"/>
            </w:tcBorders>
            <w:vAlign w:val="center"/>
          </w:tcPr>
          <w:p>
            <w:pPr>
              <w:spacing w:lineRule="auto"/>
              <w:jc w:val="right"/>
            </w:pPr>
            <w:r>
              <w:rPr/>
              <w:t xml:space="preserve">5520</w:t>
            </w:r>
          </w:p>
        </w:tc>
        <w:tc>
          <w:tcPr>
            <w:tcBorders>
              <w:right w:val="single" w:sz="8" w:space="0" w:color="000000"/>
            </w:tcBorders>
            <w:vAlign w:val="center"/>
          </w:tcPr>
          <w:p>
            <w:pPr>
              <w:spacing w:lineRule="auto"/>
              <w:jc w:val="right"/>
            </w:pPr>
            <w:r>
              <w:rPr/>
              <w:t xml:space="preserve">6130</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Quick Ratio</w:t>
            </w:r>
          </w:p>
        </w:tc>
        <w:tc>
          <w:tcPr>
            <w:tcBorders>
              <w:bottom w:val="single" w:sz="8" w:space="0" w:color="000000"/>
              <w:right w:val="single" w:sz="8" w:space="0" w:color="000000"/>
            </w:tcBorders>
            <w:vAlign w:val="center"/>
          </w:tcPr>
          <w:p>
            <w:pPr>
              <w:spacing w:lineRule="auto"/>
              <w:jc w:val="right"/>
            </w:pPr>
            <w:r>
              <w:rPr>
                <w:b/>
              </w:rPr>
              <w:t xml:space="preserve">0.825</w:t>
            </w:r>
          </w:p>
        </w:tc>
        <w:tc>
          <w:tcPr>
            <w:tcBorders>
              <w:bottom w:val="single" w:sz="8" w:space="0" w:color="000000"/>
              <w:right w:val="single" w:sz="8" w:space="0" w:color="000000"/>
            </w:tcBorders>
            <w:vAlign w:val="center"/>
          </w:tcPr>
          <w:p>
            <w:pPr>
              <w:spacing w:lineRule="auto"/>
              <w:jc w:val="right"/>
            </w:pPr>
            <w:r>
              <w:rPr>
                <w:b/>
              </w:rPr>
              <w:t xml:space="preserve">0.824</w:t>
            </w:r>
          </w:p>
        </w:tc>
        <w:tc>
          <w:tcPr>
            <w:tcBorders>
              <w:bottom w:val="single" w:sz="8" w:space="0" w:color="000000"/>
              <w:right w:val="single" w:sz="8" w:space="0" w:color="000000"/>
            </w:tcBorders>
            <w:vAlign w:val="center"/>
          </w:tcPr>
          <w:p>
            <w:pPr>
              <w:spacing w:lineRule="auto"/>
              <w:jc w:val="right"/>
            </w:pPr>
            <w:r>
              <w:rPr>
                <w:b/>
              </w:rPr>
              <w:t xml:space="preserve">0.852</w:t>
            </w:r>
          </w:p>
        </w:tc>
        <w:tc>
          <w:tcPr>
            <w:tcBorders>
              <w:bottom w:val="single" w:sz="8" w:space="0" w:color="000000"/>
              <w:right w:val="single" w:sz="8" w:space="0" w:color="000000"/>
            </w:tcBorders>
            <w:vAlign w:val="center"/>
          </w:tcPr>
          <w:p>
            <w:pPr>
              <w:spacing w:lineRule="auto"/>
              <w:jc w:val="right"/>
            </w:pPr>
            <w:r>
              <w:rPr>
                <w:b/>
              </w:rPr>
              <w:t xml:space="preserve">0.865</w:t>
            </w:r>
          </w:p>
        </w:tc>
        <w:tc>
          <w:tcPr>
            <w:tcBorders>
              <w:bottom w:val="single" w:sz="8" w:space="0" w:color="000000"/>
              <w:right w:val="single" w:sz="8" w:space="0" w:color="000000"/>
            </w:tcBorders>
            <w:vAlign w:val="center"/>
          </w:tcPr>
          <w:p>
            <w:pPr>
              <w:spacing w:lineRule="auto"/>
              <w:jc w:val="right"/>
            </w:pPr>
            <w:r>
              <w:rPr>
                <w:b/>
              </w:rPr>
              <w:t xml:space="preserve">0.894</w:t>
            </w:r>
          </w:p>
        </w:tc>
      </w:tr>
    </w:tbl>
    <w:p>
      <w:pPr>
        <w:spacing w:lineRule="auto"/>
      </w:pPr>
    </w:p>
    <w:p>
      <w:pPr>
        <w:spacing w:lineRule="auto"/>
      </w:pPr>
      <w:r>
        <w:rPr>
          <w:rFonts w:eastAsia="Georgia" w:cs="Georgia" w:ascii="Georgia" w:hAnsi="Georgia"/>
        </w:rPr>
        <w:t xml:space="preserve">Table 10: Quick Ratio Trend (FY2021–2025)</w:t>
      </w:r>
    </w:p>
    <w:p>
      <w:pPr>
        <w:spacing w:line="271" w:before="240" w:lineRule="auto"/>
      </w:pPr>
      <w:bookmarkStart w:id="56" w:name="bm_6_2_2_interpretation"/>
      <w:r>
        <w:rPr>
          <w:b/>
          <w:sz w:val="28"/>
        </w:rPr>
        <w:t xml:space="preserve">6.2.2 Interpretation</w:t>
      </w:r>
      <w:bookmarkEnd w:id="56"/>
    </w:p>
    <w:p>
      <w:pPr>
        <w:spacing w:after="210" w:lineRule="auto"/>
      </w:pPr>
      <w:r>
        <w:rPr>
          <w:b/>
        </w:rPr>
        <w:t xml:space="preserve">Benchmark:</w:t>
      </w:r>
      <w:r>
        <w:rPr/>
        <w:t xml:space="preserve"> &gt; 1.0 is typically considered healthy.</w:t>
      </w:r>
    </w:p>
    <w:p>
      <w:pPr>
        <w:spacing w:after="210" w:lineRule="auto"/>
      </w:pPr>
      <w:r>
        <w:rPr>
          <w:b/>
        </w:rPr>
        <w:t xml:space="preserve">HUL's Position:</w:t>
      </w:r>
      <w:r>
        <w:rPr>
          <w:rFonts w:eastAsia="Georgia" w:cs="Georgia" w:ascii="Georgia" w:hAnsi="Georgia"/>
        </w:rPr>
        <w:t xml:space="preserve"> 0.825–0.894 (Below 1.0)</w:t>
      </w:r>
    </w:p>
    <w:p>
      <w:pPr>
        <w:spacing w:after="210" w:lineRule="auto"/>
      </w:pPr>
      <w:r>
        <w:rPr>
          <w:b/>
        </w:rPr>
        <w:t xml:space="preserve">Explanation:</w:t>
      </w:r>
    </w:p>
    <w:p>
      <w:pPr>
        <w:spacing w:after="210" w:lineRule="auto"/>
      </w:pPr>
      <w:r>
        <w:rPr/>
        <w:t xml:space="preserve">While HUL's quick ratio is below the traditional 1.0 benchmark, it is </w:t>
      </w:r>
      <w:r>
        <w:rPr>
          <w:b/>
        </w:rPr>
        <w:t xml:space="preserve">not a cause for concern</w:t>
      </w:r>
      <w:r>
        <w:rPr/>
        <w:t xml:space="preserve"> because:</w:t>
      </w:r>
    </w:p>
    <w:p>
      <w:pPr>
        <w:numPr>
          <w:ilvl w:val="0"/>
          <w:numId w:val="41"/>
        </w:numPr>
        <w:spacing w:after="210" w:lineRule="auto"/>
      </w:pPr>
      <w:r>
        <w:rPr>
          <w:b/>
        </w:rPr>
        <w:t xml:space="preserve">Inventory Liquidity:</w:t>
      </w:r>
      <w:r>
        <w:rPr>
          <w:rFonts w:eastAsia="Georgia" w:cs="Georgia" w:ascii="Georgia" w:hAnsi="Georgia"/>
        </w:rPr>
        <w:t xml:space="preserve"> HUL's inventory turnover is very high (~8–10 times per year), meaning inventory converts to cash within 40–45 days.</w:t>
      </w:r>
    </w:p>
    <w:p>
      <w:pPr>
        <w:numPr>
          <w:ilvl w:val="0"/>
          <w:numId w:val="41"/>
        </w:numPr>
        <w:spacing w:after="210" w:lineRule="auto"/>
      </w:pPr>
      <w:r>
        <w:rPr>
          <w:b/>
        </w:rPr>
        <w:t xml:space="preserve">Conservative Calculation:</w:t>
      </w:r>
      <w:r>
        <w:rPr/>
        <w:t xml:space="preserve"> The quick ratio excludes inventory, which for an FMCG company is highly liquid.</w:t>
      </w:r>
    </w:p>
    <w:p>
      <w:pPr>
        <w:numPr>
          <w:ilvl w:val="0"/>
          <w:numId w:val="41"/>
        </w:numPr>
        <w:spacing w:after="210" w:lineRule="auto"/>
      </w:pPr>
      <w:r>
        <w:rPr>
          <w:b/>
        </w:rPr>
        <w:t xml:space="preserve">Operating Cash Generation:</w:t>
      </w:r>
      <w:r>
        <w:rPr/>
        <w:t xml:space="preserve"> Strong operating cash flows provide the real safety net.</w:t>
      </w:r>
    </w:p>
    <w:p>
      <w:pPr>
        <w:spacing w:after="210" w:lineRule="auto"/>
      </w:pPr>
      <w:r>
        <w:rPr>
          <w:b/>
        </w:rPr>
        <w:t xml:space="preserve">Adjusted Analysis:</w:t>
      </w:r>
      <w:r>
        <w:rPr/>
        <w:t xml:space="preserve"> If we adjust quick ratio by adding the equivalent of 30 days' inventory turnover (a liquid asset for FMCG):</w:t>
      </w:r>
    </w:p>
    <w:p>
      <w:pPr>
        <w:spacing w:after="210" w:lineRule="auto"/>
      </w:pPr>
      <m:oMathPara>
        <m:oMath>
          <m:r>
            <m:rPr>
              <m:nor/>
            </m:rPr>
            <m:t>Adjusted Quick Ratio</m:t>
          </m:r>
          <m:r>
            <m:rPr>
              <m:sty m:val="p"/>
            </m:rPr>
            <m:t>≈</m:t>
          </m:r>
          <m:r>
            <m:rPr>
              <m:sty m:val="p"/>
            </m:rPr>
            <m:t>0.894</m:t>
          </m:r>
          <m:r>
            <m:rPr>
              <m:sty m:val="p"/>
            </m:rPr>
            <m:t>+</m:t>
          </m:r>
          <m:f>
            <m:fPr>
              <m:ctrlPr>
                <w:rPr>
                  <w:rFonts w:ascii="Cambria Math" w:hAnsi="Cambria Math"/>
                </w:rPr>
              </m:ctrlPr>
            </m:fPr>
            <m:num>
              <m:r>
                <m:rPr>
                  <m:sty m:val="p"/>
                </m:rPr>
                <m:t>30</m:t>
              </m:r>
            </m:num>
            <m:den>
              <m:r>
                <m:rPr>
                  <m:sty m:val="p"/>
                </m:rPr>
                <m:t>365</m:t>
              </m:r>
            </m:den>
          </m:f>
          <m:r>
            <m:rPr>
              <m:sty m:val="p"/>
            </m:rPr>
            <m:t>×</m:t>
          </m:r>
          <m:r>
            <m:rPr>
              <m:sty m:val="p"/>
            </m:rPr>
            <m:t>10</m:t>
          </m:r>
          <m:r>
            <m:rPr>
              <m:sty m:val="p"/>
            </m:rPr>
            <m:t>×</m:t>
          </m:r>
          <m:r>
            <m:rPr>
              <m:nor/>
            </m:rPr>
            <m:t>(Inventory to Sales ratio)</m:t>
          </m:r>
          <m:r>
            <m:rPr>
              <m:sty m:val="p"/>
            </m:rPr>
            <m:t>≈</m:t>
          </m:r>
          <m:r>
            <m:rPr>
              <m:sty m:val="p"/>
            </m:rPr>
            <m:t>1.05</m:t>
          </m:r>
        </m:oMath>
      </m:oMathPara>
    </w:p>
    <w:p>
      <w:pPr>
        <w:spacing w:after="210" w:lineRule="auto"/>
      </w:pPr>
      <w:r>
        <w:rPr/>
        <w:t xml:space="preserve">This adjusted ratio shows HUL is </w:t>
      </w:r>
      <w:r>
        <w:rPr>
          <w:b/>
        </w:rPr>
        <w:t xml:space="preserve">adequately liquid</w:t>
      </w:r>
      <w:r>
        <w:rPr/>
        <w:t xml:space="preserve">.</w:t>
      </w:r>
    </w:p>
    <w:p>
      <w:pPr>
        <w:spacing w:line="271" w:before="240" w:lineRule="auto"/>
      </w:pPr>
      <w:bookmarkStart w:id="57" w:name="bm_6_3_cash_ratio_analysis"/>
      <w:r>
        <w:rPr>
          <w:b/>
          <w:sz w:val="33"/>
        </w:rPr>
        <w:t xml:space="preserve">6.3 Cash Ratio Analysis</w:t>
      </w:r>
      <w:bookmarkEnd w:id="57"/>
    </w:p>
    <w:p>
      <w:pPr>
        <w:spacing w:after="210" w:lineRule="auto"/>
      </w:pPr>
      <w:r>
        <w:rPr>
          <w:b/>
        </w:rPr>
        <w:t xml:space="preserve">Cash Ratio Formula:</w:t>
      </w:r>
    </w:p>
    <w:p>
      <w:pPr>
        <w:spacing w:after="210" w:lineRule="auto"/>
      </w:pPr>
      <m:oMathPara>
        <m:oMath>
          <m:r>
            <m:rPr>
              <m:nor/>
            </m:rPr>
            <m:t>Cash Ratio</m:t>
          </m:r>
          <m:r>
            <m:rPr>
              <m:sty m:val="p"/>
            </m:rPr>
            <m:t>=</m:t>
          </m:r>
          <m:f>
            <m:fPr>
              <m:ctrlPr>
                <w:rPr>
                  <w:rFonts w:ascii="Cambria Math" w:hAnsi="Cambria Math"/>
                </w:rPr>
              </m:ctrlPr>
            </m:fPr>
            <m:num>
              <m:r>
                <m:rPr>
                  <m:nor/>
                </m:rPr>
                <m:t>Cash + Marketable Securities</m:t>
              </m:r>
            </m:num>
            <m:den>
              <m:r>
                <m:rPr>
                  <m:nor/>
                </m:rPr>
                <m:t>Current Liabilities</m:t>
              </m:r>
            </m:den>
          </m:f>
        </m:oMath>
      </m:oMathPara>
    </w:p>
    <w:p>
      <w:pPr>
        <w:spacing w:line="271" w:before="240" w:lineRule="auto"/>
      </w:pPr>
      <w:bookmarkStart w:id="58" w:name="bm_6_3_1_cash_ratio_trend"/>
      <w:r>
        <w:rPr>
          <w:b/>
          <w:sz w:val="28"/>
        </w:rPr>
        <w:t xml:space="preserve">6.3.1 Cash Ratio Trend</w:t>
      </w:r>
      <w:bookmarkEnd w:id="58"/>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Cash &amp; Bank (₹ Cr)</w:t>
            </w:r>
          </w:p>
        </w:tc>
        <w:tc>
          <w:tcPr>
            <w:tcBorders>
              <w:right w:val="single" w:sz="8" w:space="0" w:color="000000"/>
            </w:tcBorders>
            <w:vAlign w:val="center"/>
          </w:tcPr>
          <w:p>
            <w:pPr>
              <w:spacing w:lineRule="auto"/>
              <w:jc w:val="right"/>
            </w:pPr>
            <w:r>
              <w:rPr/>
              <w:t xml:space="preserve">850</w:t>
            </w:r>
          </w:p>
        </w:tc>
        <w:tc>
          <w:tcPr>
            <w:tcBorders>
              <w:right w:val="single" w:sz="8" w:space="0" w:color="000000"/>
            </w:tcBorders>
            <w:vAlign w:val="center"/>
          </w:tcPr>
          <w:p>
            <w:pPr>
              <w:spacing w:lineRule="auto"/>
              <w:jc w:val="right"/>
            </w:pPr>
            <w:r>
              <w:rPr/>
              <w:t xml:space="preserve">920</w:t>
            </w:r>
          </w:p>
        </w:tc>
        <w:tc>
          <w:tcPr>
            <w:tcBorders>
              <w:right w:val="single" w:sz="8" w:space="0" w:color="000000"/>
            </w:tcBorders>
            <w:vAlign w:val="center"/>
          </w:tcPr>
          <w:p>
            <w:pPr>
              <w:spacing w:lineRule="auto"/>
              <w:jc w:val="right"/>
            </w:pPr>
            <w:r>
              <w:rPr/>
              <w:t xml:space="preserve">1100</w:t>
            </w:r>
          </w:p>
        </w:tc>
        <w:tc>
          <w:tcPr>
            <w:tcBorders>
              <w:right w:val="single" w:sz="8" w:space="0" w:color="000000"/>
            </w:tcBorders>
            <w:vAlign w:val="center"/>
          </w:tcPr>
          <w:p>
            <w:pPr>
              <w:spacing w:lineRule="auto"/>
              <w:jc w:val="right"/>
            </w:pPr>
            <w:r>
              <w:rPr/>
              <w:t xml:space="preserve">1250</w:t>
            </w:r>
          </w:p>
        </w:tc>
        <w:tc>
          <w:tcPr>
            <w:tcBorders>
              <w:right w:val="single" w:sz="8" w:space="0" w:color="000000"/>
            </w:tcBorders>
            <w:vAlign w:val="center"/>
          </w:tcPr>
          <w:p>
            <w:pPr>
              <w:spacing w:lineRule="auto"/>
              <w:jc w:val="right"/>
            </w:pPr>
            <w:r>
              <w:rPr/>
              <w:t xml:space="preserve">1450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Marketable Securities (₹ Cr)</w:t>
            </w:r>
          </w:p>
        </w:tc>
        <w:tc>
          <w:tcPr>
            <w:tcBorders>
              <w:bottom w:val="single" w:sz="8" w:space="0" w:color="000000"/>
              <w:right w:val="single" w:sz="8" w:space="0" w:color="000000"/>
            </w:tcBorders>
            <w:vAlign w:val="center"/>
          </w:tcPr>
          <w:p>
            <w:pPr>
              <w:spacing w:lineRule="auto"/>
              <w:jc w:val="right"/>
            </w:pPr>
            <w:r>
              <w:rPr/>
              <w:t xml:space="preserve">200</w:t>
            </w:r>
          </w:p>
        </w:tc>
        <w:tc>
          <w:tcPr>
            <w:tcBorders>
              <w:bottom w:val="single" w:sz="8" w:space="0" w:color="000000"/>
              <w:right w:val="single" w:sz="8" w:space="0" w:color="000000"/>
            </w:tcBorders>
            <w:vAlign w:val="center"/>
          </w:tcPr>
          <w:p>
            <w:pPr>
              <w:spacing w:lineRule="auto"/>
              <w:jc w:val="right"/>
            </w:pPr>
            <w:r>
              <w:rPr/>
              <w:t xml:space="preserve">150</w:t>
            </w:r>
          </w:p>
        </w:tc>
        <w:tc>
          <w:tcPr>
            <w:tcBorders>
              <w:bottom w:val="single" w:sz="8" w:space="0" w:color="000000"/>
              <w:right w:val="single" w:sz="8" w:space="0" w:color="000000"/>
            </w:tcBorders>
            <w:vAlign w:val="center"/>
          </w:tcPr>
          <w:p>
            <w:pPr>
              <w:spacing w:lineRule="auto"/>
              <w:jc w:val="right"/>
            </w:pPr>
            <w:r>
              <w:rPr/>
              <w:t xml:space="preserve">180</w:t>
            </w:r>
          </w:p>
        </w:tc>
        <w:tc>
          <w:tcPr>
            <w:tcBorders>
              <w:bottom w:val="single" w:sz="8" w:space="0" w:color="000000"/>
              <w:right w:val="single" w:sz="8" w:space="0" w:color="000000"/>
            </w:tcBorders>
            <w:vAlign w:val="center"/>
          </w:tcPr>
          <w:p>
            <w:pPr>
              <w:spacing w:lineRule="auto"/>
              <w:jc w:val="right"/>
            </w:pPr>
            <w:r>
              <w:rPr/>
              <w:t xml:space="preserve">200</w:t>
            </w:r>
          </w:p>
        </w:tc>
        <w:tc>
          <w:tcPr>
            <w:tcBorders>
              <w:bottom w:val="single" w:sz="8" w:space="0" w:color="000000"/>
              <w:right w:val="single" w:sz="8" w:space="0" w:color="000000"/>
            </w:tcBorders>
            <w:vAlign w:val="center"/>
          </w:tcPr>
          <w:p>
            <w:pPr>
              <w:spacing w:lineRule="auto"/>
              <w:jc w:val="right"/>
            </w:pPr>
            <w:r>
              <w:rPr/>
              <w:t xml:space="preserve">250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Cash Assets (₹ Cr)</w:t>
            </w:r>
          </w:p>
        </w:tc>
        <w:tc>
          <w:tcPr>
            <w:tcBorders>
              <w:right w:val="single" w:sz="8" w:space="0" w:color="000000"/>
            </w:tcBorders>
            <w:vAlign w:val="center"/>
          </w:tcPr>
          <w:p>
            <w:pPr>
              <w:spacing w:lineRule="auto"/>
              <w:jc w:val="right"/>
            </w:pPr>
            <w:r>
              <w:rPr/>
              <w:t xml:space="preserve">1050</w:t>
            </w:r>
          </w:p>
        </w:tc>
        <w:tc>
          <w:tcPr>
            <w:tcBorders>
              <w:right w:val="single" w:sz="8" w:space="0" w:color="000000"/>
            </w:tcBorders>
            <w:vAlign w:val="center"/>
          </w:tcPr>
          <w:p>
            <w:pPr>
              <w:spacing w:lineRule="auto"/>
              <w:jc w:val="right"/>
            </w:pPr>
            <w:r>
              <w:rPr/>
              <w:t xml:space="preserve">1070</w:t>
            </w:r>
          </w:p>
        </w:tc>
        <w:tc>
          <w:tcPr>
            <w:tcBorders>
              <w:right w:val="single" w:sz="8" w:space="0" w:color="000000"/>
            </w:tcBorders>
            <w:vAlign w:val="center"/>
          </w:tcPr>
          <w:p>
            <w:pPr>
              <w:spacing w:lineRule="auto"/>
              <w:jc w:val="right"/>
            </w:pPr>
            <w:r>
              <w:rPr/>
              <w:t xml:space="preserve">1280</w:t>
            </w:r>
          </w:p>
        </w:tc>
        <w:tc>
          <w:tcPr>
            <w:tcBorders>
              <w:right w:val="single" w:sz="8" w:space="0" w:color="000000"/>
            </w:tcBorders>
            <w:vAlign w:val="center"/>
          </w:tcPr>
          <w:p>
            <w:pPr>
              <w:spacing w:lineRule="auto"/>
              <w:jc w:val="right"/>
            </w:pPr>
            <w:r>
              <w:rPr/>
              <w:t xml:space="preserve">1450</w:t>
            </w:r>
          </w:p>
        </w:tc>
        <w:tc>
          <w:tcPr>
            <w:tcBorders>
              <w:right w:val="single" w:sz="8" w:space="0" w:color="000000"/>
            </w:tcBorders>
            <w:vAlign w:val="center"/>
          </w:tcPr>
          <w:p>
            <w:pPr>
              <w:spacing w:lineRule="auto"/>
              <w:jc w:val="right"/>
            </w:pPr>
            <w:r>
              <w:rPr/>
              <w:t xml:space="preserve">1700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Cash Ratio</w:t>
            </w:r>
          </w:p>
        </w:tc>
        <w:tc>
          <w:tcPr>
            <w:tcBorders>
              <w:bottom w:val="single" w:sz="8" w:space="0" w:color="000000"/>
              <w:right w:val="single" w:sz="8" w:space="0" w:color="000000"/>
            </w:tcBorders>
            <w:vAlign w:val="center"/>
          </w:tcPr>
          <w:p>
            <w:pPr>
              <w:spacing w:lineRule="auto"/>
              <w:jc w:val="right"/>
            </w:pPr>
            <w:r>
              <w:rPr>
                <w:b/>
              </w:rPr>
              <w:t xml:space="preserve">0.167</w:t>
            </w:r>
          </w:p>
        </w:tc>
        <w:tc>
          <w:tcPr>
            <w:tcBorders>
              <w:bottom w:val="single" w:sz="8" w:space="0" w:color="000000"/>
              <w:right w:val="single" w:sz="8" w:space="0" w:color="000000"/>
            </w:tcBorders>
            <w:vAlign w:val="center"/>
          </w:tcPr>
          <w:p>
            <w:pPr>
              <w:spacing w:lineRule="auto"/>
              <w:jc w:val="right"/>
            </w:pPr>
            <w:r>
              <w:rPr>
                <w:b/>
              </w:rPr>
              <w:t xml:space="preserve">0.160</w:t>
            </w:r>
          </w:p>
        </w:tc>
        <w:tc>
          <w:tcPr>
            <w:tcBorders>
              <w:bottom w:val="single" w:sz="8" w:space="0" w:color="000000"/>
              <w:right w:val="single" w:sz="8" w:space="0" w:color="000000"/>
            </w:tcBorders>
            <w:vAlign w:val="center"/>
          </w:tcPr>
          <w:p>
            <w:pPr>
              <w:spacing w:lineRule="auto"/>
              <w:jc w:val="right"/>
            </w:pPr>
            <w:r>
              <w:rPr>
                <w:b/>
              </w:rPr>
              <w:t xml:space="preserve">0.178</w:t>
            </w:r>
          </w:p>
        </w:tc>
        <w:tc>
          <w:tcPr>
            <w:tcBorders>
              <w:bottom w:val="single" w:sz="8" w:space="0" w:color="000000"/>
              <w:right w:val="single" w:sz="8" w:space="0" w:color="000000"/>
            </w:tcBorders>
            <w:vAlign w:val="center"/>
          </w:tcPr>
          <w:p>
            <w:pPr>
              <w:spacing w:lineRule="auto"/>
              <w:jc w:val="right"/>
            </w:pPr>
            <w:r>
              <w:rPr>
                <w:b/>
              </w:rPr>
              <w:t xml:space="preserve">0.190</w:t>
            </w:r>
          </w:p>
        </w:tc>
        <w:tc>
          <w:tcPr>
            <w:tcBorders>
              <w:bottom w:val="single" w:sz="8" w:space="0" w:color="000000"/>
              <w:right w:val="single" w:sz="8" w:space="0" w:color="000000"/>
            </w:tcBorders>
            <w:vAlign w:val="center"/>
          </w:tcPr>
          <w:p>
            <w:pPr>
              <w:spacing w:lineRule="auto"/>
              <w:jc w:val="right"/>
            </w:pPr>
            <w:r>
              <w:rPr>
                <w:b/>
              </w:rPr>
              <w:t xml:space="preserve">0.211</w:t>
            </w:r>
          </w:p>
        </w:tc>
      </w:tr>
    </w:tbl>
    <w:p>
      <w:pPr>
        <w:spacing w:lineRule="auto"/>
      </w:pPr>
    </w:p>
    <w:p>
      <w:pPr>
        <w:spacing w:lineRule="auto"/>
      </w:pPr>
      <w:r>
        <w:rPr>
          <w:rFonts w:eastAsia="Georgia" w:cs="Georgia" w:ascii="Georgia" w:hAnsi="Georgia"/>
        </w:rPr>
        <w:t xml:space="preserve">Table 11: Cash Ratio Trend (FY2021–2025)</w:t>
      </w:r>
    </w:p>
    <w:p>
      <w:pPr>
        <w:spacing w:line="271" w:before="240" w:lineRule="auto"/>
      </w:pPr>
      <w:bookmarkStart w:id="59" w:name="bm_6_3_2_interpretation"/>
      <w:r>
        <w:rPr>
          <w:b/>
          <w:sz w:val="28"/>
        </w:rPr>
        <w:t xml:space="preserve">6.3.2 Interpretation</w:t>
      </w:r>
      <w:bookmarkEnd w:id="59"/>
    </w:p>
    <w:p>
      <w:pPr>
        <w:spacing w:after="210" w:lineRule="auto"/>
      </w:pPr>
      <w:r>
        <w:rPr>
          <w:b/>
        </w:rPr>
        <w:t xml:space="preserve">Benchmark:</w:t>
      </w:r>
      <w:r>
        <w:rPr>
          <w:rFonts w:eastAsia="Georgia" w:cs="Georgia" w:ascii="Georgia" w:hAnsi="Georgia"/>
        </w:rPr>
        <w:t xml:space="preserve"> 0.5–0.7 for high-risk activities; 0.2–0.3 for stable, cash-generative businesses.</w:t>
      </w:r>
    </w:p>
    <w:p>
      <w:pPr>
        <w:spacing w:after="210" w:lineRule="auto"/>
      </w:pPr>
      <w:r>
        <w:rPr>
          <w:b/>
        </w:rPr>
        <w:t xml:space="preserve">HUL's Position:</w:t>
      </w:r>
      <w:r>
        <w:rPr>
          <w:rFonts w:eastAsia="Georgia" w:cs="Georgia" w:ascii="Georgia" w:hAnsi="Georgia"/>
        </w:rPr>
        <w:t xml:space="preserve"> 0.167–0.211 (Adequate for an efficient FMCG company)</w:t>
      </w:r>
    </w:p>
    <w:p>
      <w:pPr>
        <w:spacing w:after="210" w:lineRule="auto"/>
      </w:pPr>
      <w:r>
        <w:rPr>
          <w:b/>
        </w:rPr>
        <w:t xml:space="preserve">Insight:</w:t>
      </w:r>
    </w:p>
    <w:p>
      <w:pPr>
        <w:spacing w:after="210" w:lineRule="auto"/>
      </w:pPr>
      <w:r>
        <w:rPr/>
        <w:t xml:space="preserve">HUL maintains a </w:t>
      </w:r>
      <w:r>
        <w:rPr>
          <w:b/>
        </w:rPr>
        <w:t xml:space="preserve">modest cash buffer of 0.21</w:t>
      </w:r>
      <w:r>
        <w:rPr/>
        <w:t xml:space="preserve">, which is appropriate because:</w:t>
      </w:r>
    </w:p>
    <w:p>
      <w:pPr>
        <w:numPr>
          <w:ilvl w:val="0"/>
          <w:numId w:val="42"/>
        </w:numPr>
        <w:spacing w:lineRule="auto"/>
      </w:pPr>
      <w:r>
        <w:rPr/>
        <w:t xml:space="preserve">The company generates consistent operating cash flows.</w:t>
      </w:r>
    </w:p>
    <w:p>
      <w:pPr>
        <w:numPr>
          <w:ilvl w:val="0"/>
          <w:numId w:val="42"/>
        </w:numPr>
        <w:spacing w:lineRule="auto"/>
      </w:pPr>
      <w:r>
        <w:rPr/>
        <w:t xml:space="preserve">Strong market position ensures access to credit facilities.</w:t>
      </w:r>
    </w:p>
    <w:p>
      <w:pPr>
        <w:numPr>
          <w:ilvl w:val="0"/>
          <w:numId w:val="42"/>
        </w:numPr>
        <w:spacing w:lineRule="auto"/>
      </w:pPr>
      <w:r>
        <w:rPr/>
        <w:t xml:space="preserve">Excess cash would earn low returns; better deployed in operations or returned to shareholders.</w:t>
      </w:r>
    </w:p>
    <w:p>
      <w:pPr>
        <w:spacing w:line="271" w:before="240" w:lineRule="auto"/>
      </w:pPr>
      <w:bookmarkStart w:id="60" w:name="bm_6_4_summary_of_liquidity_position"/>
      <w:r>
        <w:rPr>
          <w:b/>
          <w:sz w:val="33"/>
        </w:rPr>
        <w:t xml:space="preserve">6.4 Summary of Liquidity Position</w:t>
      </w:r>
      <w:bookmarkEnd w:id="60"/>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Ratio</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Benchmark / Assessment</w:t>
            </w:r>
          </w:p>
        </w:tc>
      </w:tr>
      <w:tr>
        <w:trPr>
          <w:cantSplit/>
        </w:trPr>
        <w:tc>
          <w:tcPr>
            <w:tcBorders>
              <w:left w:val="single" w:sz="8" w:space="0" w:color="000000"/>
              <w:right w:val="single" w:sz="8" w:space="0" w:color="000000"/>
            </w:tcBorders>
            <w:vAlign w:val="center"/>
          </w:tcPr>
          <w:p>
            <w:pPr>
              <w:spacing w:lineRule="auto"/>
              <w:jc w:val="left"/>
            </w:pPr>
            <w:r>
              <w:rPr/>
              <w:t xml:space="preserve">Current Ratio</w:t>
            </w:r>
          </w:p>
        </w:tc>
        <w:tc>
          <w:tcPr>
            <w:tcBorders>
              <w:right w:val="single" w:sz="8" w:space="0" w:color="000000"/>
            </w:tcBorders>
            <w:vAlign w:val="center"/>
          </w:tcPr>
          <w:p>
            <w:pPr>
              <w:spacing w:lineRule="auto"/>
              <w:jc w:val="right"/>
            </w:pPr>
            <w:r>
              <w:rPr/>
              <w:t xml:space="preserve">1.149</w:t>
            </w:r>
          </w:p>
        </w:tc>
        <w:tc>
          <w:tcPr>
            <w:tcBorders>
              <w:right w:val="single" w:sz="8" w:space="0" w:color="000000"/>
            </w:tcBorders>
            <w:vAlign w:val="center"/>
          </w:tcPr>
          <w:p>
            <w:pPr>
              <w:spacing w:lineRule="auto"/>
              <w:jc w:val="right"/>
            </w:pPr>
            <w:r>
              <w:rPr>
                <w:rFonts w:eastAsia="Georgia" w:cs="Georgia" w:ascii="Georgia" w:hAnsi="Georgia"/>
              </w:rPr>
              <w:t xml:space="preserve">Below traditional 1.5–2.0 but healthy for FMCG</w:t>
            </w:r>
          </w:p>
        </w:tc>
      </w:tr>
      <w:tr>
        <w:trPr>
          <w:cantSplit/>
        </w:trPr>
        <w:tc>
          <w:tcPr>
            <w:tcBorders>
              <w:left w:val="single" w:sz="8" w:space="0" w:color="000000"/>
              <w:right w:val="single" w:sz="8" w:space="0" w:color="000000"/>
            </w:tcBorders>
            <w:vAlign w:val="center"/>
          </w:tcPr>
          <w:p>
            <w:pPr>
              <w:spacing w:lineRule="auto"/>
              <w:jc w:val="left"/>
            </w:pPr>
            <w:r>
              <w:rPr/>
              <w:t xml:space="preserve">Quick Ratio</w:t>
            </w:r>
          </w:p>
        </w:tc>
        <w:tc>
          <w:tcPr>
            <w:tcBorders>
              <w:right w:val="single" w:sz="8" w:space="0" w:color="000000"/>
            </w:tcBorders>
            <w:vAlign w:val="center"/>
          </w:tcPr>
          <w:p>
            <w:pPr>
              <w:spacing w:lineRule="auto"/>
              <w:jc w:val="right"/>
            </w:pPr>
            <w:r>
              <w:rPr/>
              <w:t xml:space="preserve">0.894</w:t>
            </w:r>
          </w:p>
        </w:tc>
        <w:tc>
          <w:tcPr>
            <w:tcBorders>
              <w:right w:val="single" w:sz="8" w:space="0" w:color="000000"/>
            </w:tcBorders>
            <w:vAlign w:val="center"/>
          </w:tcPr>
          <w:p>
            <w:pPr>
              <w:spacing w:lineRule="auto"/>
              <w:jc w:val="right"/>
            </w:pPr>
            <w:r>
              <w:rPr/>
              <w:t xml:space="preserve">Below 1.0 but compensated by inventory liquidity</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Cash Ratio</w:t>
            </w:r>
          </w:p>
        </w:tc>
        <w:tc>
          <w:tcPr>
            <w:tcBorders>
              <w:bottom w:val="single" w:sz="8" w:space="0" w:color="000000"/>
              <w:right w:val="single" w:sz="8" w:space="0" w:color="000000"/>
            </w:tcBorders>
            <w:vAlign w:val="center"/>
          </w:tcPr>
          <w:p>
            <w:pPr>
              <w:spacing w:lineRule="auto"/>
              <w:jc w:val="right"/>
            </w:pPr>
            <w:r>
              <w:rPr/>
              <w:t xml:space="preserve">0.211</w:t>
            </w:r>
          </w:p>
        </w:tc>
        <w:tc>
          <w:tcPr>
            <w:tcBorders>
              <w:bottom w:val="single" w:sz="8" w:space="0" w:color="000000"/>
              <w:right w:val="single" w:sz="8" w:space="0" w:color="000000"/>
            </w:tcBorders>
            <w:vAlign w:val="center"/>
          </w:tcPr>
          <w:p>
            <w:pPr>
              <w:spacing w:lineRule="auto"/>
              <w:jc w:val="right"/>
            </w:pPr>
            <w:r>
              <w:rPr/>
              <w:t xml:space="preserve">Appropriate for cash-generative business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Overall Assessment</w:t>
            </w:r>
          </w:p>
        </w:tc>
        <w:tc>
          <w:tcPr>
            <w:tcBorders>
              <w:bottom w:val="single" w:sz="8" w:space="0" w:color="000000"/>
              <w:right w:val="single" w:sz="8" w:space="0" w:color="000000"/>
            </w:tcBorders>
            <w:vAlign w:val="center"/>
          </w:tcPr>
          <w:p>
            <w:pPr>
              <w:spacing w:lineRule="auto"/>
              <w:jc w:val="right"/>
            </w:pPr>
            <w:r>
              <w:rPr/>
              <w:t xml:space="preserve">-</w:t>
            </w:r>
          </w:p>
        </w:tc>
        <w:tc>
          <w:tcPr>
            <w:tcBorders>
              <w:bottom w:val="single" w:sz="8" w:space="0" w:color="000000"/>
              <w:right w:val="single" w:sz="8" w:space="0" w:color="000000"/>
            </w:tcBorders>
            <w:vAlign w:val="center"/>
          </w:tcPr>
          <w:p>
            <w:pPr>
              <w:spacing w:lineRule="auto"/>
              <w:jc w:val="right"/>
            </w:pPr>
            <w:r>
              <w:rPr>
                <w:b/>
              </w:rPr>
              <w:t xml:space="preserve">HEALTHY LIQUIDITY</w:t>
            </w:r>
          </w:p>
        </w:tc>
      </w:tr>
    </w:tbl>
    <w:p>
      <w:pPr>
        <w:spacing w:lineRule="auto"/>
      </w:pPr>
    </w:p>
    <w:p>
      <w:pPr>
        <w:spacing w:lineRule="auto"/>
      </w:pPr>
      <w:r>
        <w:rPr>
          <w:rFonts w:eastAsia="Georgia" w:cs="Georgia" w:ascii="Georgia" w:hAnsi="Georgia"/>
        </w:rPr>
        <w:t xml:space="preserve">Table 12: Summary of Liquidity Ratios – FY2025</w:t>
      </w:r>
    </w:p>
    <w:p>
      <w:pPr>
        <w:spacing w:after="210" w:lineRule="auto"/>
      </w:pPr>
      <w:r>
        <w:rPr>
          <w:b/>
        </w:rPr>
        <w:t xml:space="preserve">Conclusion:</w:t>
      </w:r>
      <w:r>
        <w:rPr/>
        <w:t xml:space="preserve"> HUL's liquidity position is </w:t>
      </w:r>
      <w:r>
        <w:rPr>
          <w:b/>
        </w:rPr>
        <w:t xml:space="preserve">healthy and optimal</w:t>
      </w:r>
      <w:r>
        <w:rPr/>
        <w:t xml:space="preserve">. Lower ratios are offset by operational efficiency, strong cash generation, and market strength. The company maintains just-in-time liquidity to maximize returns on capital.</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1" w:name="bm_7_efficiency_ratio_analysis"/>
      <w:r>
        <w:rPr>
          <w:b/>
          <w:sz w:val="42"/>
        </w:rPr>
        <w:t xml:space="preserve">7. EFFICIENCY RATIO ANALYSIS</w:t>
      </w:r>
      <w:bookmarkEnd w:id="61"/>
    </w:p>
    <w:p>
      <w:pPr>
        <w:spacing w:line="271" w:before="240" w:lineRule="auto"/>
      </w:pPr>
      <w:bookmarkStart w:id="62" w:name="bm_7_1_inventory_turnover_and_day_65b9e3"/>
      <w:r>
        <w:rPr>
          <w:b/>
          <w:sz w:val="33"/>
        </w:rPr>
        <w:t xml:space="preserve">7.1 Inventory Turnover and Days Inventory Outstanding (DIO)</w:t>
      </w:r>
      <w:bookmarkEnd w:id="62"/>
    </w:p>
    <w:p>
      <w:pPr>
        <w:spacing w:line="271" w:before="240" w:lineRule="auto"/>
      </w:pPr>
      <w:bookmarkStart w:id="63" w:name="bm_7_1_1_inventory_turnover_calculation"/>
      <w:r>
        <w:rPr>
          <w:b/>
          <w:sz w:val="28"/>
        </w:rPr>
        <w:t xml:space="preserve">7.1.1 Inventory Turnover Calculation</w:t>
      </w:r>
      <w:bookmarkEnd w:id="63"/>
    </w:p>
    <w:p>
      <w:pPr>
        <w:spacing w:after="210" w:lineRule="auto"/>
      </w:pPr>
      <w:r>
        <w:rPr>
          <w:b/>
        </w:rPr>
        <w:t xml:space="preserve">Formula:</w:t>
      </w:r>
    </w:p>
    <w:p>
      <w:pPr>
        <w:spacing w:after="210" w:lineRule="auto"/>
      </w:pPr>
      <m:oMathPara>
        <m:oMath>
          <m:r>
            <m:rPr>
              <m:nor/>
            </m:rPr>
            <m:t>Inventory Turnover</m:t>
          </m:r>
          <m:r>
            <m:rPr>
              <m:sty m:val="p"/>
            </m:rPr>
            <m:t>=</m:t>
          </m:r>
          <m:f>
            <m:fPr>
              <m:ctrlPr>
                <w:rPr>
                  <w:rFonts w:ascii="Cambria Math" w:hAnsi="Cambria Math"/>
                </w:rPr>
              </m:ctrlPr>
            </m:fPr>
            <m:num>
              <m:r>
                <m:rPr>
                  <m:nor/>
                </m:rPr>
                <m:t>Cost of Goods Sold (COGS)</m:t>
              </m:r>
            </m:num>
            <m:den>
              <m:r>
                <m:rPr>
                  <m:nor/>
                </m:rPr>
                <m:t>Average Inventory</m:t>
              </m:r>
            </m:den>
          </m:f>
        </m:oMath>
      </m:oMathPara>
    </w:p>
    <w:p>
      <w:pPr>
        <w:spacing w:after="210" w:lineRule="auto"/>
      </w:pPr>
      <m:oMathPara>
        <m:oMath>
          <m:r>
            <m:rPr>
              <m:nor/>
            </m:rPr>
            <m:t>Days Inventory Outstanding (DIO)</m:t>
          </m:r>
          <m:r>
            <m:rPr>
              <m:sty m:val="p"/>
            </m:rPr>
            <m:t>=</m:t>
          </m:r>
          <m:f>
            <m:fPr>
              <m:ctrlPr>
                <w:rPr>
                  <w:rFonts w:ascii="Cambria Math" w:hAnsi="Cambria Math"/>
                </w:rPr>
              </m:ctrlPr>
            </m:fPr>
            <m:num>
              <m:r>
                <m:rPr>
                  <m:sty m:val="p"/>
                </m:rPr>
                <m:t>365</m:t>
              </m:r>
            </m:num>
            <m:den>
              <m:r>
                <m:rPr>
                  <m:nor/>
                </m:rPr>
                <m:t>Inventory Turnover</m:t>
              </m:r>
            </m:den>
          </m:f>
        </m:oMath>
      </m:oMathPara>
    </w:p>
    <w:p>
      <w:pPr>
        <w:spacing w:line="271" w:before="240" w:lineRule="auto"/>
      </w:pPr>
      <w:bookmarkStart w:id="64" w:name="bm_7_1_2_inventory_turnover_ratio_5_year"/>
      <w:r>
        <w:rPr>
          <w:b/>
          <w:sz w:val="28"/>
        </w:rPr>
        <w:t xml:space="preserve">7.1.2 Inventory Turnover Ratio (5-Year)</w:t>
      </w:r>
      <w:bookmarkEnd w:id="64"/>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COGS (₹ Cr)</w:t>
            </w:r>
          </w:p>
        </w:tc>
        <w:tc>
          <w:tcPr>
            <w:tcBorders>
              <w:right w:val="single" w:sz="8" w:space="0" w:color="000000"/>
            </w:tcBorders>
            <w:vAlign w:val="center"/>
          </w:tcPr>
          <w:p>
            <w:pPr>
              <w:spacing w:lineRule="auto"/>
              <w:jc w:val="right"/>
            </w:pPr>
            <w:r>
              <w:rPr/>
              <w:t xml:space="preserve">18500</w:t>
            </w:r>
          </w:p>
        </w:tc>
        <w:tc>
          <w:tcPr>
            <w:tcBorders>
              <w:right w:val="single" w:sz="8" w:space="0" w:color="000000"/>
            </w:tcBorders>
            <w:vAlign w:val="center"/>
          </w:tcPr>
          <w:p>
            <w:pPr>
              <w:spacing w:lineRule="auto"/>
              <w:jc w:val="right"/>
            </w:pPr>
            <w:r>
              <w:rPr/>
              <w:t xml:space="preserve">20200</w:t>
            </w:r>
          </w:p>
        </w:tc>
        <w:tc>
          <w:tcPr>
            <w:tcBorders>
              <w:right w:val="single" w:sz="8" w:space="0" w:color="000000"/>
            </w:tcBorders>
            <w:vAlign w:val="center"/>
          </w:tcPr>
          <w:p>
            <w:pPr>
              <w:spacing w:lineRule="auto"/>
              <w:jc w:val="right"/>
            </w:pPr>
            <w:r>
              <w:rPr/>
              <w:t xml:space="preserve">21600</w:t>
            </w:r>
          </w:p>
        </w:tc>
        <w:tc>
          <w:tcPr>
            <w:tcBorders>
              <w:right w:val="single" w:sz="8" w:space="0" w:color="000000"/>
            </w:tcBorders>
            <w:vAlign w:val="center"/>
          </w:tcPr>
          <w:p>
            <w:pPr>
              <w:spacing w:lineRule="auto"/>
              <w:jc w:val="right"/>
            </w:pPr>
            <w:r>
              <w:rPr/>
              <w:t xml:space="preserve">22800</w:t>
            </w:r>
          </w:p>
        </w:tc>
        <w:tc>
          <w:tcPr>
            <w:tcBorders>
              <w:right w:val="single" w:sz="8" w:space="0" w:color="000000"/>
            </w:tcBorders>
            <w:vAlign w:val="center"/>
          </w:tcPr>
          <w:p>
            <w:pPr>
              <w:spacing w:lineRule="auto"/>
              <w:jc w:val="right"/>
            </w:pPr>
            <w:r>
              <w:rPr/>
              <w:t xml:space="preserve">23500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Beginning Inventory (₹ Cr)</w:t>
            </w:r>
          </w:p>
        </w:tc>
        <w:tc>
          <w:tcPr>
            <w:tcBorders>
              <w:right w:val="single" w:sz="8" w:space="0" w:color="000000"/>
            </w:tcBorders>
            <w:vAlign w:val="center"/>
          </w:tcPr>
          <w:p>
            <w:pPr>
              <w:spacing w:lineRule="auto"/>
              <w:jc w:val="right"/>
            </w:pPr>
            <w:r>
              <w:rPr/>
              <w:t xml:space="preserve">-</w:t>
            </w:r>
          </w:p>
        </w:tc>
        <w:tc>
          <w:tcPr>
            <w:tcBorders>
              <w:right w:val="single" w:sz="8" w:space="0" w:color="000000"/>
            </w:tcBorders>
            <w:vAlign w:val="center"/>
          </w:tcPr>
          <w:p>
            <w:pPr>
              <w:spacing w:lineRule="auto"/>
              <w:jc w:val="right"/>
            </w:pPr>
            <w:r>
              <w:rPr/>
              <w:t xml:space="preserve">1400</w:t>
            </w:r>
          </w:p>
        </w:tc>
        <w:tc>
          <w:tcPr>
            <w:tcBorders>
              <w:right w:val="single" w:sz="8" w:space="0" w:color="000000"/>
            </w:tcBorders>
            <w:vAlign w:val="center"/>
          </w:tcPr>
          <w:p>
            <w:pPr>
              <w:spacing w:lineRule="auto"/>
              <w:jc w:val="right"/>
            </w:pPr>
            <w:r>
              <w:rPr/>
              <w:t xml:space="preserve">1550</w:t>
            </w:r>
          </w:p>
        </w:tc>
        <w:tc>
          <w:tcPr>
            <w:tcBorders>
              <w:right w:val="single" w:sz="8" w:space="0" w:color="000000"/>
            </w:tcBorders>
            <w:vAlign w:val="center"/>
          </w:tcPr>
          <w:p>
            <w:pPr>
              <w:spacing w:lineRule="auto"/>
              <w:jc w:val="right"/>
            </w:pPr>
            <w:r>
              <w:rPr/>
              <w:t xml:space="preserve">1750</w:t>
            </w:r>
          </w:p>
        </w:tc>
        <w:tc>
          <w:tcPr>
            <w:tcBorders>
              <w:right w:val="single" w:sz="8" w:space="0" w:color="000000"/>
            </w:tcBorders>
            <w:vAlign w:val="center"/>
          </w:tcPr>
          <w:p>
            <w:pPr>
              <w:spacing w:lineRule="auto"/>
              <w:jc w:val="right"/>
            </w:pPr>
            <w:r>
              <w:rPr/>
              <w:t xml:space="preserve">1900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Ending Inventory (₹ Cr)</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1550</w:t>
            </w:r>
          </w:p>
        </w:tc>
        <w:tc>
          <w:tcPr>
            <w:tcBorders>
              <w:bottom w:val="single" w:sz="8" w:space="0" w:color="000000"/>
              <w:right w:val="single" w:sz="8" w:space="0" w:color="000000"/>
            </w:tcBorders>
            <w:vAlign w:val="center"/>
          </w:tcPr>
          <w:p>
            <w:pPr>
              <w:spacing w:lineRule="auto"/>
              <w:jc w:val="right"/>
            </w:pPr>
            <w:r>
              <w:rPr/>
              <w:t xml:space="preserve">1750</w:t>
            </w:r>
          </w:p>
        </w:tc>
        <w:tc>
          <w:tcPr>
            <w:tcBorders>
              <w:bottom w:val="single" w:sz="8" w:space="0" w:color="000000"/>
              <w:right w:val="single" w:sz="8" w:space="0" w:color="000000"/>
            </w:tcBorders>
            <w:vAlign w:val="center"/>
          </w:tcPr>
          <w:p>
            <w:pPr>
              <w:spacing w:lineRule="auto"/>
              <w:jc w:val="right"/>
            </w:pPr>
            <w:r>
              <w:rPr/>
              <w:t xml:space="preserve">1900</w:t>
            </w:r>
          </w:p>
        </w:tc>
        <w:tc>
          <w:tcPr>
            <w:tcBorders>
              <w:bottom w:val="single" w:sz="8" w:space="0" w:color="000000"/>
              <w:right w:val="single" w:sz="8" w:space="0" w:color="000000"/>
            </w:tcBorders>
            <w:vAlign w:val="center"/>
          </w:tcPr>
          <w:p>
            <w:pPr>
              <w:spacing w:lineRule="auto"/>
              <w:jc w:val="right"/>
            </w:pPr>
            <w:r>
              <w:rPr/>
              <w:t xml:space="preserve">2050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Avg. Inventory (₹ Cr)</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1475</w:t>
            </w:r>
          </w:p>
        </w:tc>
        <w:tc>
          <w:tcPr>
            <w:tcBorders>
              <w:bottom w:val="single" w:sz="8" w:space="0" w:color="000000"/>
              <w:right w:val="single" w:sz="8" w:space="0" w:color="000000"/>
            </w:tcBorders>
            <w:vAlign w:val="center"/>
          </w:tcPr>
          <w:p>
            <w:pPr>
              <w:spacing w:lineRule="auto"/>
              <w:jc w:val="right"/>
            </w:pPr>
            <w:r>
              <w:rPr/>
              <w:t xml:space="preserve">1650</w:t>
            </w:r>
          </w:p>
        </w:tc>
        <w:tc>
          <w:tcPr>
            <w:tcBorders>
              <w:bottom w:val="single" w:sz="8" w:space="0" w:color="000000"/>
              <w:right w:val="single" w:sz="8" w:space="0" w:color="000000"/>
            </w:tcBorders>
            <w:vAlign w:val="center"/>
          </w:tcPr>
          <w:p>
            <w:pPr>
              <w:spacing w:lineRule="auto"/>
              <w:jc w:val="right"/>
            </w:pPr>
            <w:r>
              <w:rPr/>
              <w:t xml:space="preserve">1825</w:t>
            </w:r>
          </w:p>
        </w:tc>
        <w:tc>
          <w:tcPr>
            <w:tcBorders>
              <w:bottom w:val="single" w:sz="8" w:space="0" w:color="000000"/>
              <w:right w:val="single" w:sz="8" w:space="0" w:color="000000"/>
            </w:tcBorders>
            <w:vAlign w:val="center"/>
          </w:tcPr>
          <w:p>
            <w:pPr>
              <w:spacing w:lineRule="auto"/>
              <w:jc w:val="right"/>
            </w:pPr>
            <w:r>
              <w:rPr/>
              <w:t xml:space="preserve">1975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Inventory Turnover</w:t>
            </w:r>
          </w:p>
        </w:tc>
        <w:tc>
          <w:tcPr>
            <w:tcBorders>
              <w:bottom w:val="single" w:sz="8" w:space="0" w:color="000000"/>
              <w:right w:val="single" w:sz="8" w:space="0" w:color="000000"/>
            </w:tcBorders>
            <w:vAlign w:val="center"/>
          </w:tcPr>
          <w:p>
            <w:pPr>
              <w:spacing w:lineRule="auto"/>
              <w:jc w:val="right"/>
            </w:pPr>
            <w:r>
              <w:rPr>
                <w:b/>
              </w:rPr>
              <w:t xml:space="preserve">13.21</w:t>
            </w:r>
          </w:p>
        </w:tc>
        <w:tc>
          <w:tcPr>
            <w:tcBorders>
              <w:bottom w:val="single" w:sz="8" w:space="0" w:color="000000"/>
              <w:right w:val="single" w:sz="8" w:space="0" w:color="000000"/>
            </w:tcBorders>
            <w:vAlign w:val="center"/>
          </w:tcPr>
          <w:p>
            <w:pPr>
              <w:spacing w:lineRule="auto"/>
              <w:jc w:val="right"/>
            </w:pPr>
            <w:r>
              <w:rPr>
                <w:b/>
              </w:rPr>
              <w:t xml:space="preserve">13.69</w:t>
            </w:r>
          </w:p>
        </w:tc>
        <w:tc>
          <w:tcPr>
            <w:tcBorders>
              <w:bottom w:val="single" w:sz="8" w:space="0" w:color="000000"/>
              <w:right w:val="single" w:sz="8" w:space="0" w:color="000000"/>
            </w:tcBorders>
            <w:vAlign w:val="center"/>
          </w:tcPr>
          <w:p>
            <w:pPr>
              <w:spacing w:lineRule="auto"/>
              <w:jc w:val="right"/>
            </w:pPr>
            <w:r>
              <w:rPr>
                <w:b/>
              </w:rPr>
              <w:t xml:space="preserve">13.09</w:t>
            </w:r>
          </w:p>
        </w:tc>
        <w:tc>
          <w:tcPr>
            <w:tcBorders>
              <w:bottom w:val="single" w:sz="8" w:space="0" w:color="000000"/>
              <w:right w:val="single" w:sz="8" w:space="0" w:color="000000"/>
            </w:tcBorders>
            <w:vAlign w:val="center"/>
          </w:tcPr>
          <w:p>
            <w:pPr>
              <w:spacing w:lineRule="auto"/>
              <w:jc w:val="right"/>
            </w:pPr>
            <w:r>
              <w:rPr>
                <w:b/>
              </w:rPr>
              <w:t xml:space="preserve">12.49</w:t>
            </w:r>
          </w:p>
        </w:tc>
        <w:tc>
          <w:tcPr>
            <w:tcBorders>
              <w:bottom w:val="single" w:sz="8" w:space="0" w:color="000000"/>
              <w:right w:val="single" w:sz="8" w:space="0" w:color="000000"/>
            </w:tcBorders>
            <w:vAlign w:val="center"/>
          </w:tcPr>
          <w:p>
            <w:pPr>
              <w:spacing w:lineRule="auto"/>
              <w:jc w:val="right"/>
            </w:pPr>
            <w:r>
              <w:rPr>
                <w:b/>
              </w:rPr>
              <w:t xml:space="preserve">11.90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DIO (Days)</w:t>
            </w:r>
          </w:p>
        </w:tc>
        <w:tc>
          <w:tcPr>
            <w:tcBorders>
              <w:bottom w:val="single" w:sz="8" w:space="0" w:color="000000"/>
              <w:right w:val="single" w:sz="8" w:space="0" w:color="000000"/>
            </w:tcBorders>
            <w:vAlign w:val="center"/>
          </w:tcPr>
          <w:p>
            <w:pPr>
              <w:spacing w:lineRule="auto"/>
              <w:jc w:val="right"/>
            </w:pPr>
            <w:r>
              <w:rPr>
                <w:b/>
              </w:rPr>
              <w:t xml:space="preserve">27.6</w:t>
            </w:r>
          </w:p>
        </w:tc>
        <w:tc>
          <w:tcPr>
            <w:tcBorders>
              <w:bottom w:val="single" w:sz="8" w:space="0" w:color="000000"/>
              <w:right w:val="single" w:sz="8" w:space="0" w:color="000000"/>
            </w:tcBorders>
            <w:vAlign w:val="center"/>
          </w:tcPr>
          <w:p>
            <w:pPr>
              <w:spacing w:lineRule="auto"/>
              <w:jc w:val="right"/>
            </w:pPr>
            <w:r>
              <w:rPr>
                <w:b/>
              </w:rPr>
              <w:t xml:space="preserve">26.7</w:t>
            </w:r>
          </w:p>
        </w:tc>
        <w:tc>
          <w:tcPr>
            <w:tcBorders>
              <w:bottom w:val="single" w:sz="8" w:space="0" w:color="000000"/>
              <w:right w:val="single" w:sz="8" w:space="0" w:color="000000"/>
            </w:tcBorders>
            <w:vAlign w:val="center"/>
          </w:tcPr>
          <w:p>
            <w:pPr>
              <w:spacing w:lineRule="auto"/>
              <w:jc w:val="right"/>
            </w:pPr>
            <w:r>
              <w:rPr>
                <w:b/>
              </w:rPr>
              <w:t xml:space="preserve">27.9</w:t>
            </w:r>
          </w:p>
        </w:tc>
        <w:tc>
          <w:tcPr>
            <w:tcBorders>
              <w:bottom w:val="single" w:sz="8" w:space="0" w:color="000000"/>
              <w:right w:val="single" w:sz="8" w:space="0" w:color="000000"/>
            </w:tcBorders>
            <w:vAlign w:val="center"/>
          </w:tcPr>
          <w:p>
            <w:pPr>
              <w:spacing w:lineRule="auto"/>
              <w:jc w:val="right"/>
            </w:pPr>
            <w:r>
              <w:rPr>
                <w:b/>
              </w:rPr>
              <w:t xml:space="preserve">29.2</w:t>
            </w:r>
          </w:p>
        </w:tc>
        <w:tc>
          <w:tcPr>
            <w:tcBorders>
              <w:bottom w:val="single" w:sz="8" w:space="0" w:color="000000"/>
              <w:right w:val="single" w:sz="8" w:space="0" w:color="000000"/>
            </w:tcBorders>
            <w:vAlign w:val="center"/>
          </w:tcPr>
          <w:p>
            <w:pPr>
              <w:spacing w:lineRule="auto"/>
              <w:jc w:val="right"/>
            </w:pPr>
            <w:r>
              <w:rPr>
                <w:b/>
              </w:rPr>
              <w:t xml:space="preserve">30.7</w:t>
            </w:r>
          </w:p>
        </w:tc>
      </w:tr>
    </w:tbl>
    <w:p>
      <w:pPr>
        <w:spacing w:lineRule="auto"/>
      </w:pPr>
    </w:p>
    <w:p>
      <w:pPr>
        <w:spacing w:lineRule="auto"/>
      </w:pPr>
      <w:r>
        <w:rPr/>
        <w:t xml:space="preserve">Table 13: Inventory Turnover and DIO Trend</w:t>
      </w:r>
    </w:p>
    <w:p>
      <w:pPr>
        <w:spacing w:line="271" w:before="240" w:lineRule="auto"/>
      </w:pPr>
      <w:bookmarkStart w:id="65" w:name="bm_7_1_3_interpretation"/>
      <w:r>
        <w:rPr>
          <w:b/>
          <w:sz w:val="28"/>
        </w:rPr>
        <w:t xml:space="preserve">7.1.3 Interpretation</w:t>
      </w:r>
      <w:bookmarkEnd w:id="65"/>
    </w:p>
    <w:p>
      <w:pPr>
        <w:spacing w:after="210" w:lineRule="auto"/>
      </w:pPr>
      <w:r>
        <w:rPr>
          <w:b/>
        </w:rPr>
        <w:t xml:space="preserve">Key Findings:</w:t>
      </w:r>
    </w:p>
    <w:p>
      <w:pPr>
        <w:numPr>
          <w:ilvl w:val="0"/>
          <w:numId w:val="43"/>
        </w:numPr>
        <w:spacing w:after="210" w:lineRule="auto"/>
      </w:pPr>
      <w:r>
        <w:rPr>
          <w:b/>
        </w:rPr>
        <w:t xml:space="preserve">Inventory Turnover:</w:t>
      </w:r>
      <w:r>
        <w:rPr/>
        <w:t xml:space="preserve"> Declining from 13.69 times in FY2022 to 11.90 times in FY2025.</w:t>
      </w:r>
    </w:p>
    <w:p>
      <w:pPr>
        <w:numPr>
          <w:ilvl w:val="1"/>
          <w:numId w:val="43"/>
        </w:numPr>
        <w:spacing w:lineRule="auto"/>
      </w:pPr>
      <w:r>
        <w:rPr/>
        <w:t xml:space="preserve">This indicates inventory is held for slightly longer periods, but </w:t>
      </w:r>
      <w:r>
        <w:rPr>
          <w:b/>
        </w:rPr>
        <w:t xml:space="preserve">11.90 turns remains excellent</w:t>
      </w:r>
      <w:r>
        <w:rPr/>
        <w:t xml:space="preserve"> for an FMCG company.</w:t>
      </w:r>
    </w:p>
    <w:p>
      <w:pPr>
        <w:numPr>
          <w:ilvl w:val="1"/>
          <w:numId w:val="43"/>
        </w:numPr>
        <w:spacing w:lineRule="auto"/>
      </w:pPr>
      <w:r>
        <w:rPr>
          <w:rFonts w:eastAsia="Georgia" w:cs="Georgia" w:ascii="Georgia" w:hAnsi="Georgia"/>
        </w:rPr>
        <w:t xml:space="preserve">Industry average for FMCG: 8–10 times; HUL is </w:t>
      </w:r>
      <w:r>
        <w:rPr>
          <w:b/>
        </w:rPr>
        <w:t xml:space="preserve">above average</w:t>
      </w:r>
      <w:r>
        <w:rPr/>
        <w:t xml:space="preserve">.</w:t>
      </w:r>
    </w:p>
    <w:p>
      <w:pPr>
        <w:numPr>
          <w:ilvl w:val="0"/>
          <w:numId w:val="43"/>
        </w:numPr>
        <w:spacing w:after="210" w:lineRule="auto"/>
      </w:pPr>
      <w:r>
        <w:rPr>
          <w:b/>
        </w:rPr>
        <w:t xml:space="preserve">DIO Trend:</w:t>
      </w:r>
      <w:r>
        <w:rPr/>
        <w:t xml:space="preserve"> Rising from 26.7 days in FY2022 to 30.7 days in FY2025.</w:t>
      </w:r>
    </w:p>
    <w:p>
      <w:pPr>
        <w:numPr>
          <w:ilvl w:val="1"/>
          <w:numId w:val="43"/>
        </w:numPr>
        <w:spacing w:lineRule="auto"/>
      </w:pPr>
      <w:r>
        <w:rPr>
          <w:rFonts w:eastAsia="Georgia" w:cs="Georgia" w:ascii="Georgia" w:hAnsi="Georgia"/>
        </w:rPr>
        <w:t xml:space="preserve">HUL takes approximately 30–31 days to sell inventory, which is </w:t>
      </w:r>
      <w:r>
        <w:rPr>
          <w:b/>
        </w:rPr>
        <w:t xml:space="preserve">very efficient</w:t>
      </w:r>
      <w:r>
        <w:rPr/>
        <w:t xml:space="preserve">.</w:t>
      </w:r>
    </w:p>
    <w:p>
      <w:pPr>
        <w:numPr>
          <w:ilvl w:val="1"/>
          <w:numId w:val="43"/>
        </w:numPr>
        <w:spacing w:lineRule="auto"/>
      </w:pPr>
      <w:r>
        <w:rPr/>
        <w:t xml:space="preserve">For high-volume FMCG products, this is </w:t>
      </w:r>
      <w:r>
        <w:rPr>
          <w:b/>
        </w:rPr>
        <w:t xml:space="preserve">optimal</w:t>
      </w:r>
      <w:r>
        <w:rPr>
          <w:rFonts w:eastAsia="Georgia" w:cs="Georgia" w:ascii="Georgia" w:hAnsi="Georgia"/>
        </w:rPr>
        <w:t xml:space="preserve">—balancing availability with working capital efficiency.</w:t>
      </w:r>
    </w:p>
    <w:p>
      <w:pPr>
        <w:numPr>
          <w:ilvl w:val="0"/>
          <w:numId w:val="43"/>
        </w:numPr>
        <w:spacing w:after="210" w:lineRule="auto"/>
      </w:pPr>
      <w:r>
        <w:rPr>
          <w:b/>
        </w:rPr>
        <w:t xml:space="preserve">Why the Increase?</w:t>
      </w:r>
    </w:p>
    <w:p>
      <w:pPr>
        <w:numPr>
          <w:ilvl w:val="1"/>
          <w:numId w:val="43"/>
        </w:numPr>
        <w:spacing w:lineRule="auto"/>
      </w:pPr>
      <w:r>
        <w:rPr/>
        <w:t xml:space="preserve">Growing business scale may require slightly higher inventory buffers.</w:t>
      </w:r>
    </w:p>
    <w:p>
      <w:pPr>
        <w:numPr>
          <w:ilvl w:val="1"/>
          <w:numId w:val="43"/>
        </w:numPr>
        <w:spacing w:lineRule="auto"/>
      </w:pPr>
      <w:r>
        <w:rPr/>
        <w:t xml:space="preserve">Diversification into newer categories or geographic expansion.</w:t>
      </w:r>
    </w:p>
    <w:p>
      <w:pPr>
        <w:numPr>
          <w:ilvl w:val="1"/>
          <w:numId w:val="43"/>
        </w:numPr>
        <w:spacing w:lineRule="auto"/>
      </w:pPr>
      <w:r>
        <w:rPr/>
        <w:t xml:space="preserve">Strategic inventory building for expected demand.</w:t>
      </w:r>
    </w:p>
    <w:p>
      <w:pPr>
        <w:spacing w:after="210" w:lineRule="auto"/>
      </w:pPr>
      <w:r>
        <w:rPr>
          <w:b/>
        </w:rPr>
        <w:t xml:space="preserve">Benchmark:</w:t>
      </w:r>
      <w:r>
        <w:rPr>
          <w:rFonts w:eastAsia="Georgia" w:cs="Georgia" w:ascii="Georgia" w:hAnsi="Georgia"/>
        </w:rPr>
        <w:t xml:space="preserve"> FMCG companies typically operate with 25–40 days DIO; HUL's 30.7 days is </w:t>
      </w:r>
      <w:r>
        <w:rPr>
          <w:b/>
        </w:rPr>
        <w:t xml:space="preserve">within optimal range</w:t>
      </w:r>
      <w:r>
        <w:rPr/>
        <w:t xml:space="preserve">.</w:t>
      </w:r>
    </w:p>
    <w:p>
      <w:pPr>
        <w:spacing w:line="271" w:before="240" w:lineRule="auto"/>
      </w:pPr>
      <w:bookmarkStart w:id="66" w:name="bm_7_2_receivables_turnover_and_d_7bbe6f"/>
      <w:r>
        <w:rPr>
          <w:b/>
          <w:sz w:val="33"/>
        </w:rPr>
        <w:t xml:space="preserve">7.2 Receivables Turnover and Days Sales Outstanding (DSO)</w:t>
      </w:r>
      <w:bookmarkEnd w:id="66"/>
    </w:p>
    <w:p>
      <w:pPr>
        <w:spacing w:line="271" w:before="240" w:lineRule="auto"/>
      </w:pPr>
      <w:bookmarkStart w:id="67" w:name="bm_7_2_1_receivables_turnover_cal_b41ee1"/>
      <w:r>
        <w:rPr>
          <w:b/>
          <w:sz w:val="28"/>
        </w:rPr>
        <w:t xml:space="preserve">7.2.1 Receivables Turnover Calculation</w:t>
      </w:r>
      <w:bookmarkEnd w:id="67"/>
    </w:p>
    <w:p>
      <w:pPr>
        <w:spacing w:after="210" w:lineRule="auto"/>
      </w:pPr>
      <w:r>
        <w:rPr>
          <w:b/>
        </w:rPr>
        <w:t xml:space="preserve">Formula:</w:t>
      </w:r>
    </w:p>
    <w:p>
      <w:pPr>
        <w:spacing w:after="210" w:lineRule="auto"/>
      </w:pPr>
      <m:oMathPara>
        <m:oMath>
          <m:r>
            <m:rPr>
              <m:nor/>
            </m:rPr>
            <m:t>Receivables Turnover</m:t>
          </m:r>
          <m:r>
            <m:rPr>
              <m:sty m:val="p"/>
            </m:rPr>
            <m:t>=</m:t>
          </m:r>
          <m:f>
            <m:fPr>
              <m:ctrlPr>
                <w:rPr>
                  <w:rFonts w:ascii="Cambria Math" w:hAnsi="Cambria Math"/>
                </w:rPr>
              </m:ctrlPr>
            </m:fPr>
            <m:num>
              <m:r>
                <m:rPr>
                  <m:nor/>
                </m:rPr>
                <m:t>Net Sales</m:t>
              </m:r>
            </m:num>
            <m:den>
              <m:r>
                <m:rPr>
                  <m:nor/>
                </m:rPr>
                <m:t>Average Trade Receivables</m:t>
              </m:r>
            </m:den>
          </m:f>
        </m:oMath>
      </m:oMathPara>
    </w:p>
    <w:p>
      <w:pPr>
        <w:spacing w:after="210" w:lineRule="auto"/>
      </w:pPr>
      <m:oMathPara>
        <m:oMath>
          <m:r>
            <m:rPr>
              <m:nor/>
            </m:rPr>
            <m:t>Days Sales Outstanding (DSO)</m:t>
          </m:r>
          <m:r>
            <m:rPr>
              <m:sty m:val="p"/>
            </m:rPr>
            <m:t>=</m:t>
          </m:r>
          <m:f>
            <m:fPr>
              <m:ctrlPr>
                <w:rPr>
                  <w:rFonts w:ascii="Cambria Math" w:hAnsi="Cambria Math"/>
                </w:rPr>
              </m:ctrlPr>
            </m:fPr>
            <m:num>
              <m:r>
                <m:rPr>
                  <m:sty m:val="p"/>
                </m:rPr>
                <m:t>365</m:t>
              </m:r>
            </m:num>
            <m:den>
              <m:r>
                <m:rPr>
                  <m:nor/>
                </m:rPr>
                <m:t>Receivables Turnover</m:t>
              </m:r>
            </m:den>
          </m:f>
        </m:oMath>
      </m:oMathPara>
    </w:p>
    <w:p>
      <w:pPr>
        <w:spacing w:line="271" w:before="240" w:lineRule="auto"/>
      </w:pPr>
      <w:bookmarkStart w:id="68" w:name="bm_7_2_2_receivables_turnover_rat_a11903"/>
      <w:r>
        <w:rPr>
          <w:b/>
          <w:sz w:val="28"/>
        </w:rPr>
        <w:t xml:space="preserve">7.2.2 Receivables Turnover Ratio (5-Year)</w:t>
      </w:r>
      <w:bookmarkEnd w:id="68"/>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right w:val="single" w:sz="8" w:space="0" w:color="000000"/>
            </w:tcBorders>
            <w:vAlign w:val="center"/>
          </w:tcPr>
          <w:p>
            <w:pPr>
              <w:spacing w:lineRule="auto"/>
              <w:jc w:val="right"/>
            </w:pPr>
            <w:r>
              <w:rPr/>
              <w:t xml:space="preserve">38000</w:t>
            </w:r>
          </w:p>
        </w:tc>
        <w:tc>
          <w:tcPr>
            <w:tcBorders>
              <w:right w:val="single" w:sz="8" w:space="0" w:color="000000"/>
            </w:tcBorders>
            <w:vAlign w:val="center"/>
          </w:tcPr>
          <w:p>
            <w:pPr>
              <w:spacing w:lineRule="auto"/>
              <w:jc w:val="right"/>
            </w:pPr>
            <w:r>
              <w:rPr/>
              <w:t xml:space="preserve">41500</w:t>
            </w:r>
          </w:p>
        </w:tc>
        <w:tc>
          <w:tcPr>
            <w:tcBorders>
              <w:right w:val="single" w:sz="8" w:space="0" w:color="000000"/>
            </w:tcBorders>
            <w:vAlign w:val="center"/>
          </w:tcPr>
          <w:p>
            <w:pPr>
              <w:spacing w:lineRule="auto"/>
              <w:jc w:val="right"/>
            </w:pPr>
            <w:r>
              <w:rPr/>
              <w:t xml:space="preserve">44200</w:t>
            </w:r>
          </w:p>
        </w:tc>
        <w:tc>
          <w:tcPr>
            <w:tcBorders>
              <w:right w:val="single" w:sz="8" w:space="0" w:color="000000"/>
            </w:tcBorders>
            <w:vAlign w:val="center"/>
          </w:tcPr>
          <w:p>
            <w:pPr>
              <w:spacing w:lineRule="auto"/>
              <w:jc w:val="right"/>
            </w:pPr>
            <w:r>
              <w:rPr/>
              <w:t xml:space="preserve">46500</w:t>
            </w:r>
          </w:p>
        </w:tc>
        <w:tc>
          <w:tcPr>
            <w:tcBorders>
              <w:right w:val="single" w:sz="8" w:space="0" w:color="000000"/>
            </w:tcBorders>
            <w:vAlign w:val="center"/>
          </w:tcPr>
          <w:p>
            <w:pPr>
              <w:spacing w:lineRule="auto"/>
              <w:jc w:val="right"/>
            </w:pPr>
            <w:r>
              <w:rPr/>
              <w:t xml:space="preserve">48000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Beg. Receivables (₹ Cr)</w:t>
            </w:r>
          </w:p>
        </w:tc>
        <w:tc>
          <w:tcPr>
            <w:tcBorders>
              <w:right w:val="single" w:sz="8" w:space="0" w:color="000000"/>
            </w:tcBorders>
            <w:vAlign w:val="center"/>
          </w:tcPr>
          <w:p>
            <w:pPr>
              <w:spacing w:lineRule="auto"/>
              <w:jc w:val="right"/>
            </w:pPr>
            <w:r>
              <w:rPr/>
              <w:t xml:space="preserve">-</w:t>
            </w:r>
          </w:p>
        </w:tc>
        <w:tc>
          <w:tcPr>
            <w:tcBorders>
              <w:right w:val="single" w:sz="8" w:space="0" w:color="000000"/>
            </w:tcBorders>
            <w:vAlign w:val="center"/>
          </w:tcPr>
          <w:p>
            <w:pPr>
              <w:spacing w:lineRule="auto"/>
              <w:jc w:val="right"/>
            </w:pPr>
            <w:r>
              <w:rPr/>
              <w:t xml:space="preserve">1800</w:t>
            </w:r>
          </w:p>
        </w:tc>
        <w:tc>
          <w:tcPr>
            <w:tcBorders>
              <w:right w:val="single" w:sz="8" w:space="0" w:color="000000"/>
            </w:tcBorders>
            <w:vAlign w:val="center"/>
          </w:tcPr>
          <w:p>
            <w:pPr>
              <w:spacing w:lineRule="auto"/>
              <w:jc w:val="right"/>
            </w:pPr>
            <w:r>
              <w:rPr/>
              <w:t xml:space="preserve">2050</w:t>
            </w:r>
          </w:p>
        </w:tc>
        <w:tc>
          <w:tcPr>
            <w:tcBorders>
              <w:right w:val="single" w:sz="8" w:space="0" w:color="000000"/>
            </w:tcBorders>
            <w:vAlign w:val="center"/>
          </w:tcPr>
          <w:p>
            <w:pPr>
              <w:spacing w:lineRule="auto"/>
              <w:jc w:val="right"/>
            </w:pPr>
            <w:r>
              <w:rPr/>
              <w:t xml:space="preserve">2400</w:t>
            </w:r>
          </w:p>
        </w:tc>
        <w:tc>
          <w:tcPr>
            <w:tcBorders>
              <w:right w:val="single" w:sz="8" w:space="0" w:color="000000"/>
            </w:tcBorders>
            <w:vAlign w:val="center"/>
          </w:tcPr>
          <w:p>
            <w:pPr>
              <w:spacing w:lineRule="auto"/>
              <w:jc w:val="right"/>
            </w:pPr>
            <w:r>
              <w:rPr/>
              <w:t xml:space="preserve">2650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End. Receivables (₹ Cr)</w:t>
            </w:r>
          </w:p>
        </w:tc>
        <w:tc>
          <w:tcPr>
            <w:tcBorders>
              <w:bottom w:val="single" w:sz="8" w:space="0" w:color="000000"/>
              <w:right w:val="single" w:sz="8" w:space="0" w:color="000000"/>
            </w:tcBorders>
            <w:vAlign w:val="center"/>
          </w:tcPr>
          <w:p>
            <w:pPr>
              <w:spacing w:lineRule="auto"/>
              <w:jc w:val="right"/>
            </w:pPr>
            <w:r>
              <w:rPr/>
              <w:t xml:space="preserve">1800</w:t>
            </w:r>
          </w:p>
        </w:tc>
        <w:tc>
          <w:tcPr>
            <w:tcBorders>
              <w:bottom w:val="single" w:sz="8" w:space="0" w:color="000000"/>
              <w:right w:val="single" w:sz="8" w:space="0" w:color="000000"/>
            </w:tcBorders>
            <w:vAlign w:val="center"/>
          </w:tcPr>
          <w:p>
            <w:pPr>
              <w:spacing w:lineRule="auto"/>
              <w:jc w:val="right"/>
            </w:pPr>
            <w:r>
              <w:rPr/>
              <w:t xml:space="preserve">2050</w:t>
            </w:r>
          </w:p>
        </w:tc>
        <w:tc>
          <w:tcPr>
            <w:tcBorders>
              <w:bottom w:val="single" w:sz="8" w:space="0" w:color="000000"/>
              <w:right w:val="single" w:sz="8" w:space="0" w:color="000000"/>
            </w:tcBorders>
            <w:vAlign w:val="center"/>
          </w:tcPr>
          <w:p>
            <w:pPr>
              <w:spacing w:lineRule="auto"/>
              <w:jc w:val="right"/>
            </w:pPr>
            <w:r>
              <w:rPr/>
              <w:t xml:space="preserve">2400</w:t>
            </w:r>
          </w:p>
        </w:tc>
        <w:tc>
          <w:tcPr>
            <w:tcBorders>
              <w:bottom w:val="single" w:sz="8" w:space="0" w:color="000000"/>
              <w:right w:val="single" w:sz="8" w:space="0" w:color="000000"/>
            </w:tcBorders>
            <w:vAlign w:val="center"/>
          </w:tcPr>
          <w:p>
            <w:pPr>
              <w:spacing w:lineRule="auto"/>
              <w:jc w:val="right"/>
            </w:pPr>
            <w:r>
              <w:rPr/>
              <w:t xml:space="preserve">2650</w:t>
            </w:r>
          </w:p>
        </w:tc>
        <w:tc>
          <w:tcPr>
            <w:tcBorders>
              <w:bottom w:val="single" w:sz="8" w:space="0" w:color="000000"/>
              <w:right w:val="single" w:sz="8" w:space="0" w:color="000000"/>
            </w:tcBorders>
            <w:vAlign w:val="center"/>
          </w:tcPr>
          <w:p>
            <w:pPr>
              <w:spacing w:lineRule="auto"/>
              <w:jc w:val="right"/>
            </w:pPr>
            <w:r>
              <w:rPr/>
              <w:t xml:space="preserve">2900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Avg. Receivables (₹ Cr)</w:t>
            </w:r>
          </w:p>
        </w:tc>
        <w:tc>
          <w:tcPr>
            <w:tcBorders>
              <w:bottom w:val="single" w:sz="8" w:space="0" w:color="000000"/>
              <w:right w:val="single" w:sz="8" w:space="0" w:color="000000"/>
            </w:tcBorders>
            <w:vAlign w:val="center"/>
          </w:tcPr>
          <w:p>
            <w:pPr>
              <w:spacing w:lineRule="auto"/>
              <w:jc w:val="right"/>
            </w:pPr>
            <w:r>
              <w:rPr/>
              <w:t xml:space="preserve">1800</w:t>
            </w:r>
          </w:p>
        </w:tc>
        <w:tc>
          <w:tcPr>
            <w:tcBorders>
              <w:bottom w:val="single" w:sz="8" w:space="0" w:color="000000"/>
              <w:right w:val="single" w:sz="8" w:space="0" w:color="000000"/>
            </w:tcBorders>
            <w:vAlign w:val="center"/>
          </w:tcPr>
          <w:p>
            <w:pPr>
              <w:spacing w:lineRule="auto"/>
              <w:jc w:val="right"/>
            </w:pPr>
            <w:r>
              <w:rPr/>
              <w:t xml:space="preserve">1925</w:t>
            </w:r>
          </w:p>
        </w:tc>
        <w:tc>
          <w:tcPr>
            <w:tcBorders>
              <w:bottom w:val="single" w:sz="8" w:space="0" w:color="000000"/>
              <w:right w:val="single" w:sz="8" w:space="0" w:color="000000"/>
            </w:tcBorders>
            <w:vAlign w:val="center"/>
          </w:tcPr>
          <w:p>
            <w:pPr>
              <w:spacing w:lineRule="auto"/>
              <w:jc w:val="right"/>
            </w:pPr>
            <w:r>
              <w:rPr/>
              <w:t xml:space="preserve">2225</w:t>
            </w:r>
          </w:p>
        </w:tc>
        <w:tc>
          <w:tcPr>
            <w:tcBorders>
              <w:bottom w:val="single" w:sz="8" w:space="0" w:color="000000"/>
              <w:right w:val="single" w:sz="8" w:space="0" w:color="000000"/>
            </w:tcBorders>
            <w:vAlign w:val="center"/>
          </w:tcPr>
          <w:p>
            <w:pPr>
              <w:spacing w:lineRule="auto"/>
              <w:jc w:val="right"/>
            </w:pPr>
            <w:r>
              <w:rPr/>
              <w:t xml:space="preserve">2525</w:t>
            </w:r>
          </w:p>
        </w:tc>
        <w:tc>
          <w:tcPr>
            <w:tcBorders>
              <w:bottom w:val="single" w:sz="8" w:space="0" w:color="000000"/>
              <w:right w:val="single" w:sz="8" w:space="0" w:color="000000"/>
            </w:tcBorders>
            <w:vAlign w:val="center"/>
          </w:tcPr>
          <w:p>
            <w:pPr>
              <w:spacing w:lineRule="auto"/>
              <w:jc w:val="right"/>
            </w:pPr>
            <w:r>
              <w:rPr/>
              <w:t xml:space="preserve">2775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Receivables Turnover</w:t>
            </w:r>
          </w:p>
        </w:tc>
        <w:tc>
          <w:tcPr>
            <w:tcBorders>
              <w:bottom w:val="single" w:sz="8" w:space="0" w:color="000000"/>
              <w:right w:val="single" w:sz="8" w:space="0" w:color="000000"/>
            </w:tcBorders>
            <w:vAlign w:val="center"/>
          </w:tcPr>
          <w:p>
            <w:pPr>
              <w:spacing w:lineRule="auto"/>
              <w:jc w:val="right"/>
            </w:pPr>
            <w:r>
              <w:rPr>
                <w:b/>
              </w:rPr>
              <w:t xml:space="preserve">21.11</w:t>
            </w:r>
          </w:p>
        </w:tc>
        <w:tc>
          <w:tcPr>
            <w:tcBorders>
              <w:bottom w:val="single" w:sz="8" w:space="0" w:color="000000"/>
              <w:right w:val="single" w:sz="8" w:space="0" w:color="000000"/>
            </w:tcBorders>
            <w:vAlign w:val="center"/>
          </w:tcPr>
          <w:p>
            <w:pPr>
              <w:spacing w:lineRule="auto"/>
              <w:jc w:val="right"/>
            </w:pPr>
            <w:r>
              <w:rPr>
                <w:b/>
              </w:rPr>
              <w:t xml:space="preserve">21.56</w:t>
            </w:r>
          </w:p>
        </w:tc>
        <w:tc>
          <w:tcPr>
            <w:tcBorders>
              <w:bottom w:val="single" w:sz="8" w:space="0" w:color="000000"/>
              <w:right w:val="single" w:sz="8" w:space="0" w:color="000000"/>
            </w:tcBorders>
            <w:vAlign w:val="center"/>
          </w:tcPr>
          <w:p>
            <w:pPr>
              <w:spacing w:lineRule="auto"/>
              <w:jc w:val="right"/>
            </w:pPr>
            <w:r>
              <w:rPr>
                <w:b/>
              </w:rPr>
              <w:t xml:space="preserve">19.87</w:t>
            </w:r>
          </w:p>
        </w:tc>
        <w:tc>
          <w:tcPr>
            <w:tcBorders>
              <w:bottom w:val="single" w:sz="8" w:space="0" w:color="000000"/>
              <w:right w:val="single" w:sz="8" w:space="0" w:color="000000"/>
            </w:tcBorders>
            <w:vAlign w:val="center"/>
          </w:tcPr>
          <w:p>
            <w:pPr>
              <w:spacing w:lineRule="auto"/>
              <w:jc w:val="right"/>
            </w:pPr>
            <w:r>
              <w:rPr>
                <w:b/>
              </w:rPr>
              <w:t xml:space="preserve">18.41</w:t>
            </w:r>
          </w:p>
        </w:tc>
        <w:tc>
          <w:tcPr>
            <w:tcBorders>
              <w:bottom w:val="single" w:sz="8" w:space="0" w:color="000000"/>
              <w:right w:val="single" w:sz="8" w:space="0" w:color="000000"/>
            </w:tcBorders>
            <w:vAlign w:val="center"/>
          </w:tcPr>
          <w:p>
            <w:pPr>
              <w:spacing w:lineRule="auto"/>
              <w:jc w:val="right"/>
            </w:pPr>
            <w:r>
              <w:rPr>
                <w:b/>
              </w:rPr>
              <w:t xml:space="preserve">17.30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DSO (Days)</w:t>
            </w:r>
          </w:p>
        </w:tc>
        <w:tc>
          <w:tcPr>
            <w:tcBorders>
              <w:bottom w:val="single" w:sz="8" w:space="0" w:color="000000"/>
              <w:right w:val="single" w:sz="8" w:space="0" w:color="000000"/>
            </w:tcBorders>
            <w:vAlign w:val="center"/>
          </w:tcPr>
          <w:p>
            <w:pPr>
              <w:spacing w:lineRule="auto"/>
              <w:jc w:val="right"/>
            </w:pPr>
            <w:r>
              <w:rPr>
                <w:b/>
              </w:rPr>
              <w:t xml:space="preserve">17.3</w:t>
            </w:r>
          </w:p>
        </w:tc>
        <w:tc>
          <w:tcPr>
            <w:tcBorders>
              <w:bottom w:val="single" w:sz="8" w:space="0" w:color="000000"/>
              <w:right w:val="single" w:sz="8" w:space="0" w:color="000000"/>
            </w:tcBorders>
            <w:vAlign w:val="center"/>
          </w:tcPr>
          <w:p>
            <w:pPr>
              <w:spacing w:lineRule="auto"/>
              <w:jc w:val="right"/>
            </w:pPr>
            <w:r>
              <w:rPr>
                <w:b/>
              </w:rPr>
              <w:t xml:space="preserve">16.9</w:t>
            </w:r>
          </w:p>
        </w:tc>
        <w:tc>
          <w:tcPr>
            <w:tcBorders>
              <w:bottom w:val="single" w:sz="8" w:space="0" w:color="000000"/>
              <w:right w:val="single" w:sz="8" w:space="0" w:color="000000"/>
            </w:tcBorders>
            <w:vAlign w:val="center"/>
          </w:tcPr>
          <w:p>
            <w:pPr>
              <w:spacing w:lineRule="auto"/>
              <w:jc w:val="right"/>
            </w:pPr>
            <w:r>
              <w:rPr>
                <w:b/>
              </w:rPr>
              <w:t xml:space="preserve">18.4</w:t>
            </w:r>
          </w:p>
        </w:tc>
        <w:tc>
          <w:tcPr>
            <w:tcBorders>
              <w:bottom w:val="single" w:sz="8" w:space="0" w:color="000000"/>
              <w:right w:val="single" w:sz="8" w:space="0" w:color="000000"/>
            </w:tcBorders>
            <w:vAlign w:val="center"/>
          </w:tcPr>
          <w:p>
            <w:pPr>
              <w:spacing w:lineRule="auto"/>
              <w:jc w:val="right"/>
            </w:pPr>
            <w:r>
              <w:rPr>
                <w:b/>
              </w:rPr>
              <w:t xml:space="preserve">19.8</w:t>
            </w:r>
          </w:p>
        </w:tc>
        <w:tc>
          <w:tcPr>
            <w:tcBorders>
              <w:bottom w:val="single" w:sz="8" w:space="0" w:color="000000"/>
              <w:right w:val="single" w:sz="8" w:space="0" w:color="000000"/>
            </w:tcBorders>
            <w:vAlign w:val="center"/>
          </w:tcPr>
          <w:p>
            <w:pPr>
              <w:spacing w:lineRule="auto"/>
              <w:jc w:val="right"/>
            </w:pPr>
            <w:r>
              <w:rPr>
                <w:b/>
              </w:rPr>
              <w:t xml:space="preserve">21.1</w:t>
            </w:r>
          </w:p>
        </w:tc>
      </w:tr>
    </w:tbl>
    <w:p>
      <w:pPr>
        <w:spacing w:lineRule="auto"/>
      </w:pPr>
    </w:p>
    <w:p>
      <w:pPr>
        <w:spacing w:lineRule="auto"/>
      </w:pPr>
      <w:r>
        <w:rPr/>
        <w:t xml:space="preserve">Table 14: Receivables Turnover and DSO Trend</w:t>
      </w:r>
    </w:p>
    <w:p>
      <w:pPr>
        <w:spacing w:line="271" w:before="240" w:lineRule="auto"/>
      </w:pPr>
      <w:bookmarkStart w:id="69" w:name="bm_7_2_3_interpretation"/>
      <w:r>
        <w:rPr>
          <w:b/>
          <w:sz w:val="28"/>
        </w:rPr>
        <w:t xml:space="preserve">7.2.3 Interpretation</w:t>
      </w:r>
      <w:bookmarkEnd w:id="69"/>
    </w:p>
    <w:p>
      <w:pPr>
        <w:spacing w:after="210" w:lineRule="auto"/>
      </w:pPr>
      <w:r>
        <w:rPr>
          <w:b/>
        </w:rPr>
        <w:t xml:space="preserve">Key Findings:</w:t>
      </w:r>
    </w:p>
    <w:p>
      <w:pPr>
        <w:numPr>
          <w:ilvl w:val="0"/>
          <w:numId w:val="44"/>
        </w:numPr>
        <w:spacing w:after="210" w:lineRule="auto"/>
      </w:pPr>
      <w:r>
        <w:rPr>
          <w:b/>
        </w:rPr>
        <w:t xml:space="preserve">Receivables Turnover:</w:t>
      </w:r>
      <w:r>
        <w:rPr/>
        <w:t xml:space="preserve"> Declining from 21.56 times in FY2022 to 17.30 times in FY2025.</w:t>
      </w:r>
    </w:p>
    <w:p>
      <w:pPr>
        <w:numPr>
          <w:ilvl w:val="1"/>
          <w:numId w:val="44"/>
        </w:numPr>
        <w:spacing w:lineRule="auto"/>
      </w:pPr>
      <w:r>
        <w:rPr/>
        <w:t xml:space="preserve">Indicates a slight increase in the time taken to collect receivables.</w:t>
      </w:r>
    </w:p>
    <w:p>
      <w:pPr>
        <w:numPr>
          <w:ilvl w:val="0"/>
          <w:numId w:val="44"/>
        </w:numPr>
        <w:spacing w:after="210" w:lineRule="auto"/>
      </w:pPr>
      <w:r>
        <w:rPr>
          <w:b/>
        </w:rPr>
        <w:t xml:space="preserve">DSO Trend:</w:t>
      </w:r>
      <w:r>
        <w:rPr/>
        <w:t xml:space="preserve"> Increasing from 16.9 days in FY2022 to 21.1 days in FY2025.</w:t>
      </w:r>
    </w:p>
    <w:p>
      <w:pPr>
        <w:numPr>
          <w:ilvl w:val="1"/>
          <w:numId w:val="44"/>
        </w:numPr>
        <w:spacing w:lineRule="auto"/>
      </w:pPr>
      <w:r>
        <w:rPr/>
        <w:t xml:space="preserve">HUL collects cash from customers (primarily distributors) within approximately 21 days.</w:t>
      </w:r>
    </w:p>
    <w:p>
      <w:pPr>
        <w:numPr>
          <w:ilvl w:val="1"/>
          <w:numId w:val="44"/>
        </w:numPr>
        <w:spacing w:lineRule="auto"/>
      </w:pPr>
      <w:r>
        <w:rPr/>
        <w:t xml:space="preserve">This is </w:t>
      </w:r>
      <w:r>
        <w:rPr>
          <w:b/>
        </w:rPr>
        <w:t xml:space="preserve">excellent</w:t>
      </w:r>
      <w:r>
        <w:rPr>
          <w:rFonts w:eastAsia="Georgia" w:cs="Georgia" w:ascii="Georgia" w:hAnsi="Georgia"/>
        </w:rPr>
        <w:t xml:space="preserve"> for an FMCG company; most FMCG companies operate with 30–45 days DSO.</w:t>
      </w:r>
    </w:p>
    <w:p>
      <w:pPr>
        <w:numPr>
          <w:ilvl w:val="0"/>
          <w:numId w:val="44"/>
        </w:numPr>
        <w:spacing w:after="210" w:lineRule="auto"/>
      </w:pPr>
      <w:r>
        <w:rPr>
          <w:b/>
        </w:rPr>
        <w:t xml:space="preserve">Why the Gradual Increase?</w:t>
      </w:r>
    </w:p>
    <w:p>
      <w:pPr>
        <w:numPr>
          <w:ilvl w:val="1"/>
          <w:numId w:val="44"/>
        </w:numPr>
        <w:spacing w:lineRule="auto"/>
      </w:pPr>
      <w:r>
        <w:rPr/>
        <w:t xml:space="preserve">Possible shift in customer mix (e.g., increased credit sales to large retailers).</w:t>
      </w:r>
    </w:p>
    <w:p>
      <w:pPr>
        <w:numPr>
          <w:ilvl w:val="1"/>
          <w:numId w:val="44"/>
        </w:numPr>
        <w:spacing w:lineRule="auto"/>
      </w:pPr>
      <w:r>
        <w:rPr/>
        <w:t xml:space="preserve">Extended payment terms to incentivize bulk orders and market share growth.</w:t>
      </w:r>
    </w:p>
    <w:p>
      <w:pPr>
        <w:numPr>
          <w:ilvl w:val="1"/>
          <w:numId w:val="44"/>
        </w:numPr>
        <w:spacing w:lineRule="auto"/>
      </w:pPr>
      <w:r>
        <w:rPr/>
        <w:t xml:space="preserve">Expansion in direct-to-retail channels where collection periods may be longer.</w:t>
      </w:r>
    </w:p>
    <w:p>
      <w:pPr>
        <w:spacing w:after="210" w:lineRule="auto"/>
      </w:pPr>
      <w:r>
        <w:rPr>
          <w:b/>
        </w:rPr>
        <w:t xml:space="preserve">Benchmark:</w:t>
      </w:r>
      <w:r>
        <w:rPr>
          <w:rFonts w:eastAsia="Georgia" w:cs="Georgia" w:ascii="Georgia" w:hAnsi="Georgia"/>
        </w:rPr>
        <w:t xml:space="preserve"> FMCG industry typically operates with 25–50 days DSO; HUL's 21.1 days is </w:t>
      </w:r>
      <w:r>
        <w:rPr>
          <w:b/>
        </w:rPr>
        <w:t xml:space="preserve">exceptionally good</w:t>
      </w:r>
      <w:r>
        <w:rPr/>
        <w:t xml:space="preserve"> and indicates strong collection efficiency.</w:t>
      </w:r>
    </w:p>
    <w:p>
      <w:pPr>
        <w:spacing w:line="271" w:before="240" w:lineRule="auto"/>
      </w:pPr>
      <w:bookmarkStart w:id="70" w:name="bm_7_3_payables_turnover_and_days_72ca11"/>
      <w:r>
        <w:rPr>
          <w:b/>
          <w:sz w:val="33"/>
        </w:rPr>
        <w:t xml:space="preserve">7.3 Payables Turnover and Days Payable Outstanding (DPO)</w:t>
      </w:r>
      <w:bookmarkEnd w:id="70"/>
    </w:p>
    <w:p>
      <w:pPr>
        <w:spacing w:line="271" w:before="240" w:lineRule="auto"/>
      </w:pPr>
      <w:bookmarkStart w:id="71" w:name="bm_7_3_1_payables_turnover_calculation"/>
      <w:r>
        <w:rPr>
          <w:b/>
          <w:sz w:val="28"/>
        </w:rPr>
        <w:t xml:space="preserve">7.3.1 Payables Turnover Calculation</w:t>
      </w:r>
      <w:bookmarkEnd w:id="71"/>
    </w:p>
    <w:p>
      <w:pPr>
        <w:spacing w:after="210" w:lineRule="auto"/>
      </w:pPr>
      <w:r>
        <w:rPr>
          <w:b/>
        </w:rPr>
        <w:t xml:space="preserve">Formula:</w:t>
      </w:r>
    </w:p>
    <w:p>
      <w:pPr>
        <w:spacing w:after="210" w:lineRule="auto"/>
      </w:pPr>
      <m:oMathPara>
        <m:oMath>
          <m:r>
            <m:rPr>
              <m:nor/>
            </m:rPr>
            <m:t>Payables Turnover</m:t>
          </m:r>
          <m:r>
            <m:rPr>
              <m:sty m:val="p"/>
            </m:rPr>
            <m:t>=</m:t>
          </m:r>
          <m:f>
            <m:fPr>
              <m:ctrlPr>
                <w:rPr>
                  <w:rFonts w:ascii="Cambria Math" w:hAnsi="Cambria Math"/>
                </w:rPr>
              </m:ctrlPr>
            </m:fPr>
            <m:num>
              <m:r>
                <m:rPr>
                  <m:nor/>
                </m:rPr>
                <m:t>Cost of Goods Sold (COGS)</m:t>
              </m:r>
            </m:num>
            <m:den>
              <m:r>
                <m:rPr>
                  <m:nor/>
                </m:rPr>
                <m:t>Average Trade Payables</m:t>
              </m:r>
            </m:den>
          </m:f>
        </m:oMath>
      </m:oMathPara>
    </w:p>
    <w:p>
      <w:pPr>
        <w:spacing w:after="210" w:lineRule="auto"/>
      </w:pPr>
      <m:oMathPara>
        <m:oMath>
          <m:r>
            <m:rPr>
              <m:nor/>
            </m:rPr>
            <m:t>Days Payable Outstanding (DPO)</m:t>
          </m:r>
          <m:r>
            <m:rPr>
              <m:sty m:val="p"/>
            </m:rPr>
            <m:t>=</m:t>
          </m:r>
          <m:f>
            <m:fPr>
              <m:ctrlPr>
                <w:rPr>
                  <w:rFonts w:ascii="Cambria Math" w:hAnsi="Cambria Math"/>
                </w:rPr>
              </m:ctrlPr>
            </m:fPr>
            <m:num>
              <m:r>
                <m:rPr>
                  <m:sty m:val="p"/>
                </m:rPr>
                <m:t>365</m:t>
              </m:r>
            </m:num>
            <m:den>
              <m:r>
                <m:rPr>
                  <m:nor/>
                </m:rPr>
                <m:t>Payables Turnover</m:t>
              </m:r>
            </m:den>
          </m:f>
        </m:oMath>
      </m:oMathPara>
    </w:p>
    <w:p>
      <w:pPr>
        <w:spacing w:line="271" w:before="240" w:lineRule="auto"/>
      </w:pPr>
      <w:bookmarkStart w:id="72" w:name="bm_7_3_2_payables_turnover_ratio_5_year"/>
      <w:r>
        <w:rPr>
          <w:b/>
          <w:sz w:val="28"/>
        </w:rPr>
        <w:t xml:space="preserve">7.3.2 Payables Turnover Ratio (5-Year)</w:t>
      </w:r>
      <w:bookmarkEnd w:id="72"/>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COGS (₹ Cr)</w:t>
            </w:r>
          </w:p>
        </w:tc>
        <w:tc>
          <w:tcPr>
            <w:tcBorders>
              <w:right w:val="single" w:sz="8" w:space="0" w:color="000000"/>
            </w:tcBorders>
            <w:vAlign w:val="center"/>
          </w:tcPr>
          <w:p>
            <w:pPr>
              <w:spacing w:lineRule="auto"/>
              <w:jc w:val="right"/>
            </w:pPr>
            <w:r>
              <w:rPr/>
              <w:t xml:space="preserve">18500</w:t>
            </w:r>
          </w:p>
        </w:tc>
        <w:tc>
          <w:tcPr>
            <w:tcBorders>
              <w:right w:val="single" w:sz="8" w:space="0" w:color="000000"/>
            </w:tcBorders>
            <w:vAlign w:val="center"/>
          </w:tcPr>
          <w:p>
            <w:pPr>
              <w:spacing w:lineRule="auto"/>
              <w:jc w:val="right"/>
            </w:pPr>
            <w:r>
              <w:rPr/>
              <w:t xml:space="preserve">20200</w:t>
            </w:r>
          </w:p>
        </w:tc>
        <w:tc>
          <w:tcPr>
            <w:tcBorders>
              <w:right w:val="single" w:sz="8" w:space="0" w:color="000000"/>
            </w:tcBorders>
            <w:vAlign w:val="center"/>
          </w:tcPr>
          <w:p>
            <w:pPr>
              <w:spacing w:lineRule="auto"/>
              <w:jc w:val="right"/>
            </w:pPr>
            <w:r>
              <w:rPr/>
              <w:t xml:space="preserve">21600</w:t>
            </w:r>
          </w:p>
        </w:tc>
        <w:tc>
          <w:tcPr>
            <w:tcBorders>
              <w:right w:val="single" w:sz="8" w:space="0" w:color="000000"/>
            </w:tcBorders>
            <w:vAlign w:val="center"/>
          </w:tcPr>
          <w:p>
            <w:pPr>
              <w:spacing w:lineRule="auto"/>
              <w:jc w:val="right"/>
            </w:pPr>
            <w:r>
              <w:rPr/>
              <w:t xml:space="preserve">22800</w:t>
            </w:r>
          </w:p>
        </w:tc>
        <w:tc>
          <w:tcPr>
            <w:tcBorders>
              <w:right w:val="single" w:sz="8" w:space="0" w:color="000000"/>
            </w:tcBorders>
            <w:vAlign w:val="center"/>
          </w:tcPr>
          <w:p>
            <w:pPr>
              <w:spacing w:lineRule="auto"/>
              <w:jc w:val="right"/>
            </w:pPr>
            <w:r>
              <w:rPr/>
              <w:t xml:space="preserve">23500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Beg. Payables (₹ Cr)</w:t>
            </w:r>
          </w:p>
        </w:tc>
        <w:tc>
          <w:tcPr>
            <w:tcBorders>
              <w:right w:val="single" w:sz="8" w:space="0" w:color="000000"/>
            </w:tcBorders>
            <w:vAlign w:val="center"/>
          </w:tcPr>
          <w:p>
            <w:pPr>
              <w:spacing w:lineRule="auto"/>
              <w:jc w:val="right"/>
            </w:pPr>
            <w:r>
              <w:rPr/>
              <w:t xml:space="preserve">-</w:t>
            </w:r>
          </w:p>
        </w:tc>
        <w:tc>
          <w:tcPr>
            <w:tcBorders>
              <w:right w:val="single" w:sz="8" w:space="0" w:color="000000"/>
            </w:tcBorders>
            <w:vAlign w:val="center"/>
          </w:tcPr>
          <w:p>
            <w:pPr>
              <w:spacing w:lineRule="auto"/>
              <w:jc w:val="right"/>
            </w:pPr>
            <w:r>
              <w:rPr/>
              <w:t xml:space="preserve">2500</w:t>
            </w:r>
          </w:p>
        </w:tc>
        <w:tc>
          <w:tcPr>
            <w:tcBorders>
              <w:right w:val="single" w:sz="8" w:space="0" w:color="000000"/>
            </w:tcBorders>
            <w:vAlign w:val="center"/>
          </w:tcPr>
          <w:p>
            <w:pPr>
              <w:spacing w:lineRule="auto"/>
              <w:jc w:val="right"/>
            </w:pPr>
            <w:r>
              <w:rPr/>
              <w:t xml:space="preserve">2800</w:t>
            </w:r>
          </w:p>
        </w:tc>
        <w:tc>
          <w:tcPr>
            <w:tcBorders>
              <w:right w:val="single" w:sz="8" w:space="0" w:color="000000"/>
            </w:tcBorders>
            <w:vAlign w:val="center"/>
          </w:tcPr>
          <w:p>
            <w:pPr>
              <w:spacing w:lineRule="auto"/>
              <w:jc w:val="right"/>
            </w:pPr>
            <w:r>
              <w:rPr/>
              <w:t xml:space="preserve">3100</w:t>
            </w:r>
          </w:p>
        </w:tc>
        <w:tc>
          <w:tcPr>
            <w:tcBorders>
              <w:right w:val="single" w:sz="8" w:space="0" w:color="000000"/>
            </w:tcBorders>
            <w:vAlign w:val="center"/>
          </w:tcPr>
          <w:p>
            <w:pPr>
              <w:spacing w:lineRule="auto"/>
              <w:jc w:val="right"/>
            </w:pPr>
            <w:r>
              <w:rPr/>
              <w:t xml:space="preserve">3400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End. Payables (₹ Cr)</w:t>
            </w:r>
          </w:p>
        </w:tc>
        <w:tc>
          <w:tcPr>
            <w:tcBorders>
              <w:bottom w:val="single" w:sz="8" w:space="0" w:color="000000"/>
              <w:right w:val="single" w:sz="8" w:space="0" w:color="000000"/>
            </w:tcBorders>
            <w:vAlign w:val="center"/>
          </w:tcPr>
          <w:p>
            <w:pPr>
              <w:spacing w:lineRule="auto"/>
              <w:jc w:val="right"/>
            </w:pPr>
            <w:r>
              <w:rPr/>
              <w:t xml:space="preserve">2500</w:t>
            </w:r>
          </w:p>
        </w:tc>
        <w:tc>
          <w:tcPr>
            <w:tcBorders>
              <w:bottom w:val="single" w:sz="8" w:space="0" w:color="000000"/>
              <w:right w:val="single" w:sz="8" w:space="0" w:color="000000"/>
            </w:tcBorders>
            <w:vAlign w:val="center"/>
          </w:tcPr>
          <w:p>
            <w:pPr>
              <w:spacing w:lineRule="auto"/>
              <w:jc w:val="right"/>
            </w:pPr>
            <w:r>
              <w:rPr/>
              <w:t xml:space="preserve">2800</w:t>
            </w:r>
          </w:p>
        </w:tc>
        <w:tc>
          <w:tcPr>
            <w:tcBorders>
              <w:bottom w:val="single" w:sz="8" w:space="0" w:color="000000"/>
              <w:right w:val="single" w:sz="8" w:space="0" w:color="000000"/>
            </w:tcBorders>
            <w:vAlign w:val="center"/>
          </w:tcPr>
          <w:p>
            <w:pPr>
              <w:spacing w:lineRule="auto"/>
              <w:jc w:val="right"/>
            </w:pPr>
            <w:r>
              <w:rPr/>
              <w:t xml:space="preserve">3100</w:t>
            </w:r>
          </w:p>
        </w:tc>
        <w:tc>
          <w:tcPr>
            <w:tcBorders>
              <w:bottom w:val="single" w:sz="8" w:space="0" w:color="000000"/>
              <w:right w:val="single" w:sz="8" w:space="0" w:color="000000"/>
            </w:tcBorders>
            <w:vAlign w:val="center"/>
          </w:tcPr>
          <w:p>
            <w:pPr>
              <w:spacing w:lineRule="auto"/>
              <w:jc w:val="right"/>
            </w:pPr>
            <w:r>
              <w:rPr/>
              <w:t xml:space="preserve">3400</w:t>
            </w:r>
          </w:p>
        </w:tc>
        <w:tc>
          <w:tcPr>
            <w:tcBorders>
              <w:bottom w:val="single" w:sz="8" w:space="0" w:color="000000"/>
              <w:right w:val="single" w:sz="8" w:space="0" w:color="000000"/>
            </w:tcBorders>
            <w:vAlign w:val="center"/>
          </w:tcPr>
          <w:p>
            <w:pPr>
              <w:spacing w:lineRule="auto"/>
              <w:jc w:val="right"/>
            </w:pPr>
            <w:r>
              <w:rPr/>
              <w:t xml:space="preserve">3700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Avg. Payables (₹ Cr)</w:t>
            </w:r>
          </w:p>
        </w:tc>
        <w:tc>
          <w:tcPr>
            <w:tcBorders>
              <w:bottom w:val="single" w:sz="8" w:space="0" w:color="000000"/>
              <w:right w:val="single" w:sz="8" w:space="0" w:color="000000"/>
            </w:tcBorders>
            <w:vAlign w:val="center"/>
          </w:tcPr>
          <w:p>
            <w:pPr>
              <w:spacing w:lineRule="auto"/>
              <w:jc w:val="right"/>
            </w:pPr>
            <w:r>
              <w:rPr/>
              <w:t xml:space="preserve">2500</w:t>
            </w:r>
          </w:p>
        </w:tc>
        <w:tc>
          <w:tcPr>
            <w:tcBorders>
              <w:bottom w:val="single" w:sz="8" w:space="0" w:color="000000"/>
              <w:right w:val="single" w:sz="8" w:space="0" w:color="000000"/>
            </w:tcBorders>
            <w:vAlign w:val="center"/>
          </w:tcPr>
          <w:p>
            <w:pPr>
              <w:spacing w:lineRule="auto"/>
              <w:jc w:val="right"/>
            </w:pPr>
            <w:r>
              <w:rPr/>
              <w:t xml:space="preserve">2650</w:t>
            </w:r>
          </w:p>
        </w:tc>
        <w:tc>
          <w:tcPr>
            <w:tcBorders>
              <w:bottom w:val="single" w:sz="8" w:space="0" w:color="000000"/>
              <w:right w:val="single" w:sz="8" w:space="0" w:color="000000"/>
            </w:tcBorders>
            <w:vAlign w:val="center"/>
          </w:tcPr>
          <w:p>
            <w:pPr>
              <w:spacing w:lineRule="auto"/>
              <w:jc w:val="right"/>
            </w:pPr>
            <w:r>
              <w:rPr/>
              <w:t xml:space="preserve">2950</w:t>
            </w:r>
          </w:p>
        </w:tc>
        <w:tc>
          <w:tcPr>
            <w:tcBorders>
              <w:bottom w:val="single" w:sz="8" w:space="0" w:color="000000"/>
              <w:right w:val="single" w:sz="8" w:space="0" w:color="000000"/>
            </w:tcBorders>
            <w:vAlign w:val="center"/>
          </w:tcPr>
          <w:p>
            <w:pPr>
              <w:spacing w:lineRule="auto"/>
              <w:jc w:val="right"/>
            </w:pPr>
            <w:r>
              <w:rPr/>
              <w:t xml:space="preserve">3250</w:t>
            </w:r>
          </w:p>
        </w:tc>
        <w:tc>
          <w:tcPr>
            <w:tcBorders>
              <w:bottom w:val="single" w:sz="8" w:space="0" w:color="000000"/>
              <w:right w:val="single" w:sz="8" w:space="0" w:color="000000"/>
            </w:tcBorders>
            <w:vAlign w:val="center"/>
          </w:tcPr>
          <w:p>
            <w:pPr>
              <w:spacing w:lineRule="auto"/>
              <w:jc w:val="right"/>
            </w:pPr>
            <w:r>
              <w:rPr/>
              <w:t xml:space="preserve">3550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Payables Turnover</w:t>
            </w:r>
          </w:p>
        </w:tc>
        <w:tc>
          <w:tcPr>
            <w:tcBorders>
              <w:bottom w:val="single" w:sz="8" w:space="0" w:color="000000"/>
              <w:right w:val="single" w:sz="8" w:space="0" w:color="000000"/>
            </w:tcBorders>
            <w:vAlign w:val="center"/>
          </w:tcPr>
          <w:p>
            <w:pPr>
              <w:spacing w:lineRule="auto"/>
              <w:jc w:val="right"/>
            </w:pPr>
            <w:r>
              <w:rPr>
                <w:b/>
              </w:rPr>
              <w:t xml:space="preserve">7.40</w:t>
            </w:r>
          </w:p>
        </w:tc>
        <w:tc>
          <w:tcPr>
            <w:tcBorders>
              <w:bottom w:val="single" w:sz="8" w:space="0" w:color="000000"/>
              <w:right w:val="single" w:sz="8" w:space="0" w:color="000000"/>
            </w:tcBorders>
            <w:vAlign w:val="center"/>
          </w:tcPr>
          <w:p>
            <w:pPr>
              <w:spacing w:lineRule="auto"/>
              <w:jc w:val="right"/>
            </w:pPr>
            <w:r>
              <w:rPr>
                <w:b/>
              </w:rPr>
              <w:t xml:space="preserve">7.62</w:t>
            </w:r>
          </w:p>
        </w:tc>
        <w:tc>
          <w:tcPr>
            <w:tcBorders>
              <w:bottom w:val="single" w:sz="8" w:space="0" w:color="000000"/>
              <w:right w:val="single" w:sz="8" w:space="0" w:color="000000"/>
            </w:tcBorders>
            <w:vAlign w:val="center"/>
          </w:tcPr>
          <w:p>
            <w:pPr>
              <w:spacing w:lineRule="auto"/>
              <w:jc w:val="right"/>
            </w:pPr>
            <w:r>
              <w:rPr>
                <w:b/>
              </w:rPr>
              <w:t xml:space="preserve">7.32</w:t>
            </w:r>
          </w:p>
        </w:tc>
        <w:tc>
          <w:tcPr>
            <w:tcBorders>
              <w:bottom w:val="single" w:sz="8" w:space="0" w:color="000000"/>
              <w:right w:val="single" w:sz="8" w:space="0" w:color="000000"/>
            </w:tcBorders>
            <w:vAlign w:val="center"/>
          </w:tcPr>
          <w:p>
            <w:pPr>
              <w:spacing w:lineRule="auto"/>
              <w:jc w:val="right"/>
            </w:pPr>
            <w:r>
              <w:rPr>
                <w:b/>
              </w:rPr>
              <w:t xml:space="preserve">7.02</w:t>
            </w:r>
          </w:p>
        </w:tc>
        <w:tc>
          <w:tcPr>
            <w:tcBorders>
              <w:bottom w:val="single" w:sz="8" w:space="0" w:color="000000"/>
              <w:right w:val="single" w:sz="8" w:space="0" w:color="000000"/>
            </w:tcBorders>
            <w:vAlign w:val="center"/>
          </w:tcPr>
          <w:p>
            <w:pPr>
              <w:spacing w:lineRule="auto"/>
              <w:jc w:val="right"/>
            </w:pPr>
            <w:r>
              <w:rPr>
                <w:b/>
              </w:rPr>
              <w:t xml:space="preserve">6.62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DPO (Days)</w:t>
            </w:r>
          </w:p>
        </w:tc>
        <w:tc>
          <w:tcPr>
            <w:tcBorders>
              <w:bottom w:val="single" w:sz="8" w:space="0" w:color="000000"/>
              <w:right w:val="single" w:sz="8" w:space="0" w:color="000000"/>
            </w:tcBorders>
            <w:vAlign w:val="center"/>
          </w:tcPr>
          <w:p>
            <w:pPr>
              <w:spacing w:lineRule="auto"/>
              <w:jc w:val="right"/>
            </w:pPr>
            <w:r>
              <w:rPr>
                <w:b/>
              </w:rPr>
              <w:t xml:space="preserve">49.3</w:t>
            </w:r>
          </w:p>
        </w:tc>
        <w:tc>
          <w:tcPr>
            <w:tcBorders>
              <w:bottom w:val="single" w:sz="8" w:space="0" w:color="000000"/>
              <w:right w:val="single" w:sz="8" w:space="0" w:color="000000"/>
            </w:tcBorders>
            <w:vAlign w:val="center"/>
          </w:tcPr>
          <w:p>
            <w:pPr>
              <w:spacing w:lineRule="auto"/>
              <w:jc w:val="right"/>
            </w:pPr>
            <w:r>
              <w:rPr>
                <w:b/>
              </w:rPr>
              <w:t xml:space="preserve">47.9</w:t>
            </w:r>
          </w:p>
        </w:tc>
        <w:tc>
          <w:tcPr>
            <w:tcBorders>
              <w:bottom w:val="single" w:sz="8" w:space="0" w:color="000000"/>
              <w:right w:val="single" w:sz="8" w:space="0" w:color="000000"/>
            </w:tcBorders>
            <w:vAlign w:val="center"/>
          </w:tcPr>
          <w:p>
            <w:pPr>
              <w:spacing w:lineRule="auto"/>
              <w:jc w:val="right"/>
            </w:pPr>
            <w:r>
              <w:rPr>
                <w:b/>
              </w:rPr>
              <w:t xml:space="preserve">49.9</w:t>
            </w:r>
          </w:p>
        </w:tc>
        <w:tc>
          <w:tcPr>
            <w:tcBorders>
              <w:bottom w:val="single" w:sz="8" w:space="0" w:color="000000"/>
              <w:right w:val="single" w:sz="8" w:space="0" w:color="000000"/>
            </w:tcBorders>
            <w:vAlign w:val="center"/>
          </w:tcPr>
          <w:p>
            <w:pPr>
              <w:spacing w:lineRule="auto"/>
              <w:jc w:val="right"/>
            </w:pPr>
            <w:r>
              <w:rPr>
                <w:b/>
              </w:rPr>
              <w:t xml:space="preserve">52.0</w:t>
            </w:r>
          </w:p>
        </w:tc>
        <w:tc>
          <w:tcPr>
            <w:tcBorders>
              <w:bottom w:val="single" w:sz="8" w:space="0" w:color="000000"/>
              <w:right w:val="single" w:sz="8" w:space="0" w:color="000000"/>
            </w:tcBorders>
            <w:vAlign w:val="center"/>
          </w:tcPr>
          <w:p>
            <w:pPr>
              <w:spacing w:lineRule="auto"/>
              <w:jc w:val="right"/>
            </w:pPr>
            <w:r>
              <w:rPr>
                <w:b/>
              </w:rPr>
              <w:t xml:space="preserve">55.1</w:t>
            </w:r>
          </w:p>
        </w:tc>
      </w:tr>
    </w:tbl>
    <w:p>
      <w:pPr>
        <w:spacing w:lineRule="auto"/>
      </w:pPr>
    </w:p>
    <w:p>
      <w:pPr>
        <w:spacing w:lineRule="auto"/>
      </w:pPr>
      <w:r>
        <w:rPr/>
        <w:t xml:space="preserve">Table 15: Payables Turnover and DPO Trend</w:t>
      </w:r>
    </w:p>
    <w:p>
      <w:pPr>
        <w:spacing w:line="271" w:before="240" w:lineRule="auto"/>
      </w:pPr>
      <w:bookmarkStart w:id="73" w:name="bm_7_3_3_interpretation"/>
      <w:r>
        <w:rPr>
          <w:b/>
          <w:sz w:val="28"/>
        </w:rPr>
        <w:t xml:space="preserve">7.3.3 Interpretation</w:t>
      </w:r>
      <w:bookmarkEnd w:id="73"/>
    </w:p>
    <w:p>
      <w:pPr>
        <w:spacing w:after="210" w:lineRule="auto"/>
      </w:pPr>
      <w:r>
        <w:rPr>
          <w:b/>
        </w:rPr>
        <w:t xml:space="preserve">Key Findings:</w:t>
      </w:r>
    </w:p>
    <w:p>
      <w:pPr>
        <w:numPr>
          <w:ilvl w:val="0"/>
          <w:numId w:val="45"/>
        </w:numPr>
        <w:spacing w:after="210" w:lineRule="auto"/>
      </w:pPr>
      <w:r>
        <w:rPr>
          <w:b/>
        </w:rPr>
        <w:t xml:space="preserve">Payables Turnover:</w:t>
      </w:r>
      <w:r>
        <w:rPr/>
        <w:t xml:space="preserve"> Declining from 7.62 times in FY2022 to 6.62 times in FY2025.</w:t>
      </w:r>
    </w:p>
    <w:p>
      <w:pPr>
        <w:numPr>
          <w:ilvl w:val="1"/>
          <w:numId w:val="45"/>
        </w:numPr>
        <w:spacing w:lineRule="auto"/>
      </w:pPr>
      <w:r>
        <w:rPr/>
        <w:t xml:space="preserve">Indicates HUL is taking </w:t>
      </w:r>
      <w:r>
        <w:rPr>
          <w:b/>
        </w:rPr>
        <w:t xml:space="preserve">longer to pay its suppliers</w:t>
      </w:r>
      <w:r>
        <w:rPr/>
        <w:t xml:space="preserve">.</w:t>
      </w:r>
    </w:p>
    <w:p>
      <w:pPr>
        <w:numPr>
          <w:ilvl w:val="0"/>
          <w:numId w:val="45"/>
        </w:numPr>
        <w:spacing w:after="210" w:lineRule="auto"/>
      </w:pPr>
      <w:r>
        <w:rPr>
          <w:b/>
        </w:rPr>
        <w:t xml:space="preserve">DPO Trend:</w:t>
      </w:r>
      <w:r>
        <w:rPr/>
        <w:t xml:space="preserve"> Increasing from 47.9 days in FY2022 to 55.1 days in FY2025.</w:t>
      </w:r>
    </w:p>
    <w:p>
      <w:pPr>
        <w:numPr>
          <w:ilvl w:val="1"/>
          <w:numId w:val="45"/>
        </w:numPr>
        <w:spacing w:lineRule="auto"/>
      </w:pPr>
      <w:r>
        <w:rPr/>
        <w:t xml:space="preserve">HUL now takes approximately </w:t>
      </w:r>
      <w:r>
        <w:rPr>
          <w:b/>
        </w:rPr>
        <w:t xml:space="preserve">55 days</w:t>
      </w:r>
      <w:r>
        <w:rPr/>
        <w:t xml:space="preserve"> to pay suppliers.</w:t>
      </w:r>
    </w:p>
    <w:p>
      <w:pPr>
        <w:numPr>
          <w:ilvl w:val="1"/>
          <w:numId w:val="45"/>
        </w:numPr>
        <w:spacing w:lineRule="auto"/>
      </w:pPr>
      <w:r>
        <w:rPr/>
        <w:t xml:space="preserve">This is a </w:t>
      </w:r>
      <w:r>
        <w:rPr>
          <w:b/>
        </w:rPr>
        <w:t xml:space="preserve">significant advantage</w:t>
      </w:r>
      <w:r>
        <w:rPr/>
        <w:t xml:space="preserve">, as suppliers effectively finance HUL's operations for 55 days before payment.</w:t>
      </w:r>
    </w:p>
    <w:p>
      <w:pPr>
        <w:numPr>
          <w:ilvl w:val="0"/>
          <w:numId w:val="45"/>
        </w:numPr>
        <w:spacing w:after="210" w:lineRule="auto"/>
      </w:pPr>
      <w:r>
        <w:rPr>
          <w:b/>
        </w:rPr>
        <w:t xml:space="preserve">Why the Increase?</w:t>
      </w:r>
    </w:p>
    <w:p>
      <w:pPr>
        <w:numPr>
          <w:ilvl w:val="1"/>
          <w:numId w:val="45"/>
        </w:numPr>
        <w:spacing w:lineRule="auto"/>
      </w:pPr>
      <w:r>
        <w:rPr>
          <w:b/>
        </w:rPr>
        <w:t xml:space="preserve">Improved Negotiating Power:</w:t>
      </w:r>
      <w:r>
        <w:rPr/>
        <w:t xml:space="preserve"> HUL's size and market dominance enable extended payment terms.</w:t>
      </w:r>
    </w:p>
    <w:p>
      <w:pPr>
        <w:numPr>
          <w:ilvl w:val="1"/>
          <w:numId w:val="45"/>
        </w:numPr>
        <w:spacing w:lineRule="auto"/>
      </w:pPr>
      <w:r>
        <w:rPr>
          <w:b/>
        </w:rPr>
        <w:t xml:space="preserve">Strategic Leverage:</w:t>
      </w:r>
      <w:r>
        <w:rPr/>
        <w:t xml:space="preserve"> By extending DPO, HUL optimizes cash flow without straining supplier relationships.</w:t>
      </w:r>
    </w:p>
    <w:p>
      <w:pPr>
        <w:numPr>
          <w:ilvl w:val="1"/>
          <w:numId w:val="45"/>
        </w:numPr>
        <w:spacing w:lineRule="auto"/>
      </w:pPr>
      <w:r>
        <w:rPr>
          <w:b/>
        </w:rPr>
        <w:t xml:space="preserve">Supply Chain Scale:</w:t>
      </w:r>
      <w:r>
        <w:rPr/>
        <w:t xml:space="preserve"> Larger volume commitments justify longer terms.</w:t>
      </w:r>
    </w:p>
    <w:p>
      <w:pPr>
        <w:spacing w:after="210" w:lineRule="auto"/>
      </w:pPr>
      <w:r>
        <w:rPr>
          <w:b/>
        </w:rPr>
        <w:t xml:space="preserve">Benchmark:</w:t>
      </w:r>
      <w:r>
        <w:rPr>
          <w:rFonts w:eastAsia="Georgia" w:cs="Georgia" w:ascii="Georgia" w:hAnsi="Georgia"/>
        </w:rPr>
        <w:t xml:space="preserve"> FMCG companies typically operate with 30–60 days DPO; HUL's 55.1 days is </w:t>
      </w:r>
      <w:r>
        <w:rPr>
          <w:b/>
        </w:rPr>
        <w:t xml:space="preserve">optimal</w:t>
      </w:r>
      <w:r>
        <w:rPr/>
        <w:t xml:space="preserve"> and represents a key competitive advantage.</w:t>
      </w:r>
    </w:p>
    <w:p>
      <w:pPr>
        <w:spacing w:line="271" w:before="240" w:lineRule="auto"/>
      </w:pPr>
      <w:bookmarkStart w:id="74" w:name="bm_7_4_summary_of_efficiency_metrics"/>
      <w:r>
        <w:rPr>
          <w:b/>
          <w:sz w:val="33"/>
        </w:rPr>
        <w:t xml:space="preserve">7.4 Summary of Efficiency Metrics</w:t>
      </w:r>
      <w:bookmarkEnd w:id="74"/>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Metric</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FMCG Benchmark</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Assessment</w:t>
            </w:r>
          </w:p>
        </w:tc>
      </w:tr>
      <w:tr>
        <w:trPr>
          <w:cantSplit/>
        </w:trPr>
        <w:tc>
          <w:tcPr>
            <w:tcBorders>
              <w:left w:val="single" w:sz="8" w:space="0" w:color="000000"/>
              <w:right w:val="single" w:sz="8" w:space="0" w:color="000000"/>
            </w:tcBorders>
            <w:vAlign w:val="center"/>
          </w:tcPr>
          <w:p>
            <w:pPr>
              <w:spacing w:lineRule="auto"/>
              <w:jc w:val="left"/>
            </w:pPr>
            <w:r>
              <w:rPr/>
              <w:t xml:space="preserve">Inventory Turnover</w:t>
            </w:r>
          </w:p>
        </w:tc>
        <w:tc>
          <w:tcPr>
            <w:tcBorders>
              <w:right w:val="single" w:sz="8" w:space="0" w:color="000000"/>
            </w:tcBorders>
            <w:vAlign w:val="center"/>
          </w:tcPr>
          <w:p>
            <w:pPr>
              <w:spacing w:lineRule="auto"/>
              <w:jc w:val="right"/>
            </w:pPr>
            <w:r>
              <w:rPr/>
              <w:t xml:space="preserve">11.90x</w:t>
            </w:r>
          </w:p>
        </w:tc>
        <w:tc>
          <w:tcPr>
            <w:tcBorders>
              <w:right w:val="single" w:sz="8" w:space="0" w:color="000000"/>
            </w:tcBorders>
            <w:vAlign w:val="center"/>
          </w:tcPr>
          <w:p>
            <w:pPr>
              <w:spacing w:lineRule="auto"/>
              <w:jc w:val="right"/>
            </w:pPr>
            <w:r>
              <w:rPr>
                <w:rFonts w:eastAsia="Georgia" w:cs="Georgia" w:ascii="Georgia" w:hAnsi="Georgia"/>
              </w:rPr>
              <w:t xml:space="preserve">8–10x</w:t>
            </w:r>
          </w:p>
        </w:tc>
        <w:tc>
          <w:tcPr>
            <w:tcBorders>
              <w:right w:val="single" w:sz="8" w:space="0" w:color="000000"/>
            </w:tcBorders>
            <w:vAlign w:val="center"/>
          </w:tcPr>
          <w:p>
            <w:pPr>
              <w:spacing w:lineRule="auto"/>
              <w:jc w:val="right"/>
            </w:pPr>
            <w:r>
              <w:rPr/>
              <w:t xml:space="preserve">Above Average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DIO</w:t>
            </w:r>
          </w:p>
        </w:tc>
        <w:tc>
          <w:tcPr>
            <w:tcBorders>
              <w:bottom w:val="single" w:sz="8" w:space="0" w:color="000000"/>
              <w:right w:val="single" w:sz="8" w:space="0" w:color="000000"/>
            </w:tcBorders>
            <w:vAlign w:val="center"/>
          </w:tcPr>
          <w:p>
            <w:pPr>
              <w:spacing w:lineRule="auto"/>
              <w:jc w:val="right"/>
            </w:pPr>
            <w:r>
              <w:rPr/>
              <w:t xml:space="preserve">30.7 days</w:t>
            </w:r>
          </w:p>
        </w:tc>
        <w:tc>
          <w:tcPr>
            <w:tcBorders>
              <w:bottom w:val="single" w:sz="8" w:space="0" w:color="000000"/>
              <w:right w:val="single" w:sz="8" w:space="0" w:color="000000"/>
            </w:tcBorders>
            <w:vAlign w:val="center"/>
          </w:tcPr>
          <w:p>
            <w:pPr>
              <w:spacing w:lineRule="auto"/>
              <w:jc w:val="right"/>
            </w:pPr>
            <w:r>
              <w:rPr>
                <w:rFonts w:eastAsia="Georgia" w:cs="Georgia" w:ascii="Georgia" w:hAnsi="Georgia"/>
              </w:rPr>
              <w:t xml:space="preserve">25–40 days</w:t>
            </w:r>
          </w:p>
        </w:tc>
        <w:tc>
          <w:tcPr>
            <w:tcBorders>
              <w:bottom w:val="single" w:sz="8" w:space="0" w:color="000000"/>
              <w:right w:val="single" w:sz="8" w:space="0" w:color="000000"/>
            </w:tcBorders>
            <w:vAlign w:val="center"/>
          </w:tcPr>
          <w:p>
            <w:pPr>
              <w:spacing w:lineRule="auto"/>
              <w:jc w:val="right"/>
            </w:pPr>
            <w:r>
              <w:rPr/>
              <w:t xml:space="preserve">Optimal</w:t>
            </w:r>
          </w:p>
        </w:tc>
      </w:tr>
      <w:tr>
        <w:trPr>
          <w:cantSplit/>
        </w:trPr>
        <w:tc>
          <w:tcPr>
            <w:tcBorders>
              <w:left w:val="single" w:sz="8" w:space="0" w:color="000000"/>
              <w:right w:val="single" w:sz="8" w:space="0" w:color="000000"/>
            </w:tcBorders>
            <w:vAlign w:val="center"/>
          </w:tcPr>
          <w:p>
            <w:pPr>
              <w:spacing w:lineRule="auto"/>
              <w:jc w:val="left"/>
            </w:pPr>
            <w:r>
              <w:rPr/>
              <w:t xml:space="preserve">Receivables Turnover</w:t>
            </w:r>
          </w:p>
        </w:tc>
        <w:tc>
          <w:tcPr>
            <w:tcBorders>
              <w:right w:val="single" w:sz="8" w:space="0" w:color="000000"/>
            </w:tcBorders>
            <w:vAlign w:val="center"/>
          </w:tcPr>
          <w:p>
            <w:pPr>
              <w:spacing w:lineRule="auto"/>
              <w:jc w:val="right"/>
            </w:pPr>
            <w:r>
              <w:rPr/>
              <w:t xml:space="preserve">17.30x</w:t>
            </w:r>
          </w:p>
        </w:tc>
        <w:tc>
          <w:tcPr>
            <w:tcBorders>
              <w:right w:val="single" w:sz="8" w:space="0" w:color="000000"/>
            </w:tcBorders>
            <w:vAlign w:val="center"/>
          </w:tcPr>
          <w:p>
            <w:pPr>
              <w:spacing w:lineRule="auto"/>
              <w:jc w:val="right"/>
            </w:pPr>
            <w:r>
              <w:rPr>
                <w:rFonts w:eastAsia="Georgia" w:cs="Georgia" w:ascii="Georgia" w:hAnsi="Georgia"/>
              </w:rPr>
              <w:t xml:space="preserve">8–12x</w:t>
            </w:r>
          </w:p>
        </w:tc>
        <w:tc>
          <w:tcPr>
            <w:tcBorders>
              <w:right w:val="single" w:sz="8" w:space="0" w:color="000000"/>
            </w:tcBorders>
            <w:vAlign w:val="center"/>
          </w:tcPr>
          <w:p>
            <w:pPr>
              <w:spacing w:lineRule="auto"/>
              <w:jc w:val="right"/>
            </w:pPr>
            <w:r>
              <w:rPr/>
              <w:t xml:space="preserve">Above Average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DSO</w:t>
            </w:r>
          </w:p>
        </w:tc>
        <w:tc>
          <w:tcPr>
            <w:tcBorders>
              <w:bottom w:val="single" w:sz="8" w:space="0" w:color="000000"/>
              <w:right w:val="single" w:sz="8" w:space="0" w:color="000000"/>
            </w:tcBorders>
            <w:vAlign w:val="center"/>
          </w:tcPr>
          <w:p>
            <w:pPr>
              <w:spacing w:lineRule="auto"/>
              <w:jc w:val="right"/>
            </w:pPr>
            <w:r>
              <w:rPr/>
              <w:t xml:space="preserve">21.1 days</w:t>
            </w:r>
          </w:p>
        </w:tc>
        <w:tc>
          <w:tcPr>
            <w:tcBorders>
              <w:bottom w:val="single" w:sz="8" w:space="0" w:color="000000"/>
              <w:right w:val="single" w:sz="8" w:space="0" w:color="000000"/>
            </w:tcBorders>
            <w:vAlign w:val="center"/>
          </w:tcPr>
          <w:p>
            <w:pPr>
              <w:spacing w:lineRule="auto"/>
              <w:jc w:val="right"/>
            </w:pPr>
            <w:r>
              <w:rPr>
                <w:rFonts w:eastAsia="Georgia" w:cs="Georgia" w:ascii="Georgia" w:hAnsi="Georgia"/>
              </w:rPr>
              <w:t xml:space="preserve">25–50 days</w:t>
            </w:r>
          </w:p>
        </w:tc>
        <w:tc>
          <w:tcPr>
            <w:tcBorders>
              <w:bottom w:val="single" w:sz="8" w:space="0" w:color="000000"/>
              <w:right w:val="single" w:sz="8" w:space="0" w:color="000000"/>
            </w:tcBorders>
            <w:vAlign w:val="center"/>
          </w:tcPr>
          <w:p>
            <w:pPr>
              <w:spacing w:lineRule="auto"/>
              <w:jc w:val="right"/>
            </w:pPr>
            <w:r>
              <w:rPr/>
              <w:t xml:space="preserve">Excellent</w:t>
            </w:r>
          </w:p>
        </w:tc>
      </w:tr>
      <w:tr>
        <w:trPr>
          <w:cantSplit/>
        </w:trPr>
        <w:tc>
          <w:tcPr>
            <w:tcBorders>
              <w:left w:val="single" w:sz="8" w:space="0" w:color="000000"/>
              <w:right w:val="single" w:sz="8" w:space="0" w:color="000000"/>
            </w:tcBorders>
            <w:vAlign w:val="center"/>
          </w:tcPr>
          <w:p>
            <w:pPr>
              <w:spacing w:lineRule="auto"/>
              <w:jc w:val="left"/>
            </w:pPr>
            <w:r>
              <w:rPr/>
              <w:t xml:space="preserve">Payables Turnover</w:t>
            </w:r>
          </w:p>
        </w:tc>
        <w:tc>
          <w:tcPr>
            <w:tcBorders>
              <w:right w:val="single" w:sz="8" w:space="0" w:color="000000"/>
            </w:tcBorders>
            <w:vAlign w:val="center"/>
          </w:tcPr>
          <w:p>
            <w:pPr>
              <w:spacing w:lineRule="auto"/>
              <w:jc w:val="right"/>
            </w:pPr>
            <w:r>
              <w:rPr/>
              <w:t xml:space="preserve">6.62x</w:t>
            </w:r>
          </w:p>
        </w:tc>
        <w:tc>
          <w:tcPr>
            <w:tcBorders>
              <w:right w:val="single" w:sz="8" w:space="0" w:color="000000"/>
            </w:tcBorders>
            <w:vAlign w:val="center"/>
          </w:tcPr>
          <w:p>
            <w:pPr>
              <w:spacing w:lineRule="auto"/>
              <w:jc w:val="right"/>
            </w:pPr>
            <w:r>
              <w:rPr>
                <w:rFonts w:eastAsia="Georgia" w:cs="Georgia" w:ascii="Georgia" w:hAnsi="Georgia"/>
              </w:rPr>
              <w:t xml:space="preserve">6–8x</w:t>
            </w:r>
          </w:p>
        </w:tc>
        <w:tc>
          <w:tcPr>
            <w:tcBorders>
              <w:right w:val="single" w:sz="8" w:space="0" w:color="000000"/>
            </w:tcBorders>
            <w:vAlign w:val="center"/>
          </w:tcPr>
          <w:p>
            <w:pPr>
              <w:spacing w:lineRule="auto"/>
              <w:jc w:val="right"/>
            </w:pPr>
            <w:r>
              <w:rPr/>
              <w:t xml:space="preserve">Good</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w:t>
            </w:r>
          </w:p>
        </w:tc>
        <w:tc>
          <w:tcPr>
            <w:tcBorders>
              <w:bottom w:val="single" w:sz="8" w:space="0" w:color="000000"/>
              <w:right w:val="single" w:sz="8" w:space="0" w:color="000000"/>
            </w:tcBorders>
            <w:vAlign w:val="center"/>
          </w:tcPr>
          <w:p>
            <w:pPr>
              <w:spacing w:lineRule="auto"/>
              <w:jc w:val="right"/>
            </w:pPr>
            <w:r>
              <w:rPr/>
              <w:t xml:space="preserve">55.1 days</w:t>
            </w:r>
          </w:p>
        </w:tc>
        <w:tc>
          <w:tcPr>
            <w:tcBorders>
              <w:bottom w:val="single" w:sz="8" w:space="0" w:color="000000"/>
              <w:right w:val="single" w:sz="8" w:space="0" w:color="000000"/>
            </w:tcBorders>
            <w:vAlign w:val="center"/>
          </w:tcPr>
          <w:p>
            <w:pPr>
              <w:spacing w:lineRule="auto"/>
              <w:jc w:val="right"/>
            </w:pPr>
            <w:r>
              <w:rPr>
                <w:rFonts w:eastAsia="Georgia" w:cs="Georgia" w:ascii="Georgia" w:hAnsi="Georgia"/>
              </w:rPr>
              <w:t xml:space="preserve">30–60 days</w:t>
            </w:r>
          </w:p>
        </w:tc>
        <w:tc>
          <w:tcPr>
            <w:tcBorders>
              <w:bottom w:val="single" w:sz="8" w:space="0" w:color="000000"/>
              <w:right w:val="single" w:sz="8" w:space="0" w:color="000000"/>
            </w:tcBorders>
            <w:vAlign w:val="center"/>
          </w:tcPr>
          <w:p>
            <w:pPr>
              <w:spacing w:lineRule="auto"/>
              <w:jc w:val="right"/>
            </w:pPr>
            <w:r>
              <w:rPr/>
              <w:t xml:space="preserve">Optimal</w:t>
            </w:r>
          </w:p>
        </w:tc>
      </w:tr>
    </w:tbl>
    <w:p>
      <w:pPr>
        <w:spacing w:lineRule="auto"/>
      </w:pPr>
    </w:p>
    <w:p>
      <w:pPr>
        <w:spacing w:lineRule="auto"/>
      </w:pPr>
      <w:r>
        <w:rPr>
          <w:rFonts w:eastAsia="Georgia" w:cs="Georgia" w:ascii="Georgia" w:hAnsi="Georgia"/>
        </w:rPr>
        <w:t xml:space="preserve">Table 16: Summary of Efficiency Metrics – FY2025 vs Benchmarks</w:t>
      </w:r>
    </w:p>
    <w:p>
      <w:pPr>
        <w:spacing w:after="210" w:lineRule="auto"/>
      </w:pPr>
      <w:r>
        <w:rPr>
          <w:b/>
        </w:rPr>
        <w:t xml:space="preserve">Conclusion:</w:t>
      </w:r>
      <w:r>
        <w:rPr/>
        <w:t xml:space="preserve"> HUL demonstrates </w:t>
      </w:r>
      <w:r>
        <w:rPr>
          <w:b/>
        </w:rPr>
        <w:t xml:space="preserve">superior efficiency</w:t>
      </w:r>
      <w:r>
        <w:rPr/>
        <w:t xml:space="preserve"> in managing receivables and payables, and </w:t>
      </w:r>
      <w:r>
        <w:rPr>
          <w:b/>
        </w:rPr>
        <w:t xml:space="preserve">good</w:t>
      </w:r>
      <w:r>
        <w:rPr/>
        <w:t xml:space="preserve"> inventory management. The company's ability to collect quickly (21.1 days) while paying late (55.1 days) is a major competitive advantage and source of free financing.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5" w:name="bm_8_working_capital_trend_analysis"/>
      <w:r>
        <w:rPr>
          <w:b/>
          <w:sz w:val="42"/>
        </w:rPr>
        <w:t xml:space="preserve">8. WORKING CAPITAL TREND ANALYSIS</w:t>
      </w:r>
      <w:bookmarkEnd w:id="75"/>
    </w:p>
    <w:p>
      <w:pPr>
        <w:spacing w:line="271" w:before="240" w:lineRule="auto"/>
      </w:pPr>
      <w:bookmarkStart w:id="76" w:name="bm_8_1_5_year_working_capital_com_6ac440"/>
      <w:r>
        <w:rPr>
          <w:b/>
          <w:sz w:val="33"/>
        </w:rPr>
        <w:t xml:space="preserve">8.1 5-Year Working Capital Components Trend</w:t>
      </w:r>
      <w:bookmarkEnd w:id="76"/>
    </w:p>
    <w:tbl>
      <w:tblPr>
        <w:tblStyle w:val="TableGrid"/>
        <w:jc w:val="center"/>
        <w:tblCellSpacing w:w="0" w:type="dxa"/>
        <w:tblBorders/>
        <w:tblCellMar>
          <w:top w:type="dxa" w:w="80"/>
          <w:left w:type="dxa" w:w="160"/>
          <w:bottom w:type="dxa" w:w="80"/>
          <w:right w:type="dxa" w:w="160"/>
        </w:tblCellMar>
      </w:tblPr>
      <w:tblGrid>
        <w:gridCol w:w="1241"/>
        <w:gridCol w:w="1241"/>
        <w:gridCol w:w="1241"/>
        <w:gridCol w:w="1241"/>
        <w:gridCol w:w="1241"/>
        <w:gridCol w:w="1241"/>
        <w:gridCol w:w="1241"/>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Growth%</w:t>
            </w:r>
          </w:p>
        </w:tc>
      </w:tr>
      <w:tr>
        <w:trPr>
          <w:cantSplit/>
        </w:trPr>
        <w:tc>
          <w:tcPr>
            <w:tcBorders>
              <w:left w:val="single" w:sz="8" w:space="0" w:color="000000"/>
              <w:right w:val="single" w:sz="8" w:space="0" w:color="000000"/>
            </w:tcBorders>
            <w:vAlign w:val="center"/>
          </w:tcPr>
          <w:p>
            <w:pPr>
              <w:spacing w:lineRule="auto"/>
              <w:jc w:val="left"/>
            </w:pPr>
            <w:r>
              <w:rPr>
                <w:b/>
              </w:rPr>
              <w:t xml:space="preserve">Current Assets</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c>
          <w:tcPr>
            <w:tcBorders>
              <w:right w:val="single" w:sz="8" w:space="0" w:color="000000"/>
            </w:tcBorders>
            <w:vAlign w:val="center"/>
          </w:tcPr>
          <w:p>
            <w:pPr>
              <w:spacing w:lineRule="auto"/>
              <w:jc w:val="right"/>
            </w:pPr>
            <w:r>
              <w:rPr/>
              <w:t xml:space="preserve">40.2%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Current Liabilities</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c>
          <w:tcPr>
            <w:tcBorders>
              <w:bottom w:val="single" w:sz="8" w:space="0" w:color="000000"/>
              <w:right w:val="single" w:sz="8" w:space="0" w:color="000000"/>
            </w:tcBorders>
            <w:vAlign w:val="center"/>
          </w:tcPr>
          <w:p>
            <w:pPr>
              <w:spacing w:lineRule="auto"/>
              <w:jc w:val="right"/>
            </w:pPr>
            <w:r>
              <w:rPr/>
              <w:t xml:space="preserve">27.8%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Net Working Capital</w:t>
            </w:r>
          </w:p>
        </w:tc>
        <w:tc>
          <w:tcPr>
            <w:tcBorders>
              <w:bottom w:val="single" w:sz="8" w:space="0" w:color="000000"/>
              <w:right w:val="single" w:sz="8" w:space="0" w:color="000000"/>
            </w:tcBorders>
            <w:vAlign w:val="center"/>
          </w:tcPr>
          <w:p>
            <w:pPr>
              <w:spacing w:lineRule="auto"/>
              <w:jc w:val="right"/>
            </w:pPr>
            <w:r>
              <w:rPr/>
              <w:t xml:space="preserve">300</w:t>
            </w:r>
          </w:p>
        </w:tc>
        <w:tc>
          <w:tcPr>
            <w:tcBorders>
              <w:bottom w:val="single" w:sz="8" w:space="0" w:color="000000"/>
              <w:right w:val="single" w:sz="8" w:space="0" w:color="000000"/>
            </w:tcBorders>
            <w:vAlign w:val="center"/>
          </w:tcPr>
          <w:p>
            <w:pPr>
              <w:spacing w:lineRule="auto"/>
              <w:jc w:val="right"/>
            </w:pPr>
            <w:r>
              <w:rPr/>
              <w:t xml:space="preserve">370</w:t>
            </w:r>
          </w:p>
        </w:tc>
        <w:tc>
          <w:tcPr>
            <w:tcBorders>
              <w:bottom w:val="single" w:sz="8" w:space="0" w:color="000000"/>
              <w:right w:val="single" w:sz="8" w:space="0" w:color="000000"/>
            </w:tcBorders>
            <w:vAlign w:val="center"/>
          </w:tcPr>
          <w:p>
            <w:pPr>
              <w:spacing w:lineRule="auto"/>
              <w:jc w:val="right"/>
            </w:pPr>
            <w:r>
              <w:rPr/>
              <w:t xml:space="preserve">680</w:t>
            </w:r>
          </w:p>
        </w:tc>
        <w:tc>
          <w:tcPr>
            <w:tcBorders>
              <w:bottom w:val="single" w:sz="8" w:space="0" w:color="000000"/>
              <w:right w:val="single" w:sz="8" w:space="0" w:color="000000"/>
            </w:tcBorders>
            <w:vAlign w:val="center"/>
          </w:tcPr>
          <w:p>
            <w:pPr>
              <w:spacing w:lineRule="auto"/>
              <w:jc w:val="right"/>
            </w:pPr>
            <w:r>
              <w:rPr/>
              <w:t xml:space="preserve">870</w:t>
            </w:r>
          </w:p>
        </w:tc>
        <w:tc>
          <w:tcPr>
            <w:tcBorders>
              <w:bottom w:val="single" w:sz="8" w:space="0" w:color="000000"/>
              <w:right w:val="single" w:sz="8" w:space="0" w:color="000000"/>
            </w:tcBorders>
            <w:vAlign w:val="center"/>
          </w:tcPr>
          <w:p>
            <w:pPr>
              <w:spacing w:lineRule="auto"/>
              <w:jc w:val="right"/>
            </w:pPr>
            <w:r>
              <w:rPr/>
              <w:t xml:space="preserve">1200</w:t>
            </w:r>
          </w:p>
        </w:tc>
        <w:tc>
          <w:tcPr>
            <w:tcBorders>
              <w:bottom w:val="single" w:sz="8" w:space="0" w:color="000000"/>
              <w:right w:val="single" w:sz="8" w:space="0" w:color="000000"/>
            </w:tcBorders>
            <w:vAlign w:val="center"/>
          </w:tcPr>
          <w:p>
            <w:pPr>
              <w:spacing w:lineRule="auto"/>
              <w:jc w:val="right"/>
            </w:pPr>
            <w:r>
              <w:rPr/>
              <w:t xml:space="preserve">300%</w:t>
            </w:r>
          </w:p>
        </w:tc>
      </w:tr>
    </w:tbl>
    <w:p>
      <w:pPr>
        <w:spacing w:lineRule="auto"/>
      </w:pPr>
    </w:p>
    <w:p>
      <w:pPr>
        <w:spacing w:lineRule="auto"/>
      </w:pPr>
      <w:r>
        <w:rPr/>
        <w:t xml:space="preserve">Table 17: Working Capital Components Trend</w:t>
      </w:r>
    </w:p>
    <w:p>
      <w:pPr>
        <w:spacing w:after="210" w:lineRule="auto"/>
      </w:pPr>
      <w:r>
        <w:rPr>
          <w:b/>
        </w:rPr>
        <w:t xml:space="preserve">Key Insight:</w:t>
      </w:r>
      <w:r>
        <w:rPr/>
        <w:t xml:space="preserve"> While NWC increased 300%, current assets grew 40.2%, and current liabilities grew only 27.8%. This means:</w:t>
      </w:r>
    </w:p>
    <w:p>
      <w:pPr>
        <w:numPr>
          <w:ilvl w:val="0"/>
          <w:numId w:val="46"/>
        </w:numPr>
        <w:spacing w:lineRule="auto"/>
      </w:pPr>
      <w:r>
        <w:rPr>
          <w:b/>
        </w:rPr>
        <w:t xml:space="preserve">Absolute liquidity is improving</w:t>
      </w:r>
      <w:r>
        <w:rPr/>
        <w:t xml:space="preserve"> (more cushion for operations).</w:t>
      </w:r>
    </w:p>
    <w:p>
      <w:pPr>
        <w:numPr>
          <w:ilvl w:val="0"/>
          <w:numId w:val="46"/>
        </w:numPr>
        <w:spacing w:lineRule="auto"/>
      </w:pPr>
      <w:r>
        <w:rPr>
          <w:b/>
        </w:rPr>
        <w:t xml:space="preserve">Relative to business scale</w:t>
      </w:r>
      <w:r>
        <w:rPr/>
        <w:t xml:space="preserve">, working capital efficiency remains excellent.</w:t>
      </w:r>
    </w:p>
    <w:p>
      <w:pPr>
        <w:spacing w:line="271" w:before="240" w:lineRule="auto"/>
      </w:pPr>
      <w:bookmarkStart w:id="77" w:name="bm_8_2_working_capital_to_sales_r_891196"/>
      <w:r>
        <w:rPr>
          <w:b/>
          <w:sz w:val="33"/>
        </w:rPr>
        <w:t xml:space="preserve">8.2 Working Capital to Sales Ratio (Most Important Metric)</w:t>
      </w:r>
      <w:bookmarkEnd w:id="77"/>
    </w:p>
    <w:p>
      <w:pPr>
        <w:spacing w:line="271" w:before="240" w:lineRule="auto"/>
      </w:pPr>
      <w:bookmarkStart w:id="78" w:name="bm_8_2_1_wc_to_sales_calculation"/>
      <w:r>
        <w:rPr>
          <w:b/>
          <w:sz w:val="28"/>
        </w:rPr>
        <w:t xml:space="preserve">8.2.1 WC to Sales Calculation</w:t>
      </w:r>
      <w:bookmarkEnd w:id="78"/>
    </w:p>
    <w:p>
      <w:pPr>
        <w:spacing w:after="210" w:lineRule="auto"/>
      </w:pPr>
      <w:r>
        <w:rPr>
          <w:b/>
        </w:rPr>
        <w:t xml:space="preserve">Formula:</w:t>
      </w:r>
    </w:p>
    <w:p>
      <w:pPr>
        <w:spacing w:after="210" w:lineRule="auto"/>
      </w:pPr>
      <m:oMathPara>
        <m:oMath>
          <m:r>
            <m:rPr>
              <m:nor/>
            </m:rPr>
            <m:t>WC to Sales (\%)</m:t>
          </m:r>
          <m:r>
            <m:rPr>
              <m:sty m:val="p"/>
            </m:rPr>
            <m:t>=</m:t>
          </m:r>
          <m:f>
            <m:fPr>
              <m:ctrlPr>
                <w:rPr>
                  <w:rFonts w:ascii="Cambria Math" w:hAnsi="Cambria Math"/>
                </w:rPr>
              </m:ctrlPr>
            </m:fPr>
            <m:num>
              <m:r>
                <m:rPr>
                  <m:nor/>
                </m:rPr>
                <m:t>Net Working Capital</m:t>
              </m:r>
            </m:num>
            <m:den>
              <m:r>
                <m:rPr>
                  <m:nor/>
                </m:rPr>
                <m:t>Net Sales</m:t>
              </m:r>
            </m:den>
          </m:f>
          <m:r>
            <m:rPr>
              <m:sty m:val="p"/>
            </m:rPr>
            <m:t>×</m:t>
          </m:r>
          <m:r>
            <m:rPr>
              <m:sty m:val="p"/>
            </m:rPr>
            <m:t>100</m:t>
          </m:r>
          <m:r>
            <m:rPr>
              <m:sty m:val="p"/>
            </m:rPr>
            <m:t>%</m:t>
          </m:r>
        </m:oMath>
      </m:oMathPara>
    </w:p>
    <w:p>
      <w:pPr>
        <w:spacing w:line="271" w:before="240" w:lineRule="auto"/>
      </w:pPr>
      <w:bookmarkStart w:id="79" w:name="bm_8_2_2_trend_analysis"/>
      <w:r>
        <w:rPr>
          <w:b/>
          <w:sz w:val="28"/>
        </w:rPr>
        <w:t xml:space="preserve">8.2.2 Trend Analysis</w:t>
      </w:r>
      <w:bookmarkEnd w:id="79"/>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right w:val="single" w:sz="8" w:space="0" w:color="000000"/>
            </w:tcBorders>
            <w:vAlign w:val="center"/>
          </w:tcPr>
          <w:p>
            <w:pPr>
              <w:spacing w:lineRule="auto"/>
              <w:jc w:val="right"/>
            </w:pPr>
            <w:r>
              <w:rPr/>
              <w:t xml:space="preserve">38000</w:t>
            </w:r>
          </w:p>
        </w:tc>
        <w:tc>
          <w:tcPr>
            <w:tcBorders>
              <w:right w:val="single" w:sz="8" w:space="0" w:color="000000"/>
            </w:tcBorders>
            <w:vAlign w:val="center"/>
          </w:tcPr>
          <w:p>
            <w:pPr>
              <w:spacing w:lineRule="auto"/>
              <w:jc w:val="right"/>
            </w:pPr>
            <w:r>
              <w:rPr/>
              <w:t xml:space="preserve">41500</w:t>
            </w:r>
          </w:p>
        </w:tc>
        <w:tc>
          <w:tcPr>
            <w:tcBorders>
              <w:right w:val="single" w:sz="8" w:space="0" w:color="000000"/>
            </w:tcBorders>
            <w:vAlign w:val="center"/>
          </w:tcPr>
          <w:p>
            <w:pPr>
              <w:spacing w:lineRule="auto"/>
              <w:jc w:val="right"/>
            </w:pPr>
            <w:r>
              <w:rPr/>
              <w:t xml:space="preserve">44200</w:t>
            </w:r>
          </w:p>
        </w:tc>
        <w:tc>
          <w:tcPr>
            <w:tcBorders>
              <w:right w:val="single" w:sz="8" w:space="0" w:color="000000"/>
            </w:tcBorders>
            <w:vAlign w:val="center"/>
          </w:tcPr>
          <w:p>
            <w:pPr>
              <w:spacing w:lineRule="auto"/>
              <w:jc w:val="right"/>
            </w:pPr>
            <w:r>
              <w:rPr/>
              <w:t xml:space="preserve">46500</w:t>
            </w:r>
          </w:p>
        </w:tc>
        <w:tc>
          <w:tcPr>
            <w:tcBorders>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NWC (₹ Cr)</w:t>
            </w:r>
          </w:p>
        </w:tc>
        <w:tc>
          <w:tcPr>
            <w:tcBorders>
              <w:bottom w:val="single" w:sz="8" w:space="0" w:color="000000"/>
              <w:right w:val="single" w:sz="8" w:space="0" w:color="000000"/>
            </w:tcBorders>
            <w:vAlign w:val="center"/>
          </w:tcPr>
          <w:p>
            <w:pPr>
              <w:spacing w:lineRule="auto"/>
              <w:jc w:val="right"/>
            </w:pPr>
            <w:r>
              <w:rPr/>
              <w:t xml:space="preserve">300</w:t>
            </w:r>
          </w:p>
        </w:tc>
        <w:tc>
          <w:tcPr>
            <w:tcBorders>
              <w:bottom w:val="single" w:sz="8" w:space="0" w:color="000000"/>
              <w:right w:val="single" w:sz="8" w:space="0" w:color="000000"/>
            </w:tcBorders>
            <w:vAlign w:val="center"/>
          </w:tcPr>
          <w:p>
            <w:pPr>
              <w:spacing w:lineRule="auto"/>
              <w:jc w:val="right"/>
            </w:pPr>
            <w:r>
              <w:rPr/>
              <w:t xml:space="preserve">370</w:t>
            </w:r>
          </w:p>
        </w:tc>
        <w:tc>
          <w:tcPr>
            <w:tcBorders>
              <w:bottom w:val="single" w:sz="8" w:space="0" w:color="000000"/>
              <w:right w:val="single" w:sz="8" w:space="0" w:color="000000"/>
            </w:tcBorders>
            <w:vAlign w:val="center"/>
          </w:tcPr>
          <w:p>
            <w:pPr>
              <w:spacing w:lineRule="auto"/>
              <w:jc w:val="right"/>
            </w:pPr>
            <w:r>
              <w:rPr/>
              <w:t xml:space="preserve">680</w:t>
            </w:r>
          </w:p>
        </w:tc>
        <w:tc>
          <w:tcPr>
            <w:tcBorders>
              <w:bottom w:val="single" w:sz="8" w:space="0" w:color="000000"/>
              <w:right w:val="single" w:sz="8" w:space="0" w:color="000000"/>
            </w:tcBorders>
            <w:vAlign w:val="center"/>
          </w:tcPr>
          <w:p>
            <w:pPr>
              <w:spacing w:lineRule="auto"/>
              <w:jc w:val="right"/>
            </w:pPr>
            <w:r>
              <w:rPr/>
              <w:t xml:space="preserve">870</w:t>
            </w:r>
          </w:p>
        </w:tc>
        <w:tc>
          <w:tcPr>
            <w:tcBorders>
              <w:bottom w:val="single" w:sz="8" w:space="0" w:color="000000"/>
              <w:right w:val="single" w:sz="8" w:space="0" w:color="000000"/>
            </w:tcBorders>
            <w:vAlign w:val="center"/>
          </w:tcPr>
          <w:p>
            <w:pPr>
              <w:spacing w:lineRule="auto"/>
              <w:jc w:val="right"/>
            </w:pPr>
            <w:r>
              <w:rPr/>
              <w:t xml:space="preserve">1200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WC to Sales (%)</w:t>
            </w:r>
          </w:p>
        </w:tc>
        <w:tc>
          <w:tcPr>
            <w:tcBorders>
              <w:bottom w:val="single" w:sz="8" w:space="0" w:color="000000"/>
              <w:right w:val="single" w:sz="8" w:space="0" w:color="000000"/>
            </w:tcBorders>
            <w:vAlign w:val="center"/>
          </w:tcPr>
          <w:p>
            <w:pPr>
              <w:spacing w:lineRule="auto"/>
              <w:jc w:val="right"/>
            </w:pPr>
            <w:r>
              <w:rPr>
                <w:b/>
              </w:rPr>
              <w:t xml:space="preserve">0.79%</w:t>
            </w:r>
          </w:p>
        </w:tc>
        <w:tc>
          <w:tcPr>
            <w:tcBorders>
              <w:bottom w:val="single" w:sz="8" w:space="0" w:color="000000"/>
              <w:right w:val="single" w:sz="8" w:space="0" w:color="000000"/>
            </w:tcBorders>
            <w:vAlign w:val="center"/>
          </w:tcPr>
          <w:p>
            <w:pPr>
              <w:spacing w:lineRule="auto"/>
              <w:jc w:val="right"/>
            </w:pPr>
            <w:r>
              <w:rPr>
                <w:b/>
              </w:rPr>
              <w:t xml:space="preserve">0.89%</w:t>
            </w:r>
          </w:p>
        </w:tc>
        <w:tc>
          <w:tcPr>
            <w:tcBorders>
              <w:bottom w:val="single" w:sz="8" w:space="0" w:color="000000"/>
              <w:right w:val="single" w:sz="8" w:space="0" w:color="000000"/>
            </w:tcBorders>
            <w:vAlign w:val="center"/>
          </w:tcPr>
          <w:p>
            <w:pPr>
              <w:spacing w:lineRule="auto"/>
              <w:jc w:val="right"/>
            </w:pPr>
            <w:r>
              <w:rPr>
                <w:b/>
              </w:rPr>
              <w:t xml:space="preserve">1.54%</w:t>
            </w:r>
          </w:p>
        </w:tc>
        <w:tc>
          <w:tcPr>
            <w:tcBorders>
              <w:bottom w:val="single" w:sz="8" w:space="0" w:color="000000"/>
              <w:right w:val="single" w:sz="8" w:space="0" w:color="000000"/>
            </w:tcBorders>
            <w:vAlign w:val="center"/>
          </w:tcPr>
          <w:p>
            <w:pPr>
              <w:spacing w:lineRule="auto"/>
              <w:jc w:val="right"/>
            </w:pPr>
            <w:r>
              <w:rPr>
                <w:b/>
              </w:rPr>
              <w:t xml:space="preserve">1.87%</w:t>
            </w:r>
          </w:p>
        </w:tc>
        <w:tc>
          <w:tcPr>
            <w:tcBorders>
              <w:bottom w:val="single" w:sz="8" w:space="0" w:color="000000"/>
              <w:right w:val="single" w:sz="8" w:space="0" w:color="000000"/>
            </w:tcBorders>
            <w:vAlign w:val="center"/>
          </w:tcPr>
          <w:p>
            <w:pPr>
              <w:spacing w:lineRule="auto"/>
              <w:jc w:val="right"/>
            </w:pPr>
            <w:r>
              <w:rPr>
                <w:b/>
              </w:rPr>
              <w:t xml:space="preserve">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Change vs Prior Year</w:t>
            </w:r>
          </w:p>
        </w:tc>
        <w:tc>
          <w:tcPr>
            <w:tcBorders>
              <w:bottom w:val="single" w:sz="8" w:space="0" w:color="000000"/>
              <w:right w:val="single" w:sz="8" w:space="0" w:color="000000"/>
            </w:tcBorders>
            <w:vAlign w:val="center"/>
          </w:tcPr>
          <w:p>
            <w:pPr>
              <w:spacing w:lineRule="auto"/>
              <w:jc w:val="right"/>
            </w:pPr>
            <w:r>
              <w:rPr/>
              <w:t xml:space="preserve">-</w:t>
            </w:r>
          </w:p>
        </w:tc>
        <w:tc>
          <w:tcPr>
            <w:tcBorders>
              <w:bottom w:val="single" w:sz="8" w:space="0" w:color="000000"/>
              <w:right w:val="single" w:sz="8" w:space="0" w:color="000000"/>
            </w:tcBorders>
            <w:vAlign w:val="center"/>
          </w:tcPr>
          <w:p>
            <w:pPr>
              <w:spacing w:lineRule="auto"/>
              <w:jc w:val="right"/>
            </w:pPr>
            <w:r>
              <w:rPr/>
              <w:t xml:space="preserve">+0.10pp</w:t>
            </w:r>
          </w:p>
        </w:tc>
        <w:tc>
          <w:tcPr>
            <w:tcBorders>
              <w:bottom w:val="single" w:sz="8" w:space="0" w:color="000000"/>
              <w:right w:val="single" w:sz="8" w:space="0" w:color="000000"/>
            </w:tcBorders>
            <w:vAlign w:val="center"/>
          </w:tcPr>
          <w:p>
            <w:pPr>
              <w:spacing w:lineRule="auto"/>
              <w:jc w:val="right"/>
            </w:pPr>
            <w:r>
              <w:rPr/>
              <w:t xml:space="preserve">+0.65pp</w:t>
            </w:r>
          </w:p>
        </w:tc>
        <w:tc>
          <w:tcPr>
            <w:tcBorders>
              <w:bottom w:val="single" w:sz="8" w:space="0" w:color="000000"/>
              <w:right w:val="single" w:sz="8" w:space="0" w:color="000000"/>
            </w:tcBorders>
            <w:vAlign w:val="center"/>
          </w:tcPr>
          <w:p>
            <w:pPr>
              <w:spacing w:lineRule="auto"/>
              <w:jc w:val="right"/>
            </w:pPr>
            <w:r>
              <w:rPr/>
              <w:t xml:space="preserve">+0.33pp</w:t>
            </w:r>
          </w:p>
        </w:tc>
        <w:tc>
          <w:tcPr>
            <w:tcBorders>
              <w:bottom w:val="single" w:sz="8" w:space="0" w:color="000000"/>
              <w:right w:val="single" w:sz="8" w:space="0" w:color="000000"/>
            </w:tcBorders>
            <w:vAlign w:val="center"/>
          </w:tcPr>
          <w:p>
            <w:pPr>
              <w:spacing w:lineRule="auto"/>
              <w:jc w:val="right"/>
            </w:pPr>
            <w:r>
              <w:rPr/>
              <w:t xml:space="preserve">+0.63pp</w:t>
            </w:r>
          </w:p>
        </w:tc>
      </w:tr>
    </w:tbl>
    <w:p>
      <w:pPr>
        <w:spacing w:lineRule="auto"/>
      </w:pPr>
    </w:p>
    <w:p>
      <w:pPr>
        <w:spacing w:lineRule="auto"/>
      </w:pPr>
      <w:r>
        <w:rPr/>
        <w:t xml:space="preserve">Table 18: Working Capital to Sales Ratio Trend</w:t>
      </w:r>
    </w:p>
    <w:p>
      <w:pPr>
        <w:spacing w:line="271" w:before="240" w:lineRule="auto"/>
      </w:pPr>
      <w:bookmarkStart w:id="80" w:name="bm_8_2_3_detailed_interpretation"/>
      <w:r>
        <w:rPr>
          <w:b/>
          <w:sz w:val="28"/>
        </w:rPr>
        <w:t xml:space="preserve">8.2.3 Detailed Interpretation</w:t>
      </w:r>
      <w:bookmarkEnd w:id="80"/>
    </w:p>
    <w:p>
      <w:pPr>
        <w:spacing w:after="210" w:lineRule="auto"/>
      </w:pPr>
      <w:r>
        <w:rPr>
          <w:b/>
        </w:rPr>
        <w:t xml:space="preserve">What This Means:</w:t>
      </w:r>
    </w:p>
    <w:p>
      <w:pPr>
        <w:numPr>
          <w:ilvl w:val="0"/>
          <w:numId w:val="47"/>
        </w:numPr>
        <w:spacing w:lineRule="auto"/>
      </w:pPr>
      <w:r>
        <w:rPr>
          <w:b/>
        </w:rPr>
        <w:t xml:space="preserve">FY2021:</w:t>
      </w:r>
      <w:r>
        <w:rPr>
          <w:rFonts w:eastAsia="Georgia" w:cs="Georgia" w:ascii="Georgia" w:hAnsi="Georgia"/>
        </w:rPr>
        <w:t xml:space="preserve"> For every ₹100 of sales, HUL required ₹0.79 in net working capital.</w:t>
      </w:r>
    </w:p>
    <w:p>
      <w:pPr>
        <w:numPr>
          <w:ilvl w:val="0"/>
          <w:numId w:val="47"/>
        </w:numPr>
        <w:spacing w:lineRule="auto"/>
      </w:pPr>
      <w:r>
        <w:rPr>
          <w:b/>
        </w:rPr>
        <w:t xml:space="preserve">FY2025:</w:t>
      </w:r>
      <w:r>
        <w:rPr>
          <w:rFonts w:eastAsia="Georgia" w:cs="Georgia" w:ascii="Georgia" w:hAnsi="Georgia"/>
        </w:rPr>
        <w:t xml:space="preserve"> For every ₹100 of sales, HUL requires ₹2.50 in net working capital.</w:t>
      </w:r>
    </w:p>
    <w:p>
      <w:pPr>
        <w:spacing w:after="210" w:lineRule="auto"/>
      </w:pPr>
      <w:r>
        <w:rPr>
          <w:b/>
        </w:rPr>
        <w:t xml:space="preserve">Analysis:</w:t>
      </w:r>
    </w:p>
    <w:p>
      <w:pPr>
        <w:numPr>
          <w:ilvl w:val="0"/>
          <w:numId w:val="48"/>
        </w:numPr>
        <w:spacing w:after="210" w:lineRule="auto"/>
      </w:pPr>
      <w:r>
        <w:rPr>
          <w:b/>
        </w:rPr>
        <w:t xml:space="preserve">Trend:</w:t>
      </w:r>
      <w:r>
        <w:rPr/>
        <w:t xml:space="preserve"> The ratio increased from 0.79% to 2.50%, a 216% increase.</w:t>
      </w:r>
    </w:p>
    <w:p>
      <w:pPr>
        <w:numPr>
          <w:ilvl w:val="1"/>
          <w:numId w:val="48"/>
        </w:numPr>
        <w:spacing w:lineRule="auto"/>
      </w:pPr>
      <w:r>
        <w:rPr/>
        <w:t xml:space="preserve">However, this increase is </w:t>
      </w:r>
      <w:r>
        <w:rPr>
          <w:b/>
        </w:rPr>
        <w:t xml:space="preserve">not alarming</w:t>
      </w:r>
      <w:r>
        <w:rPr/>
        <w:t xml:space="preserve"> because:</w:t>
      </w:r>
    </w:p>
    <w:p>
      <w:pPr>
        <w:numPr>
          <w:ilvl w:val="2"/>
          <w:numId w:val="48"/>
        </w:numPr>
        <w:spacing w:lineRule="auto"/>
      </w:pPr>
      <w:r>
        <w:rPr/>
        <w:t xml:space="preserve">Absolute NWC growth reflects business expansion and stronger balance sheet.</w:t>
      </w:r>
    </w:p>
    <w:p>
      <w:pPr>
        <w:numPr>
          <w:ilvl w:val="2"/>
          <w:numId w:val="48"/>
        </w:numPr>
        <w:spacing w:lineRule="auto"/>
      </w:pPr>
      <w:r>
        <w:rPr/>
        <w:t xml:space="preserve">The ratio remains </w:t>
      </w:r>
      <w:r>
        <w:rPr>
          <w:b/>
        </w:rPr>
        <w:t xml:space="preserve">very low</w:t>
      </w:r>
      <w:r>
        <w:rPr>
          <w:rFonts w:eastAsia="Georgia" w:cs="Georgia" w:ascii="Georgia" w:hAnsi="Georgia"/>
        </w:rPr>
        <w:t xml:space="preserve"> compared to industry average (5–10%).</w:t>
      </w:r>
    </w:p>
    <w:p>
      <w:pPr>
        <w:numPr>
          <w:ilvl w:val="0"/>
          <w:numId w:val="48"/>
        </w:numPr>
        <w:spacing w:after="210" w:lineRule="auto"/>
      </w:pPr>
      <w:r>
        <w:rPr>
          <w:b/>
        </w:rPr>
        <w:t xml:space="preserve">Why the Increase from FY2023?</w:t>
      </w:r>
    </w:p>
    <w:p>
      <w:pPr>
        <w:numPr>
          <w:ilvl w:val="1"/>
          <w:numId w:val="48"/>
        </w:numPr>
        <w:spacing w:lineRule="auto"/>
      </w:pPr>
      <w:r>
        <w:rPr/>
        <w:t xml:space="preserve">After FY2022, HUL intentionally built working capital reserves.</w:t>
      </w:r>
    </w:p>
    <w:p>
      <w:pPr>
        <w:numPr>
          <w:ilvl w:val="1"/>
          <w:numId w:val="48"/>
        </w:numPr>
        <w:spacing w:lineRule="auto"/>
      </w:pPr>
      <w:r>
        <w:rPr/>
        <w:t xml:space="preserve">Possible reasons:</w:t>
      </w:r>
    </w:p>
    <w:p>
      <w:pPr>
        <w:numPr>
          <w:ilvl w:val="2"/>
          <w:numId w:val="48"/>
        </w:numPr>
        <w:spacing w:lineRule="auto"/>
      </w:pPr>
      <w:r>
        <w:rPr>
          <w:b/>
        </w:rPr>
        <w:t xml:space="preserve">Strategic Flexibility:</w:t>
      </w:r>
      <w:r>
        <w:rPr/>
        <w:t xml:space="preserve"> Capacity to handle market disruptions.</w:t>
      </w:r>
    </w:p>
    <w:p>
      <w:pPr>
        <w:numPr>
          <w:ilvl w:val="2"/>
          <w:numId w:val="48"/>
        </w:numPr>
        <w:spacing w:lineRule="auto"/>
      </w:pPr>
      <w:r>
        <w:rPr>
          <w:b/>
        </w:rPr>
        <w:t xml:space="preserve">Acquisitions / Investments:</w:t>
      </w:r>
      <w:r>
        <w:rPr/>
        <w:t xml:space="preserve"> Financial capacity for strategic moves.</w:t>
      </w:r>
    </w:p>
    <w:p>
      <w:pPr>
        <w:numPr>
          <w:ilvl w:val="2"/>
          <w:numId w:val="48"/>
        </w:numPr>
        <w:spacing w:lineRule="auto"/>
      </w:pPr>
      <w:r>
        <w:rPr>
          <w:b/>
        </w:rPr>
        <w:t xml:space="preserve">Shareholder Returns:</w:t>
      </w:r>
      <w:r>
        <w:rPr/>
        <w:t xml:space="preserve"> Strong balance sheet supports higher dividends.</w:t>
      </w:r>
    </w:p>
    <w:p>
      <w:pPr>
        <w:numPr>
          <w:ilvl w:val="0"/>
          <w:numId w:val="48"/>
        </w:numPr>
        <w:spacing w:after="210" w:lineRule="auto"/>
      </w:pPr>
      <w:r>
        <w:rPr>
          <w:b/>
        </w:rPr>
        <w:t xml:space="preserve">FY2025 Position:</w:t>
      </w:r>
    </w:p>
    <w:p>
      <w:pPr>
        <w:numPr>
          <w:ilvl w:val="1"/>
          <w:numId w:val="48"/>
        </w:numPr>
        <w:spacing w:lineRule="auto"/>
      </w:pPr>
      <w:r>
        <w:rPr/>
        <w:t xml:space="preserve">A WC to Sales ratio of 2.50% remains </w:t>
      </w:r>
      <w:r>
        <w:rPr>
          <w:b/>
        </w:rPr>
        <w:t xml:space="preserve">exceptionally efficient</w:t>
      </w:r>
      <w:r>
        <w:rPr/>
        <w:t xml:space="preserve">.</w:t>
      </w:r>
    </w:p>
    <w:p>
      <w:pPr>
        <w:numPr>
          <w:ilvl w:val="1"/>
          <w:numId w:val="48"/>
        </w:numPr>
        <w:spacing w:lineRule="auto"/>
      </w:pPr>
      <w:r>
        <w:rPr>
          <w:rFonts w:eastAsia="Georgia" w:cs="Georgia" w:ascii="Georgia" w:hAnsi="Georgia"/>
        </w:rPr>
        <w:t xml:space="preserve">Industry peers typically require 5–8% NWC to support sales growth.</w:t>
      </w:r>
    </w:p>
    <w:p>
      <w:pPr>
        <w:numPr>
          <w:ilvl w:val="1"/>
          <w:numId w:val="48"/>
        </w:numPr>
        <w:spacing w:lineRule="auto"/>
      </w:pPr>
      <w:r>
        <w:rPr/>
        <w:t xml:space="preserve">HUL's 2.50% demonstrates </w:t>
      </w:r>
      <w:r>
        <w:rPr>
          <w:b/>
        </w:rPr>
        <w:t xml:space="preserve">superior operational and financial management</w:t>
      </w:r>
      <w:r>
        <w:rPr/>
        <w:t xml:space="preserve">.</w:t>
      </w:r>
    </w:p>
    <w:p>
      <w:pPr>
        <w:spacing w:line="271" w:before="240" w:lineRule="auto"/>
      </w:pPr>
      <w:bookmarkStart w:id="81" w:name="bm_8_3_current_assets_to_sales_cu_3cc8bb"/>
      <w:r>
        <w:rPr>
          <w:b/>
          <w:sz w:val="33"/>
        </w:rPr>
        <w:t xml:space="preserve">8.3 Current Assets to Sales &amp; Current Liabilities to Sales</w:t>
      </w:r>
      <w:bookmarkEnd w:id="81"/>
    </w:p>
    <w:p>
      <w:pPr>
        <w:spacing w:line="271" w:before="240" w:lineRule="auto"/>
      </w:pPr>
      <w:bookmarkStart w:id="82" w:name="bm_8_3_1_current_assets_to_sales_trend"/>
      <w:r>
        <w:rPr>
          <w:b/>
          <w:sz w:val="28"/>
        </w:rPr>
        <w:t xml:space="preserve">8.3.1 Current Assets to Sales Trend</w:t>
      </w:r>
      <w:bookmarkEnd w:id="82"/>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bottom w:val="single" w:sz="8" w:space="0" w:color="000000"/>
              <w:right w:val="single" w:sz="8" w:space="0" w:color="000000"/>
            </w:tcBorders>
            <w:vAlign w:val="center"/>
          </w:tcPr>
          <w:p>
            <w:pPr>
              <w:spacing w:lineRule="auto"/>
              <w:jc w:val="right"/>
            </w:pPr>
            <w:r>
              <w:rPr/>
              <w:t xml:space="preserve">38000</w:t>
            </w:r>
          </w:p>
        </w:tc>
        <w:tc>
          <w:tcPr>
            <w:tcBorders>
              <w:bottom w:val="single" w:sz="8" w:space="0" w:color="000000"/>
              <w:right w:val="single" w:sz="8" w:space="0" w:color="000000"/>
            </w:tcBorders>
            <w:vAlign w:val="center"/>
          </w:tcPr>
          <w:p>
            <w:pPr>
              <w:spacing w:lineRule="auto"/>
              <w:jc w:val="right"/>
            </w:pPr>
            <w:r>
              <w:rPr/>
              <w:t xml:space="preserve">41500</w:t>
            </w:r>
          </w:p>
        </w:tc>
        <w:tc>
          <w:tcPr>
            <w:tcBorders>
              <w:bottom w:val="single" w:sz="8" w:space="0" w:color="000000"/>
              <w:right w:val="single" w:sz="8" w:space="0" w:color="000000"/>
            </w:tcBorders>
            <w:vAlign w:val="center"/>
          </w:tcPr>
          <w:p>
            <w:pPr>
              <w:spacing w:lineRule="auto"/>
              <w:jc w:val="right"/>
            </w:pPr>
            <w:r>
              <w:rPr/>
              <w:t xml:space="preserve">44200</w:t>
            </w:r>
          </w:p>
        </w:tc>
        <w:tc>
          <w:tcPr>
            <w:tcBorders>
              <w:bottom w:val="single" w:sz="8" w:space="0" w:color="000000"/>
              <w:right w:val="single" w:sz="8" w:space="0" w:color="000000"/>
            </w:tcBorders>
            <w:vAlign w:val="center"/>
          </w:tcPr>
          <w:p>
            <w:pPr>
              <w:spacing w:lineRule="auto"/>
              <w:jc w:val="right"/>
            </w:pPr>
            <w:r>
              <w:rPr/>
              <w:t xml:space="preserve">46500</w:t>
            </w:r>
          </w:p>
        </w:tc>
        <w:tc>
          <w:tcPr>
            <w:tcBorders>
              <w:bottom w:val="single" w:sz="8" w:space="0" w:color="000000"/>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CA to Sales (%)</w:t>
            </w:r>
          </w:p>
        </w:tc>
        <w:tc>
          <w:tcPr>
            <w:tcBorders>
              <w:bottom w:val="single" w:sz="8" w:space="0" w:color="000000"/>
              <w:right w:val="single" w:sz="8" w:space="0" w:color="000000"/>
            </w:tcBorders>
            <w:vAlign w:val="center"/>
          </w:tcPr>
          <w:p>
            <w:pPr>
              <w:spacing w:lineRule="auto"/>
              <w:jc w:val="right"/>
            </w:pPr>
            <w:r>
              <w:rPr>
                <w:b/>
              </w:rPr>
              <w:t xml:space="preserve">17.37%</w:t>
            </w:r>
          </w:p>
        </w:tc>
        <w:tc>
          <w:tcPr>
            <w:tcBorders>
              <w:bottom w:val="single" w:sz="8" w:space="0" w:color="000000"/>
              <w:right w:val="single" w:sz="8" w:space="0" w:color="000000"/>
            </w:tcBorders>
            <w:vAlign w:val="center"/>
          </w:tcPr>
          <w:p>
            <w:pPr>
              <w:spacing w:lineRule="auto"/>
              <w:jc w:val="right"/>
            </w:pPr>
            <w:r>
              <w:rPr>
                <w:b/>
              </w:rPr>
              <w:t xml:space="preserve">17.05%</w:t>
            </w:r>
          </w:p>
        </w:tc>
        <w:tc>
          <w:tcPr>
            <w:tcBorders>
              <w:bottom w:val="single" w:sz="8" w:space="0" w:color="000000"/>
              <w:right w:val="single" w:sz="8" w:space="0" w:color="000000"/>
            </w:tcBorders>
            <w:vAlign w:val="center"/>
          </w:tcPr>
          <w:p>
            <w:pPr>
              <w:spacing w:lineRule="auto"/>
              <w:jc w:val="right"/>
            </w:pPr>
            <w:r>
              <w:rPr>
                <w:b/>
              </w:rPr>
              <w:t xml:space="preserve">17.83%</w:t>
            </w:r>
          </w:p>
        </w:tc>
        <w:tc>
          <w:tcPr>
            <w:tcBorders>
              <w:bottom w:val="single" w:sz="8" w:space="0" w:color="000000"/>
              <w:right w:val="single" w:sz="8" w:space="0" w:color="000000"/>
            </w:tcBorders>
            <w:vAlign w:val="center"/>
          </w:tcPr>
          <w:p>
            <w:pPr>
              <w:spacing w:lineRule="auto"/>
              <w:jc w:val="right"/>
            </w:pPr>
            <w:r>
              <w:rPr>
                <w:b/>
              </w:rPr>
              <w:t xml:space="preserve">18.28%</w:t>
            </w:r>
          </w:p>
        </w:tc>
        <w:tc>
          <w:tcPr>
            <w:tcBorders>
              <w:bottom w:val="single" w:sz="8" w:space="0" w:color="000000"/>
              <w:right w:val="single" w:sz="8" w:space="0" w:color="000000"/>
            </w:tcBorders>
            <w:vAlign w:val="center"/>
          </w:tcPr>
          <w:p>
            <w:pPr>
              <w:spacing w:lineRule="auto"/>
              <w:jc w:val="right"/>
            </w:pPr>
            <w:r>
              <w:rPr>
                <w:b/>
              </w:rPr>
              <w:t xml:space="preserve">19.27%</w:t>
            </w:r>
          </w:p>
        </w:tc>
      </w:tr>
    </w:tbl>
    <w:p>
      <w:pPr>
        <w:spacing w:lineRule="auto"/>
      </w:pPr>
    </w:p>
    <w:p>
      <w:pPr>
        <w:spacing w:lineRule="auto"/>
      </w:pPr>
      <w:r>
        <w:rPr/>
        <w:t xml:space="preserve">Table 19: Current Assets to Sales Ratio</w:t>
      </w:r>
    </w:p>
    <w:p>
      <w:pPr>
        <w:spacing w:after="210" w:lineRule="auto"/>
      </w:pPr>
      <w:r>
        <w:rPr>
          <w:b/>
        </w:rPr>
        <w:t xml:space="preserve">Interpretation:</w:t>
      </w:r>
    </w:p>
    <w:p>
      <w:pPr>
        <w:numPr>
          <w:ilvl w:val="0"/>
          <w:numId w:val="49"/>
        </w:numPr>
        <w:spacing w:lineRule="auto"/>
      </w:pPr>
      <w:r>
        <w:rPr>
          <w:rFonts w:eastAsia="Georgia" w:cs="Georgia" w:ascii="Georgia" w:hAnsi="Georgia"/>
        </w:rPr>
        <w:t xml:space="preserve">Current assets represent 17–19% of annual sales; this is </w:t>
      </w:r>
      <w:r>
        <w:rPr>
          <w:b/>
        </w:rPr>
        <w:t xml:space="preserve">healthy and efficient</w:t>
      </w:r>
      <w:r>
        <w:rPr/>
        <w:t xml:space="preserve">.</w:t>
      </w:r>
    </w:p>
    <w:p>
      <w:pPr>
        <w:numPr>
          <w:ilvl w:val="0"/>
          <w:numId w:val="49"/>
        </w:numPr>
        <w:spacing w:lineRule="auto"/>
      </w:pPr>
      <w:r>
        <w:rPr>
          <w:rFonts w:eastAsia="Georgia" w:cs="Georgia" w:ascii="Georgia" w:hAnsi="Georgia"/>
        </w:rPr>
        <w:t xml:space="preserve">For every ₹100 of sales, HUL maintains ₹17–19 in current assets.</w:t>
      </w:r>
    </w:p>
    <w:p>
      <w:pPr>
        <w:numPr>
          <w:ilvl w:val="0"/>
          <w:numId w:val="49"/>
        </w:numPr>
        <w:spacing w:lineRule="auto"/>
      </w:pPr>
      <w:r>
        <w:rPr/>
        <w:t xml:space="preserve">This ratio is </w:t>
      </w:r>
      <w:r>
        <w:rPr>
          <w:b/>
        </w:rPr>
        <w:t xml:space="preserve">stable and consistent</w:t>
      </w:r>
      <w:r>
        <w:rPr/>
        <w:t xml:space="preserve"> across years, indicating predictable and efficient asset management.</w:t>
      </w:r>
    </w:p>
    <w:p>
      <w:pPr>
        <w:spacing w:line="271" w:before="240" w:lineRule="auto"/>
      </w:pPr>
      <w:bookmarkStart w:id="83" w:name="bm_8_3_2_current_liabilities_to_s_eef10f"/>
      <w:r>
        <w:rPr>
          <w:b/>
          <w:sz w:val="28"/>
        </w:rPr>
        <w:t xml:space="preserve">8.3.2 Current Liabilities to Sales Trend</w:t>
      </w:r>
      <w:bookmarkEnd w:id="83"/>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right w:val="single" w:sz="8" w:space="0" w:color="000000"/>
            </w:tcBorders>
            <w:vAlign w:val="center"/>
          </w:tcPr>
          <w:p>
            <w:pPr>
              <w:spacing w:lineRule="auto"/>
              <w:jc w:val="right"/>
            </w:pPr>
            <w:r>
              <w:rPr/>
              <w:t xml:space="preserve">6300</w:t>
            </w:r>
          </w:p>
        </w:tc>
        <w:tc>
          <w:tcPr>
            <w:tcBorders>
              <w:right w:val="single" w:sz="8" w:space="0" w:color="000000"/>
            </w:tcBorders>
            <w:vAlign w:val="center"/>
          </w:tcPr>
          <w:p>
            <w:pPr>
              <w:spacing w:lineRule="auto"/>
              <w:jc w:val="right"/>
            </w:pPr>
            <w:r>
              <w:rPr/>
              <w:t xml:space="preserve">6700</w:t>
            </w:r>
          </w:p>
        </w:tc>
        <w:tc>
          <w:tcPr>
            <w:tcBorders>
              <w:right w:val="single" w:sz="8" w:space="0" w:color="000000"/>
            </w:tcBorders>
            <w:vAlign w:val="center"/>
          </w:tcPr>
          <w:p>
            <w:pPr>
              <w:spacing w:lineRule="auto"/>
              <w:jc w:val="right"/>
            </w:pPr>
            <w:r>
              <w:rPr/>
              <w:t xml:space="preserve">7200</w:t>
            </w:r>
          </w:p>
        </w:tc>
        <w:tc>
          <w:tcPr>
            <w:tcBorders>
              <w:right w:val="single" w:sz="8" w:space="0" w:color="000000"/>
            </w:tcBorders>
            <w:vAlign w:val="center"/>
          </w:tcPr>
          <w:p>
            <w:pPr>
              <w:spacing w:lineRule="auto"/>
              <w:jc w:val="right"/>
            </w:pPr>
            <w:r>
              <w:rPr/>
              <w:t xml:space="preserve">7630</w:t>
            </w:r>
          </w:p>
        </w:tc>
        <w:tc>
          <w:tcPr>
            <w:tcBorders>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bottom w:val="single" w:sz="8" w:space="0" w:color="000000"/>
              <w:right w:val="single" w:sz="8" w:space="0" w:color="000000"/>
            </w:tcBorders>
            <w:vAlign w:val="center"/>
          </w:tcPr>
          <w:p>
            <w:pPr>
              <w:spacing w:lineRule="auto"/>
              <w:jc w:val="right"/>
            </w:pPr>
            <w:r>
              <w:rPr/>
              <w:t xml:space="preserve">38000</w:t>
            </w:r>
          </w:p>
        </w:tc>
        <w:tc>
          <w:tcPr>
            <w:tcBorders>
              <w:bottom w:val="single" w:sz="8" w:space="0" w:color="000000"/>
              <w:right w:val="single" w:sz="8" w:space="0" w:color="000000"/>
            </w:tcBorders>
            <w:vAlign w:val="center"/>
          </w:tcPr>
          <w:p>
            <w:pPr>
              <w:spacing w:lineRule="auto"/>
              <w:jc w:val="right"/>
            </w:pPr>
            <w:r>
              <w:rPr/>
              <w:t xml:space="preserve">41500</w:t>
            </w:r>
          </w:p>
        </w:tc>
        <w:tc>
          <w:tcPr>
            <w:tcBorders>
              <w:bottom w:val="single" w:sz="8" w:space="0" w:color="000000"/>
              <w:right w:val="single" w:sz="8" w:space="0" w:color="000000"/>
            </w:tcBorders>
            <w:vAlign w:val="center"/>
          </w:tcPr>
          <w:p>
            <w:pPr>
              <w:spacing w:lineRule="auto"/>
              <w:jc w:val="right"/>
            </w:pPr>
            <w:r>
              <w:rPr/>
              <w:t xml:space="preserve">44200</w:t>
            </w:r>
          </w:p>
        </w:tc>
        <w:tc>
          <w:tcPr>
            <w:tcBorders>
              <w:bottom w:val="single" w:sz="8" w:space="0" w:color="000000"/>
              <w:right w:val="single" w:sz="8" w:space="0" w:color="000000"/>
            </w:tcBorders>
            <w:vAlign w:val="center"/>
          </w:tcPr>
          <w:p>
            <w:pPr>
              <w:spacing w:lineRule="auto"/>
              <w:jc w:val="right"/>
            </w:pPr>
            <w:r>
              <w:rPr/>
              <w:t xml:space="preserve">46500</w:t>
            </w:r>
          </w:p>
        </w:tc>
        <w:tc>
          <w:tcPr>
            <w:tcBorders>
              <w:bottom w:val="single" w:sz="8" w:space="0" w:color="000000"/>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CL to Sales (%)</w:t>
            </w:r>
          </w:p>
        </w:tc>
        <w:tc>
          <w:tcPr>
            <w:tcBorders>
              <w:bottom w:val="single" w:sz="8" w:space="0" w:color="000000"/>
              <w:right w:val="single" w:sz="8" w:space="0" w:color="000000"/>
            </w:tcBorders>
            <w:vAlign w:val="center"/>
          </w:tcPr>
          <w:p>
            <w:pPr>
              <w:spacing w:lineRule="auto"/>
              <w:jc w:val="right"/>
            </w:pPr>
            <w:r>
              <w:rPr>
                <w:b/>
              </w:rPr>
              <w:t xml:space="preserve">16.58%</w:t>
            </w:r>
          </w:p>
        </w:tc>
        <w:tc>
          <w:tcPr>
            <w:tcBorders>
              <w:bottom w:val="single" w:sz="8" w:space="0" w:color="000000"/>
              <w:right w:val="single" w:sz="8" w:space="0" w:color="000000"/>
            </w:tcBorders>
            <w:vAlign w:val="center"/>
          </w:tcPr>
          <w:p>
            <w:pPr>
              <w:spacing w:lineRule="auto"/>
              <w:jc w:val="right"/>
            </w:pPr>
            <w:r>
              <w:rPr>
                <w:b/>
              </w:rPr>
              <w:t xml:space="preserve">16.14%</w:t>
            </w:r>
          </w:p>
        </w:tc>
        <w:tc>
          <w:tcPr>
            <w:tcBorders>
              <w:bottom w:val="single" w:sz="8" w:space="0" w:color="000000"/>
              <w:right w:val="single" w:sz="8" w:space="0" w:color="000000"/>
            </w:tcBorders>
            <w:vAlign w:val="center"/>
          </w:tcPr>
          <w:p>
            <w:pPr>
              <w:spacing w:lineRule="auto"/>
              <w:jc w:val="right"/>
            </w:pPr>
            <w:r>
              <w:rPr>
                <w:b/>
              </w:rPr>
              <w:t xml:space="preserve">16.29%</w:t>
            </w:r>
          </w:p>
        </w:tc>
        <w:tc>
          <w:tcPr>
            <w:tcBorders>
              <w:bottom w:val="single" w:sz="8" w:space="0" w:color="000000"/>
              <w:right w:val="single" w:sz="8" w:space="0" w:color="000000"/>
            </w:tcBorders>
            <w:vAlign w:val="center"/>
          </w:tcPr>
          <w:p>
            <w:pPr>
              <w:spacing w:lineRule="auto"/>
              <w:jc w:val="right"/>
            </w:pPr>
            <w:r>
              <w:rPr>
                <w:b/>
              </w:rPr>
              <w:t xml:space="preserve">16.40%</w:t>
            </w:r>
          </w:p>
        </w:tc>
        <w:tc>
          <w:tcPr>
            <w:tcBorders>
              <w:bottom w:val="single" w:sz="8" w:space="0" w:color="000000"/>
              <w:right w:val="single" w:sz="8" w:space="0" w:color="000000"/>
            </w:tcBorders>
            <w:vAlign w:val="center"/>
          </w:tcPr>
          <w:p>
            <w:pPr>
              <w:spacing w:lineRule="auto"/>
              <w:jc w:val="right"/>
            </w:pPr>
            <w:r>
              <w:rPr>
                <w:b/>
              </w:rPr>
              <w:t xml:space="preserve">16.77%</w:t>
            </w:r>
          </w:p>
        </w:tc>
      </w:tr>
    </w:tbl>
    <w:p>
      <w:pPr>
        <w:spacing w:lineRule="auto"/>
      </w:pPr>
    </w:p>
    <w:p>
      <w:pPr>
        <w:spacing w:lineRule="auto"/>
      </w:pPr>
      <w:r>
        <w:rPr/>
        <w:t xml:space="preserve">Table 20: Current Liabilities to Sales Ratio</w:t>
      </w:r>
    </w:p>
    <w:p>
      <w:pPr>
        <w:spacing w:after="210" w:lineRule="auto"/>
      </w:pPr>
      <w:r>
        <w:rPr>
          <w:b/>
        </w:rPr>
        <w:t xml:space="preserve">Interpretation:</w:t>
      </w:r>
    </w:p>
    <w:p>
      <w:pPr>
        <w:numPr>
          <w:ilvl w:val="0"/>
          <w:numId w:val="50"/>
        </w:numPr>
        <w:spacing w:lineRule="auto"/>
      </w:pPr>
      <w:r>
        <w:rPr>
          <w:rFonts w:eastAsia="Georgia" w:cs="Georgia" w:ascii="Georgia" w:hAnsi="Georgia"/>
        </w:rPr>
        <w:t xml:space="preserve">Current liabilities represent 16–17% of annual sales; remarkably stable.</w:t>
      </w:r>
    </w:p>
    <w:p>
      <w:pPr>
        <w:numPr>
          <w:ilvl w:val="0"/>
          <w:numId w:val="50"/>
        </w:numPr>
        <w:spacing w:lineRule="auto"/>
      </w:pPr>
      <w:r>
        <w:rPr>
          <w:rFonts w:eastAsia="Georgia" w:cs="Georgia" w:ascii="Georgia" w:hAnsi="Georgia"/>
        </w:rPr>
        <w:t xml:space="preserve">For every ₹100 of sales, HUL maintains ₹16.77 in current liabilities (FY2025).</w:t>
      </w:r>
    </w:p>
    <w:p>
      <w:pPr>
        <w:numPr>
          <w:ilvl w:val="0"/>
          <w:numId w:val="50"/>
        </w:numPr>
        <w:spacing w:lineRule="auto"/>
      </w:pPr>
      <w:r>
        <w:rPr/>
        <w:t xml:space="preserve">The </w:t>
      </w:r>
      <w:r>
        <w:rPr>
          <w:b/>
        </w:rPr>
        <w:t xml:space="preserve">narrow gap</w:t>
      </w:r>
      <w:r>
        <w:rPr/>
        <w:t xml:space="preserve"> between CA to Sales (19.27%) and CL to Sales (16.77%) results in the low NWC to Sales ratio of 2.50%.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4" w:name="bm_9_cash_conversion_cycle_analysis"/>
      <w:r>
        <w:rPr>
          <w:b/>
          <w:sz w:val="42"/>
        </w:rPr>
        <w:t xml:space="preserve">9. CASH CONVERSION CYCLE ANALYSIS</w:t>
      </w:r>
      <w:bookmarkEnd w:id="84"/>
    </w:p>
    <w:p>
      <w:pPr>
        <w:spacing w:line="271" w:before="240" w:lineRule="auto"/>
      </w:pPr>
      <w:bookmarkStart w:id="85" w:name="bm_9_1_cash_conversion_cycle_ccc_e673d0"/>
      <w:r>
        <w:rPr>
          <w:b/>
          <w:sz w:val="33"/>
        </w:rPr>
        <w:t xml:space="preserve">9.1 Cash Conversion Cycle (CCC) Calculation</w:t>
      </w:r>
      <w:bookmarkEnd w:id="85"/>
    </w:p>
    <w:p>
      <w:pPr>
        <w:spacing w:after="210" w:lineRule="auto"/>
      </w:pPr>
      <w:r>
        <w:rPr>
          <w:b/>
        </w:rPr>
        <w:t xml:space="preserve">Formula:</w:t>
      </w:r>
    </w:p>
    <w:p>
      <w:pPr>
        <w:spacing w:after="210" w:lineRule="auto"/>
      </w:pPr>
      <m:oMathPara>
        <m:oMath>
          <m:r>
            <m:rPr>
              <m:nor/>
            </m:rPr>
            <m:t>CCC</m:t>
          </m:r>
          <m:r>
            <m:rPr>
              <m:sty m:val="p"/>
            </m:rPr>
            <m:t>=</m:t>
          </m:r>
          <m:r>
            <m:rPr>
              <m:nor/>
            </m:rPr>
            <m:t>DIO</m:t>
          </m:r>
          <m:r>
            <m:rPr>
              <m:sty m:val="p"/>
            </m:rPr>
            <m:t>+</m:t>
          </m:r>
          <m:r>
            <m:rPr>
              <m:nor/>
            </m:rPr>
            <m:t>DSO</m:t>
          </m:r>
          <m:r>
            <m:rPr>
              <m:sty m:val="p"/>
            </m:rPr>
            <m:t>−</m:t>
          </m:r>
          <m:r>
            <m:rPr>
              <m:nor/>
            </m:rPr>
            <m:t>DPO</m:t>
          </m:r>
        </m:oMath>
      </m:oMathPara>
    </w:p>
    <w:p>
      <w:pPr>
        <w:spacing w:after="210" w:lineRule="auto"/>
      </w:pPr>
      <w:r>
        <w:rPr/>
        <w:t xml:space="preserve">Where:</w:t>
      </w:r>
    </w:p>
    <w:p>
      <w:pPr>
        <w:numPr>
          <w:ilvl w:val="0"/>
          <w:numId w:val="51"/>
        </w:numPr>
        <w:spacing w:lineRule="auto"/>
      </w:pPr>
      <w:r>
        <w:rPr>
          <w:b/>
        </w:rPr>
        <w:t xml:space="preserve">DIO:</w:t>
      </w:r>
      <w:r>
        <w:rPr/>
        <w:t xml:space="preserve"> Days Inventory Outstanding (30.7 days in FY2025)</w:t>
      </w:r>
    </w:p>
    <w:p>
      <w:pPr>
        <w:numPr>
          <w:ilvl w:val="0"/>
          <w:numId w:val="51"/>
        </w:numPr>
        <w:spacing w:lineRule="auto"/>
      </w:pPr>
      <w:r>
        <w:rPr>
          <w:b/>
        </w:rPr>
        <w:t xml:space="preserve">DSO:</w:t>
      </w:r>
      <w:r>
        <w:rPr/>
        <w:t xml:space="preserve"> Days Sales Outstanding (21.1 days in FY2025)</w:t>
      </w:r>
    </w:p>
    <w:p>
      <w:pPr>
        <w:numPr>
          <w:ilvl w:val="0"/>
          <w:numId w:val="51"/>
        </w:numPr>
        <w:spacing w:lineRule="auto"/>
      </w:pPr>
      <w:r>
        <w:rPr>
          <w:b/>
        </w:rPr>
        <w:t xml:space="preserve">DPO:</w:t>
      </w:r>
      <w:r>
        <w:rPr/>
        <w:t xml:space="preserve"> Days Payable Outstanding (55.1 days in FY2025)</w:t>
      </w:r>
    </w:p>
    <w:p>
      <w:pPr>
        <w:spacing w:line="271" w:before="240" w:lineRule="auto"/>
      </w:pPr>
      <w:bookmarkStart w:id="86" w:name="bm_9_2_5_year_ccc_trend"/>
      <w:r>
        <w:rPr>
          <w:b/>
          <w:sz w:val="33"/>
        </w:rPr>
        <w:t xml:space="preserve">9.2 5-Year CCC Trend</w:t>
      </w:r>
      <w:bookmarkEnd w:id="86"/>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Year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r>
      <w:tr>
        <w:trPr>
          <w:cantSplit/>
        </w:trPr>
        <w:tc>
          <w:tcPr>
            <w:tcBorders>
              <w:left w:val="single" w:sz="8" w:space="0" w:color="000000"/>
              <w:right w:val="single" w:sz="8" w:space="0" w:color="000000"/>
            </w:tcBorders>
            <w:vAlign w:val="center"/>
          </w:tcPr>
          <w:p>
            <w:pPr>
              <w:spacing w:lineRule="auto"/>
              <w:jc w:val="left"/>
            </w:pPr>
            <w:r>
              <w:rPr/>
              <w:t xml:space="preserve">DIO (Days)</w:t>
            </w:r>
          </w:p>
        </w:tc>
        <w:tc>
          <w:tcPr>
            <w:tcBorders>
              <w:right w:val="single" w:sz="8" w:space="0" w:color="000000"/>
            </w:tcBorders>
            <w:vAlign w:val="center"/>
          </w:tcPr>
          <w:p>
            <w:pPr>
              <w:spacing w:lineRule="auto"/>
              <w:jc w:val="right"/>
            </w:pPr>
            <w:r>
              <w:rPr/>
              <w:t xml:space="preserve">27.6</w:t>
            </w:r>
          </w:p>
        </w:tc>
        <w:tc>
          <w:tcPr>
            <w:tcBorders>
              <w:right w:val="single" w:sz="8" w:space="0" w:color="000000"/>
            </w:tcBorders>
            <w:vAlign w:val="center"/>
          </w:tcPr>
          <w:p>
            <w:pPr>
              <w:spacing w:lineRule="auto"/>
              <w:jc w:val="right"/>
            </w:pPr>
            <w:r>
              <w:rPr/>
              <w:t xml:space="preserve">26.7</w:t>
            </w:r>
          </w:p>
        </w:tc>
        <w:tc>
          <w:tcPr>
            <w:tcBorders>
              <w:right w:val="single" w:sz="8" w:space="0" w:color="000000"/>
            </w:tcBorders>
            <w:vAlign w:val="center"/>
          </w:tcPr>
          <w:p>
            <w:pPr>
              <w:spacing w:lineRule="auto"/>
              <w:jc w:val="right"/>
            </w:pPr>
            <w:r>
              <w:rPr/>
              <w:t xml:space="preserve">27.9</w:t>
            </w:r>
          </w:p>
        </w:tc>
        <w:tc>
          <w:tcPr>
            <w:tcBorders>
              <w:right w:val="single" w:sz="8" w:space="0" w:color="000000"/>
            </w:tcBorders>
            <w:vAlign w:val="center"/>
          </w:tcPr>
          <w:p>
            <w:pPr>
              <w:spacing w:lineRule="auto"/>
              <w:jc w:val="right"/>
            </w:pPr>
            <w:r>
              <w:rPr/>
              <w:t xml:space="preserve">29.2</w:t>
            </w:r>
          </w:p>
        </w:tc>
        <w:tc>
          <w:tcPr>
            <w:tcBorders>
              <w:right w:val="single" w:sz="8" w:space="0" w:color="000000"/>
            </w:tcBorders>
            <w:vAlign w:val="center"/>
          </w:tcPr>
          <w:p>
            <w:pPr>
              <w:spacing w:lineRule="auto"/>
              <w:jc w:val="right"/>
            </w:pPr>
            <w:r>
              <w:rPr/>
              <w:t xml:space="preserve">30.7</w:t>
            </w:r>
          </w:p>
        </w:tc>
      </w:tr>
      <w:tr>
        <w:trPr>
          <w:cantSplit/>
        </w:trPr>
        <w:tc>
          <w:tcPr>
            <w:tcBorders>
              <w:left w:val="single" w:sz="8" w:space="0" w:color="000000"/>
              <w:right w:val="single" w:sz="8" w:space="0" w:color="000000"/>
            </w:tcBorders>
            <w:vAlign w:val="center"/>
          </w:tcPr>
          <w:p>
            <w:pPr>
              <w:spacing w:lineRule="auto"/>
              <w:jc w:val="left"/>
            </w:pPr>
            <w:r>
              <w:rPr/>
              <w:t xml:space="preserve">DSO (Days)</w:t>
            </w:r>
          </w:p>
        </w:tc>
        <w:tc>
          <w:tcPr>
            <w:tcBorders>
              <w:right w:val="single" w:sz="8" w:space="0" w:color="000000"/>
            </w:tcBorders>
            <w:vAlign w:val="center"/>
          </w:tcPr>
          <w:p>
            <w:pPr>
              <w:spacing w:lineRule="auto"/>
              <w:jc w:val="right"/>
            </w:pPr>
            <w:r>
              <w:rPr/>
              <w:t xml:space="preserve">17.3</w:t>
            </w:r>
          </w:p>
        </w:tc>
        <w:tc>
          <w:tcPr>
            <w:tcBorders>
              <w:right w:val="single" w:sz="8" w:space="0" w:color="000000"/>
            </w:tcBorders>
            <w:vAlign w:val="center"/>
          </w:tcPr>
          <w:p>
            <w:pPr>
              <w:spacing w:lineRule="auto"/>
              <w:jc w:val="right"/>
            </w:pPr>
            <w:r>
              <w:rPr/>
              <w:t xml:space="preserve">16.9</w:t>
            </w:r>
          </w:p>
        </w:tc>
        <w:tc>
          <w:tcPr>
            <w:tcBorders>
              <w:right w:val="single" w:sz="8" w:space="0" w:color="000000"/>
            </w:tcBorders>
            <w:vAlign w:val="center"/>
          </w:tcPr>
          <w:p>
            <w:pPr>
              <w:spacing w:lineRule="auto"/>
              <w:jc w:val="right"/>
            </w:pPr>
            <w:r>
              <w:rPr/>
              <w:t xml:space="preserve">18.4</w:t>
            </w:r>
          </w:p>
        </w:tc>
        <w:tc>
          <w:tcPr>
            <w:tcBorders>
              <w:right w:val="single" w:sz="8" w:space="0" w:color="000000"/>
            </w:tcBorders>
            <w:vAlign w:val="center"/>
          </w:tcPr>
          <w:p>
            <w:pPr>
              <w:spacing w:lineRule="auto"/>
              <w:jc w:val="right"/>
            </w:pPr>
            <w:r>
              <w:rPr/>
              <w:t xml:space="preserve">19.8</w:t>
            </w:r>
          </w:p>
        </w:tc>
        <w:tc>
          <w:tcPr>
            <w:tcBorders>
              <w:right w:val="single" w:sz="8" w:space="0" w:color="000000"/>
            </w:tcBorders>
            <w:vAlign w:val="center"/>
          </w:tcPr>
          <w:p>
            <w:pPr>
              <w:spacing w:lineRule="auto"/>
              <w:jc w:val="right"/>
            </w:pPr>
            <w:r>
              <w:rPr/>
              <w:t xml:space="preserve">21.1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 (Days)</w:t>
            </w:r>
          </w:p>
        </w:tc>
        <w:tc>
          <w:tcPr>
            <w:tcBorders>
              <w:bottom w:val="single" w:sz="8" w:space="0" w:color="000000"/>
              <w:right w:val="single" w:sz="8" w:space="0" w:color="000000"/>
            </w:tcBorders>
            <w:vAlign w:val="center"/>
          </w:tcPr>
          <w:p>
            <w:pPr>
              <w:spacing w:lineRule="auto"/>
              <w:jc w:val="right"/>
            </w:pPr>
            <w:r>
              <w:rPr/>
              <w:t xml:space="preserve">49.3</w:t>
            </w:r>
          </w:p>
        </w:tc>
        <w:tc>
          <w:tcPr>
            <w:tcBorders>
              <w:bottom w:val="single" w:sz="8" w:space="0" w:color="000000"/>
              <w:right w:val="single" w:sz="8" w:space="0" w:color="000000"/>
            </w:tcBorders>
            <w:vAlign w:val="center"/>
          </w:tcPr>
          <w:p>
            <w:pPr>
              <w:spacing w:lineRule="auto"/>
              <w:jc w:val="right"/>
            </w:pPr>
            <w:r>
              <w:rPr/>
              <w:t xml:space="preserve">47.9</w:t>
            </w:r>
          </w:p>
        </w:tc>
        <w:tc>
          <w:tcPr>
            <w:tcBorders>
              <w:bottom w:val="single" w:sz="8" w:space="0" w:color="000000"/>
              <w:right w:val="single" w:sz="8" w:space="0" w:color="000000"/>
            </w:tcBorders>
            <w:vAlign w:val="center"/>
          </w:tcPr>
          <w:p>
            <w:pPr>
              <w:spacing w:lineRule="auto"/>
              <w:jc w:val="right"/>
            </w:pPr>
            <w:r>
              <w:rPr/>
              <w:t xml:space="preserve">49.9</w:t>
            </w:r>
          </w:p>
        </w:tc>
        <w:tc>
          <w:tcPr>
            <w:tcBorders>
              <w:bottom w:val="single" w:sz="8" w:space="0" w:color="000000"/>
              <w:right w:val="single" w:sz="8" w:space="0" w:color="000000"/>
            </w:tcBorders>
            <w:vAlign w:val="center"/>
          </w:tcPr>
          <w:p>
            <w:pPr>
              <w:spacing w:lineRule="auto"/>
              <w:jc w:val="right"/>
            </w:pPr>
            <w:r>
              <w:rPr/>
              <w:t xml:space="preserve">52.0</w:t>
            </w:r>
          </w:p>
        </w:tc>
        <w:tc>
          <w:tcPr>
            <w:tcBorders>
              <w:bottom w:val="single" w:sz="8" w:space="0" w:color="000000"/>
              <w:right w:val="single" w:sz="8" w:space="0" w:color="000000"/>
            </w:tcBorders>
            <w:vAlign w:val="center"/>
          </w:tcPr>
          <w:p>
            <w:pPr>
              <w:spacing w:lineRule="auto"/>
              <w:jc w:val="right"/>
            </w:pPr>
            <w:r>
              <w:rPr/>
              <w:t xml:space="preserve">55.1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CCC (Days)</w:t>
            </w:r>
          </w:p>
        </w:tc>
        <w:tc>
          <w:tcPr>
            <w:tcBorders>
              <w:bottom w:val="single" w:sz="8" w:space="0" w:color="000000"/>
              <w:right w:val="single" w:sz="8" w:space="0" w:color="000000"/>
            </w:tcBorders>
            <w:vAlign w:val="center"/>
          </w:tcPr>
          <w:p>
            <w:pPr>
              <w:spacing w:lineRule="auto"/>
              <w:jc w:val="right"/>
            </w:pPr>
            <w:r>
              <w:rPr>
                <w:b/>
              </w:rPr>
              <w:t xml:space="preserve">-4.4</w:t>
            </w:r>
          </w:p>
        </w:tc>
        <w:tc>
          <w:tcPr>
            <w:tcBorders>
              <w:bottom w:val="single" w:sz="8" w:space="0" w:color="000000"/>
              <w:right w:val="single" w:sz="8" w:space="0" w:color="000000"/>
            </w:tcBorders>
            <w:vAlign w:val="center"/>
          </w:tcPr>
          <w:p>
            <w:pPr>
              <w:spacing w:lineRule="auto"/>
              <w:jc w:val="right"/>
            </w:pPr>
            <w:r>
              <w:rPr>
                <w:b/>
              </w:rPr>
              <w:t xml:space="preserve">-4.3</w:t>
            </w:r>
          </w:p>
        </w:tc>
        <w:tc>
          <w:tcPr>
            <w:tcBorders>
              <w:bottom w:val="single" w:sz="8" w:space="0" w:color="000000"/>
              <w:right w:val="single" w:sz="8" w:space="0" w:color="000000"/>
            </w:tcBorders>
            <w:vAlign w:val="center"/>
          </w:tcPr>
          <w:p>
            <w:pPr>
              <w:spacing w:lineRule="auto"/>
              <w:jc w:val="right"/>
            </w:pPr>
            <w:r>
              <w:rPr>
                <w:b/>
              </w:rPr>
              <w:t xml:space="preserve">-3.6</w:t>
            </w:r>
          </w:p>
        </w:tc>
        <w:tc>
          <w:tcPr>
            <w:tcBorders>
              <w:bottom w:val="single" w:sz="8" w:space="0" w:color="000000"/>
              <w:right w:val="single" w:sz="8" w:space="0" w:color="000000"/>
            </w:tcBorders>
            <w:vAlign w:val="center"/>
          </w:tcPr>
          <w:p>
            <w:pPr>
              <w:spacing w:lineRule="auto"/>
              <w:jc w:val="right"/>
            </w:pPr>
            <w:r>
              <w:rPr>
                <w:b/>
              </w:rPr>
              <w:t xml:space="preserve">-3.0</w:t>
            </w:r>
          </w:p>
        </w:tc>
        <w:tc>
          <w:tcPr>
            <w:tcBorders>
              <w:bottom w:val="single" w:sz="8" w:space="0" w:color="000000"/>
              <w:right w:val="single" w:sz="8" w:space="0" w:color="000000"/>
            </w:tcBorders>
            <w:vAlign w:val="center"/>
          </w:tcPr>
          <w:p>
            <w:pPr>
              <w:spacing w:lineRule="auto"/>
              <w:jc w:val="right"/>
            </w:pPr>
            <w:r>
              <w:rPr>
                <w:b/>
              </w:rPr>
              <w:t xml:space="preserve">-3.3</w:t>
            </w:r>
          </w:p>
        </w:tc>
      </w:tr>
    </w:tbl>
    <w:p>
      <w:pPr>
        <w:spacing w:lineRule="auto"/>
      </w:pPr>
    </w:p>
    <w:p>
      <w:pPr>
        <w:spacing w:lineRule="auto"/>
      </w:pPr>
      <w:r>
        <w:rPr/>
        <w:t xml:space="preserve">Table 21: Cash Conversion Cycle Trend</w:t>
      </w:r>
    </w:p>
    <w:p>
      <w:pPr>
        <w:spacing w:after="210" w:lineRule="auto"/>
      </w:pPr>
      <w:r>
        <w:rPr>
          <w:b/>
        </w:rPr>
        <w:t xml:space="preserve">Calculation for FY2025:</w:t>
      </w:r>
    </w:p>
    <w:p>
      <w:pPr>
        <w:spacing w:after="210" w:lineRule="auto"/>
      </w:pPr>
      <m:oMathPara>
        <m:oMath>
          <m:r>
            <m:rPr>
              <m:nor/>
            </m:rPr>
            <m:t>CCC</m:t>
          </m:r>
          <m:r>
            <m:rPr>
              <m:sty m:val="p"/>
            </m:rPr>
            <m:t>=</m:t>
          </m:r>
          <m:r>
            <m:rPr>
              <m:sty m:val="p"/>
            </m:rPr>
            <m:t>30.7</m:t>
          </m:r>
          <m:r>
            <m:rPr>
              <m:sty m:val="p"/>
            </m:rPr>
            <m:t>+</m:t>
          </m:r>
          <m:r>
            <m:rPr>
              <m:sty m:val="p"/>
            </m:rPr>
            <m:t>21.1</m:t>
          </m:r>
          <m:r>
            <m:rPr>
              <m:sty m:val="p"/>
            </m:rPr>
            <m:t>−</m:t>
          </m:r>
          <m:r>
            <m:rPr>
              <m:sty m:val="p"/>
            </m:rPr>
            <m:t>55.1</m:t>
          </m:r>
          <m:r>
            <m:rPr>
              <m:sty m:val="p"/>
            </m:rPr>
            <m:t>=</m:t>
          </m:r>
          <m:r>
            <m:rPr>
              <m:sty m:val="p"/>
            </m:rPr>
            <m:t>−</m:t>
          </m:r>
          <m:r>
            <m:rPr>
              <m:sty m:val="p"/>
            </m:rPr>
            <m:t>3.3</m:t>
          </m:r>
          <m:r>
            <m:rPr>
              <m:nor/>
            </m:rPr>
            <m:t> days</m:t>
          </m:r>
        </m:oMath>
      </m:oMathPara>
    </w:p>
    <w:p>
      <w:pPr>
        <w:spacing w:line="271" w:before="240" w:lineRule="auto"/>
      </w:pPr>
      <w:bookmarkStart w:id="87" w:name="bm_9_3_interpretation_of_negative_ccc"/>
      <w:r>
        <w:rPr>
          <w:b/>
          <w:sz w:val="33"/>
        </w:rPr>
        <w:t xml:space="preserve">9.3 Interpretation of Negative CCC</w:t>
      </w:r>
      <w:bookmarkEnd w:id="87"/>
    </w:p>
    <w:p>
      <w:pPr>
        <w:spacing w:after="210" w:lineRule="auto"/>
      </w:pPr>
      <w:r>
        <w:rPr>
          <w:b/>
        </w:rPr>
        <w:t xml:space="preserve">What Does a Negative CCC Mean?</w:t>
      </w:r>
    </w:p>
    <w:p>
      <w:pPr>
        <w:spacing w:after="210" w:lineRule="auto"/>
      </w:pPr>
      <w:r>
        <w:rPr/>
        <w:t xml:space="preserve">A </w:t>
      </w:r>
      <w:r>
        <w:rPr>
          <w:b/>
        </w:rPr>
        <w:t xml:space="preserve">negative CCC of -3.3 days</w:t>
      </w:r>
      <w:r>
        <w:rPr/>
        <w:t xml:space="preserve"> means HUL </w:t>
      </w:r>
      <w:r>
        <w:rPr>
          <w:b/>
        </w:rPr>
        <w:t xml:space="preserve">receives cash from customers 3.3 days BEFORE it pays suppliers</w:t>
      </w:r>
      <w:r>
        <w:rPr/>
        <w:t xml:space="preserve">. This is a </w:t>
      </w:r>
      <w:r>
        <w:rPr>
          <w:b/>
        </w:rPr>
        <w:t xml:space="preserve">significant competitive advantage</w:t>
      </w:r>
      <w:r>
        <w:rPr/>
        <w:t xml:space="preserve">:</w:t>
      </w:r>
    </w:p>
    <w:p>
      <w:pPr>
        <w:numPr>
          <w:ilvl w:val="0"/>
          <w:numId w:val="52"/>
        </w:numPr>
        <w:spacing w:after="210" w:lineRule="auto"/>
      </w:pPr>
      <w:r>
        <w:rPr>
          <w:b/>
        </w:rPr>
        <w:t xml:space="preserve">Free Financing:</w:t>
      </w:r>
      <w:r>
        <w:rPr/>
        <w:t xml:space="preserve"> Suppliers effectively provide 3.3 days of free working capital financing.</w:t>
      </w:r>
    </w:p>
    <w:p>
      <w:pPr>
        <w:numPr>
          <w:ilvl w:val="1"/>
          <w:numId w:val="52"/>
        </w:numPr>
        <w:spacing w:lineRule="auto"/>
      </w:pPr>
      <w:r>
        <w:rPr>
          <w:rFonts w:eastAsia="Georgia" w:cs="Georgia" w:ascii="Georgia" w:hAnsi="Georgia"/>
        </w:rPr>
        <w:t xml:space="preserve">On ₹48,000 Cr annual sales, this represents approximately </w:t>
      </w:r>
      <w:r>
        <w:rPr>
          <w:b/>
        </w:rPr>
        <w:t xml:space="preserve">₹400 Cr of free financing</w:t>
      </w:r>
      <w:r>
        <w:rPr/>
        <w:t xml:space="preserve"> per year.</w:t>
      </w:r>
    </w:p>
    <w:p>
      <w:pPr>
        <w:numPr>
          <w:ilvl w:val="0"/>
          <w:numId w:val="52"/>
        </w:numPr>
        <w:spacing w:after="210" w:lineRule="auto"/>
      </w:pPr>
      <w:r>
        <w:rPr>
          <w:b/>
        </w:rPr>
        <w:t xml:space="preserve">Cash Generation Machine:</w:t>
      </w:r>
      <w:r>
        <w:rPr/>
        <w:t xml:space="preserve"> The company does not need to invest working capital; instead, it extracts cash from the operating cycle.</w:t>
      </w:r>
    </w:p>
    <w:p>
      <w:pPr>
        <w:numPr>
          <w:ilvl w:val="0"/>
          <w:numId w:val="52"/>
        </w:numPr>
        <w:spacing w:after="210" w:lineRule="auto"/>
      </w:pPr>
      <w:r>
        <w:rPr>
          <w:b/>
        </w:rPr>
        <w:t xml:space="preserve">Competitive Moat:</w:t>
      </w:r>
      <w:r>
        <w:rPr/>
        <w:t xml:space="preserve"> This efficiency is difficult to replicate and reflects HUL's market power, brand strength, and operational excellence.</w:t>
      </w:r>
    </w:p>
    <w:p>
      <w:pPr>
        <w:spacing w:line="271" w:before="240" w:lineRule="auto"/>
      </w:pPr>
      <w:bookmarkStart w:id="88" w:name="bm_9_4_comparison_with_industry"/>
      <w:r>
        <w:rPr>
          <w:b/>
          <w:sz w:val="33"/>
        </w:rPr>
        <w:t xml:space="preserve">9.4 Comparison with Industry</w:t>
      </w:r>
      <w:bookmarkEnd w:id="88"/>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Company / Category</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CCC (Days)</w:t>
            </w:r>
          </w:p>
        </w:tc>
      </w:tr>
      <w:tr>
        <w:trPr>
          <w:cantSplit/>
        </w:trPr>
        <w:tc>
          <w:tcPr>
            <w:tcBorders>
              <w:left w:val="single" w:sz="8" w:space="0" w:color="000000"/>
              <w:right w:val="single" w:sz="8" w:space="0" w:color="000000"/>
            </w:tcBorders>
            <w:vAlign w:val="center"/>
          </w:tcPr>
          <w:p>
            <w:pPr>
              <w:spacing w:lineRule="auto"/>
              <w:jc w:val="left"/>
            </w:pPr>
            <w:r>
              <w:rPr/>
              <w:t xml:space="preserve">HUL</w:t>
            </w:r>
          </w:p>
        </w:tc>
        <w:tc>
          <w:tcPr>
            <w:tcBorders>
              <w:right w:val="single" w:sz="8" w:space="0" w:color="000000"/>
            </w:tcBorders>
            <w:vAlign w:val="center"/>
          </w:tcPr>
          <w:p>
            <w:pPr>
              <w:spacing w:lineRule="auto"/>
              <w:jc w:val="right"/>
            </w:pPr>
            <w:r>
              <w:rPr/>
              <w:t xml:space="preserve">-3.3</w:t>
            </w:r>
          </w:p>
        </w:tc>
      </w:tr>
      <w:tr>
        <w:trPr>
          <w:cantSplit/>
        </w:trPr>
        <w:tc>
          <w:tcPr>
            <w:tcBorders>
              <w:left w:val="single" w:sz="8" w:space="0" w:color="000000"/>
              <w:right w:val="single" w:sz="8" w:space="0" w:color="000000"/>
            </w:tcBorders>
            <w:vAlign w:val="center"/>
          </w:tcPr>
          <w:p>
            <w:pPr>
              <w:spacing w:lineRule="auto"/>
              <w:jc w:val="left"/>
            </w:pPr>
            <w:r>
              <w:rPr/>
              <w:t xml:space="preserve">Industry Average (FMCG)</w:t>
            </w:r>
          </w:p>
        </w:tc>
        <w:tc>
          <w:tcPr>
            <w:tcBorders>
              <w:right w:val="single" w:sz="8" w:space="0" w:color="000000"/>
            </w:tcBorders>
            <w:vAlign w:val="center"/>
          </w:tcPr>
          <w:p>
            <w:pPr>
              <w:spacing w:lineRule="auto"/>
              <w:jc w:val="right"/>
            </w:pPr>
            <w:r>
              <w:rPr>
                <w:rFonts w:eastAsia="Georgia" w:cs="Georgia" w:ascii="Georgia" w:hAnsi="Georgia"/>
              </w:rPr>
              <w:t xml:space="preserve">10–20</w:t>
            </w:r>
          </w:p>
        </w:tc>
      </w:tr>
      <w:tr>
        <w:trPr>
          <w:cantSplit/>
        </w:trPr>
        <w:tc>
          <w:tcPr>
            <w:tcBorders>
              <w:left w:val="single" w:sz="8" w:space="0" w:color="000000"/>
              <w:right w:val="single" w:sz="8" w:space="0" w:color="000000"/>
            </w:tcBorders>
            <w:vAlign w:val="center"/>
          </w:tcPr>
          <w:p>
            <w:pPr>
              <w:spacing w:lineRule="auto"/>
              <w:jc w:val="left"/>
            </w:pPr>
            <w:r>
              <w:rPr/>
              <w:t xml:space="preserve">High-Efficiency FMCG Leaders</w:t>
            </w:r>
          </w:p>
        </w:tc>
        <w:tc>
          <w:tcPr>
            <w:tcBorders>
              <w:right w:val="single" w:sz="8" w:space="0" w:color="000000"/>
            </w:tcBorders>
            <w:vAlign w:val="center"/>
          </w:tcPr>
          <w:p>
            <w:pPr>
              <w:spacing w:lineRule="auto"/>
              <w:jc w:val="right"/>
            </w:pPr>
            <w:r>
              <w:rPr>
                <w:rFonts w:eastAsia="Georgia" w:cs="Georgia" w:ascii="Georgia" w:hAnsi="Georgia"/>
              </w:rPr>
              <w:t xml:space="preserve">5–15</w:t>
            </w:r>
          </w:p>
        </w:tc>
      </w:tr>
      <w:tr>
        <w:trPr>
          <w:cantSplit/>
        </w:trPr>
        <w:tc>
          <w:tcPr>
            <w:tcBorders>
              <w:left w:val="single" w:sz="8" w:space="0" w:color="000000"/>
              <w:right w:val="single" w:sz="8" w:space="0" w:color="000000"/>
            </w:tcBorders>
            <w:vAlign w:val="center"/>
          </w:tcPr>
          <w:p>
            <w:pPr>
              <w:spacing w:lineRule="auto"/>
              <w:jc w:val="left"/>
            </w:pPr>
            <w:r>
              <w:rPr/>
              <w:t xml:space="preserve">Typical Retail</w:t>
            </w:r>
          </w:p>
        </w:tc>
        <w:tc>
          <w:tcPr>
            <w:tcBorders>
              <w:right w:val="single" w:sz="8" w:space="0" w:color="000000"/>
            </w:tcBorders>
            <w:vAlign w:val="center"/>
          </w:tcPr>
          <w:p>
            <w:pPr>
              <w:spacing w:lineRule="auto"/>
              <w:jc w:val="right"/>
            </w:pPr>
            <w:r>
              <w:rPr>
                <w:rFonts w:eastAsia="Georgia" w:cs="Georgia" w:ascii="Georgia" w:hAnsi="Georgia"/>
              </w:rPr>
              <w:t xml:space="preserve">20–40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Manufacturing</w:t>
            </w:r>
          </w:p>
        </w:tc>
        <w:tc>
          <w:tcPr>
            <w:tcBorders>
              <w:bottom w:val="single" w:sz="8" w:space="0" w:color="000000"/>
              <w:right w:val="single" w:sz="8" w:space="0" w:color="000000"/>
            </w:tcBorders>
            <w:vAlign w:val="center"/>
          </w:tcPr>
          <w:p>
            <w:pPr>
              <w:spacing w:lineRule="auto"/>
              <w:jc w:val="right"/>
            </w:pPr>
            <w:r>
              <w:rPr>
                <w:rFonts w:eastAsia="Georgia" w:cs="Georgia" w:ascii="Georgia" w:hAnsi="Georgia"/>
              </w:rPr>
              <w:t xml:space="preserve">30–60</w:t>
            </w:r>
          </w:p>
        </w:tc>
      </w:tr>
    </w:tbl>
    <w:p>
      <w:pPr>
        <w:spacing w:lineRule="auto"/>
      </w:pPr>
    </w:p>
    <w:p>
      <w:pPr>
        <w:spacing w:lineRule="auto"/>
      </w:pPr>
      <w:r>
        <w:rPr/>
        <w:t xml:space="preserve">Table 22: CCC Comparison</w:t>
      </w:r>
    </w:p>
    <w:p>
      <w:pPr>
        <w:spacing w:after="210" w:lineRule="auto"/>
      </w:pPr>
      <w:r>
        <w:rPr>
          <w:b/>
        </w:rPr>
        <w:t xml:space="preserve">Conclusion:</w:t>
      </w:r>
      <w:r>
        <w:rPr/>
        <w:t xml:space="preserve"> HUL's negative CCC of -3.3 days is </w:t>
      </w:r>
      <w:r>
        <w:rPr>
          <w:b/>
        </w:rPr>
        <w:t xml:space="preserve">exceptional</w:t>
      </w:r>
      <w:r>
        <w:rPr/>
        <w:t xml:space="preserve"> and ranks it among the </w:t>
      </w:r>
      <w:r>
        <w:rPr>
          <w:b/>
        </w:rPr>
        <w:t xml:space="preserve">most efficient companies globally</w:t>
      </w:r>
      <w:r>
        <w:rPr/>
        <w:t xml:space="preserve"> in terms of working capital management.</w:t>
      </w:r>
    </w:p>
    <w:p>
      <w:pPr>
        <w:spacing w:line="271" w:before="240" w:lineRule="auto"/>
      </w:pPr>
      <w:bookmarkStart w:id="89" w:name="bm_9_5_ccc_decomposition_contribu_2e77bf"/>
      <w:r>
        <w:rPr>
          <w:b/>
          <w:sz w:val="33"/>
        </w:rPr>
        <w:t xml:space="preserve">9.5 CCC Decomposition: Contribution to Overall Efficiency</w:t>
      </w:r>
      <w:bookmarkEnd w:id="89"/>
    </w:p>
    <w:p>
      <w:pPr>
        <w:spacing w:after="210" w:lineRule="auto"/>
      </w:pPr>
      <w:r>
        <w:rPr/>
        <w:t xml:space="preserve">To understand which component drives HUL's superior CCC, we analyze the contribution of each:</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Component</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FY2025</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Change (Days)</w:t>
            </w:r>
          </w:p>
        </w:tc>
      </w:tr>
      <w:tr>
        <w:trPr>
          <w:cantSplit/>
        </w:trPr>
        <w:tc>
          <w:tcPr>
            <w:tcBorders>
              <w:left w:val="single" w:sz="8" w:space="0" w:color="000000"/>
              <w:right w:val="single" w:sz="8" w:space="0" w:color="000000"/>
            </w:tcBorders>
            <w:vAlign w:val="center"/>
          </w:tcPr>
          <w:p>
            <w:pPr>
              <w:spacing w:lineRule="auto"/>
              <w:jc w:val="left"/>
            </w:pPr>
            <w:r>
              <w:rPr/>
              <w:t xml:space="preserve">DIO</w:t>
            </w:r>
          </w:p>
        </w:tc>
        <w:tc>
          <w:tcPr>
            <w:tcBorders>
              <w:right w:val="single" w:sz="8" w:space="0" w:color="000000"/>
            </w:tcBorders>
            <w:vAlign w:val="center"/>
          </w:tcPr>
          <w:p>
            <w:pPr>
              <w:spacing w:lineRule="auto"/>
              <w:jc w:val="right"/>
            </w:pPr>
            <w:r>
              <w:rPr/>
              <w:t xml:space="preserve">27.6</w:t>
            </w:r>
          </w:p>
        </w:tc>
        <w:tc>
          <w:tcPr>
            <w:tcBorders>
              <w:right w:val="single" w:sz="8" w:space="0" w:color="000000"/>
            </w:tcBorders>
            <w:vAlign w:val="center"/>
          </w:tcPr>
          <w:p>
            <w:pPr>
              <w:spacing w:lineRule="auto"/>
              <w:jc w:val="right"/>
            </w:pPr>
            <w:r>
              <w:rPr/>
              <w:t xml:space="preserve">30.7</w:t>
            </w:r>
          </w:p>
        </w:tc>
        <w:tc>
          <w:tcPr>
            <w:tcBorders>
              <w:right w:val="single" w:sz="8" w:space="0" w:color="000000"/>
            </w:tcBorders>
            <w:vAlign w:val="center"/>
          </w:tcPr>
          <w:p>
            <w:pPr>
              <w:spacing w:lineRule="auto"/>
              <w:jc w:val="right"/>
            </w:pPr>
            <w:r>
              <w:rPr/>
              <w:t xml:space="preserve">+3.1</w:t>
            </w:r>
          </w:p>
        </w:tc>
      </w:tr>
      <w:tr>
        <w:trPr>
          <w:cantSplit/>
        </w:trPr>
        <w:tc>
          <w:tcPr>
            <w:tcBorders>
              <w:left w:val="single" w:sz="8" w:space="0" w:color="000000"/>
              <w:right w:val="single" w:sz="8" w:space="0" w:color="000000"/>
            </w:tcBorders>
            <w:vAlign w:val="center"/>
          </w:tcPr>
          <w:p>
            <w:pPr>
              <w:spacing w:lineRule="auto"/>
              <w:jc w:val="left"/>
            </w:pPr>
            <w:r>
              <w:rPr/>
              <w:t xml:space="preserve">DSO</w:t>
            </w:r>
          </w:p>
        </w:tc>
        <w:tc>
          <w:tcPr>
            <w:tcBorders>
              <w:right w:val="single" w:sz="8" w:space="0" w:color="000000"/>
            </w:tcBorders>
            <w:vAlign w:val="center"/>
          </w:tcPr>
          <w:p>
            <w:pPr>
              <w:spacing w:lineRule="auto"/>
              <w:jc w:val="right"/>
            </w:pPr>
            <w:r>
              <w:rPr/>
              <w:t xml:space="preserve">17.3</w:t>
            </w:r>
          </w:p>
        </w:tc>
        <w:tc>
          <w:tcPr>
            <w:tcBorders>
              <w:right w:val="single" w:sz="8" w:space="0" w:color="000000"/>
            </w:tcBorders>
            <w:vAlign w:val="center"/>
          </w:tcPr>
          <w:p>
            <w:pPr>
              <w:spacing w:lineRule="auto"/>
              <w:jc w:val="right"/>
            </w:pPr>
            <w:r>
              <w:rPr/>
              <w:t xml:space="preserve">21.1</w:t>
            </w:r>
          </w:p>
        </w:tc>
        <w:tc>
          <w:tcPr>
            <w:tcBorders>
              <w:right w:val="single" w:sz="8" w:space="0" w:color="000000"/>
            </w:tcBorders>
            <w:vAlign w:val="center"/>
          </w:tcPr>
          <w:p>
            <w:pPr>
              <w:spacing w:lineRule="auto"/>
              <w:jc w:val="right"/>
            </w:pPr>
            <w:r>
              <w:rPr/>
              <w:t xml:space="preserve">+3.8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Combined (DIO + DSO)</w:t>
            </w:r>
          </w:p>
        </w:tc>
        <w:tc>
          <w:tcPr>
            <w:tcBorders>
              <w:bottom w:val="single" w:sz="8" w:space="0" w:color="000000"/>
              <w:right w:val="single" w:sz="8" w:space="0" w:color="000000"/>
            </w:tcBorders>
            <w:vAlign w:val="center"/>
          </w:tcPr>
          <w:p>
            <w:pPr>
              <w:spacing w:lineRule="auto"/>
              <w:jc w:val="right"/>
            </w:pPr>
            <w:r>
              <w:rPr/>
              <w:t xml:space="preserve">44.9</w:t>
            </w:r>
          </w:p>
        </w:tc>
        <w:tc>
          <w:tcPr>
            <w:tcBorders>
              <w:bottom w:val="single" w:sz="8" w:space="0" w:color="000000"/>
              <w:right w:val="single" w:sz="8" w:space="0" w:color="000000"/>
            </w:tcBorders>
            <w:vAlign w:val="center"/>
          </w:tcPr>
          <w:p>
            <w:pPr>
              <w:spacing w:lineRule="auto"/>
              <w:jc w:val="right"/>
            </w:pPr>
            <w:r>
              <w:rPr/>
              <w:t xml:space="preserve">51.8</w:t>
            </w:r>
          </w:p>
        </w:tc>
        <w:tc>
          <w:tcPr>
            <w:tcBorders>
              <w:bottom w:val="single" w:sz="8" w:space="0" w:color="000000"/>
              <w:right w:val="single" w:sz="8" w:space="0" w:color="000000"/>
            </w:tcBorders>
            <w:vAlign w:val="center"/>
          </w:tcPr>
          <w:p>
            <w:pPr>
              <w:spacing w:lineRule="auto"/>
              <w:jc w:val="right"/>
            </w:pPr>
            <w:r>
              <w:rPr/>
              <w:t xml:space="preserve">+6.9</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w:t>
            </w:r>
          </w:p>
        </w:tc>
        <w:tc>
          <w:tcPr>
            <w:tcBorders>
              <w:bottom w:val="single" w:sz="8" w:space="0" w:color="000000"/>
              <w:right w:val="single" w:sz="8" w:space="0" w:color="000000"/>
            </w:tcBorders>
            <w:vAlign w:val="center"/>
          </w:tcPr>
          <w:p>
            <w:pPr>
              <w:spacing w:lineRule="auto"/>
              <w:jc w:val="right"/>
            </w:pPr>
            <w:r>
              <w:rPr/>
              <w:t xml:space="preserve">49.3</w:t>
            </w:r>
          </w:p>
        </w:tc>
        <w:tc>
          <w:tcPr>
            <w:tcBorders>
              <w:bottom w:val="single" w:sz="8" w:space="0" w:color="000000"/>
              <w:right w:val="single" w:sz="8" w:space="0" w:color="000000"/>
            </w:tcBorders>
            <w:vAlign w:val="center"/>
          </w:tcPr>
          <w:p>
            <w:pPr>
              <w:spacing w:lineRule="auto"/>
              <w:jc w:val="right"/>
            </w:pPr>
            <w:r>
              <w:rPr/>
              <w:t xml:space="preserve">55.1</w:t>
            </w:r>
          </w:p>
        </w:tc>
        <w:tc>
          <w:tcPr>
            <w:tcBorders>
              <w:bottom w:val="single" w:sz="8" w:space="0" w:color="000000"/>
              <w:right w:val="single" w:sz="8" w:space="0" w:color="000000"/>
            </w:tcBorders>
            <w:vAlign w:val="center"/>
          </w:tcPr>
          <w:p>
            <w:pPr>
              <w:spacing w:lineRule="auto"/>
              <w:jc w:val="right"/>
            </w:pPr>
            <w:r>
              <w:rPr/>
              <w:t xml:space="preserve">+5.8</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CCC (DIO + DSO - DPO)</w:t>
            </w:r>
          </w:p>
        </w:tc>
        <w:tc>
          <w:tcPr>
            <w:tcBorders>
              <w:bottom w:val="single" w:sz="8" w:space="0" w:color="000000"/>
              <w:right w:val="single" w:sz="8" w:space="0" w:color="000000"/>
            </w:tcBorders>
            <w:vAlign w:val="center"/>
          </w:tcPr>
          <w:p>
            <w:pPr>
              <w:spacing w:lineRule="auto"/>
              <w:jc w:val="right"/>
            </w:pPr>
            <w:r>
              <w:rPr/>
              <w:t xml:space="preserve">-4.4</w:t>
            </w:r>
          </w:p>
        </w:tc>
        <w:tc>
          <w:tcPr>
            <w:tcBorders>
              <w:bottom w:val="single" w:sz="8" w:space="0" w:color="000000"/>
              <w:right w:val="single" w:sz="8" w:space="0" w:color="000000"/>
            </w:tcBorders>
            <w:vAlign w:val="center"/>
          </w:tcPr>
          <w:p>
            <w:pPr>
              <w:spacing w:lineRule="auto"/>
              <w:jc w:val="right"/>
            </w:pPr>
            <w:r>
              <w:rPr/>
              <w:t xml:space="preserve">-3.3</w:t>
            </w:r>
          </w:p>
        </w:tc>
        <w:tc>
          <w:tcPr>
            <w:tcBorders>
              <w:bottom w:val="single" w:sz="8" w:space="0" w:color="000000"/>
              <w:right w:val="single" w:sz="8" w:space="0" w:color="000000"/>
            </w:tcBorders>
            <w:vAlign w:val="center"/>
          </w:tcPr>
          <w:p>
            <w:pPr>
              <w:spacing w:lineRule="auto"/>
              <w:jc w:val="right"/>
            </w:pPr>
            <w:r>
              <w:rPr/>
              <w:t xml:space="preserve">+1.1</w:t>
            </w:r>
          </w:p>
        </w:tc>
      </w:tr>
    </w:tbl>
    <w:p>
      <w:pPr>
        <w:spacing w:lineRule="auto"/>
      </w:pPr>
    </w:p>
    <w:p>
      <w:pPr>
        <w:spacing w:lineRule="auto"/>
        <w:jc w:val="center"/>
      </w:pPr>
      <w:r>
        <w:rPr/>
        <w:t xml:space="preserve">&lt;/table&gt;</w:t>
      </w:r>
      <w:r>
        <w:rPr/>
        <w:br w:type="textWrapping"/>
      </w:r>
      <w:r>
        <w:rPr>
          <w:b/>
        </w:rPr>
        <w:t xml:space="preserve">Key Findings:</w:t>
      </w:r>
      <w:r>
        <w:rPr/>
        <w:br w:type="textWrapping"/>
      </w:r>
      <w:r>
        <w:rPr/>
        <w:t xml:space="preserve">1. </w:t>
      </w:r>
      <w:r>
        <w:rPr>
          <w:b/>
        </w:rPr>
        <w:t xml:space="preserve">DIO Increase (+3.1 days):</w:t>
      </w:r>
      <w:r>
        <w:rPr/>
        <w:t xml:space="preserve"> Slight increase in inventory holding periods; compensated by high turnover.</w:t>
      </w:r>
      <w:r>
        <w:rPr/>
        <w:br w:type="textWrapping"/>
      </w:r>
      <w:r>
        <w:rPr/>
        <w:t xml:space="preserve">2. </w:t>
      </w:r>
      <w:r>
        <w:rPr>
          <w:b/>
        </w:rPr>
        <w:t xml:space="preserve">DSO Increase (+3.8 days):</w:t>
      </w:r>
      <w:r>
        <w:rPr/>
        <w:t xml:space="preserve"> Slightly longer collection periods but still exceptional at 21 days.</w:t>
      </w:r>
      <w:r>
        <w:rPr/>
        <w:br w:type="textWrapping"/>
      </w:r>
      <w:r>
        <w:rPr/>
        <w:t xml:space="preserve">3. </w:t>
      </w:r>
      <w:r>
        <w:rPr>
          <w:b/>
        </w:rPr>
        <w:t xml:space="preserve">DPO Increase (+5.8 days):</w:t>
      </w:r>
      <w:r>
        <w:rPr/>
        <w:t xml:space="preserve"> </w:t>
      </w:r>
      <w:r>
        <w:rPr>
          <w:b/>
        </w:rPr>
        <w:t xml:space="preserve">The primary driver of working capital advantage</w:t>
      </w:r>
      <w:r>
        <w:rPr>
          <w:rFonts w:eastAsia="Georgia" w:cs="Georgia" w:ascii="Georgia" w:hAnsi="Georgia"/>
        </w:rPr>
        <w:t xml:space="preserve">. HUL extended payables from 49.3 to 55.1 days—a strategic lever for cash optimization.</w:t>
      </w:r>
      <w:r>
        <w:rPr/>
        <w:br w:type="textWrapping"/>
      </w:r>
      <w:r>
        <w:rPr/>
        <w:t xml:space="preserve">4. </w:t>
      </w:r>
      <w:r>
        <w:rPr>
          <w:b/>
        </w:rPr>
        <w:t xml:space="preserve">Net Effect:</w:t>
      </w:r>
      <w:r>
        <w:rPr/>
        <w:t xml:space="preserve"> Despite increases in DIO and DSO, the larger increase in DPO resulted in a </w:t>
      </w:r>
      <w:r>
        <w:rPr>
          <w:b/>
        </w:rPr>
        <w:t xml:space="preserve">larger negative CCC</w:t>
      </w:r>
      <w:r>
        <w:rPr/>
        <w:t xml:space="preserve">, strengthening the working capital position.</w:t>
      </w:r>
      <w:r>
        <w:rPr/>
        <w:br w:type="textWrapping"/>
      </w:r>
      <w:r>
        <w:rPr/>
        <w:t xml:space="preserve">---</w:t>
      </w:r>
      <w:r>
        <w:rPr/>
        <w:br w:type="textWrapping"/>
      </w:r>
      <w:r>
        <w:rPr>
          <w:rFonts w:eastAsia="Georgia" w:cs="Georgia" w:ascii="Georgia" w:hAnsi="Georgia"/>
        </w:rPr>
        <w:t xml:space="preserve">## 10. KEY FINDINGS AND INSIGHTS</w:t>
      </w:r>
      <w:r>
        <w:rPr/>
        <w:br w:type="textWrapping"/>
      </w:r>
      <w:r>
        <w:rPr>
          <w:rFonts w:eastAsia="Georgia" w:cs="Georgia" w:ascii="Georgia" w:hAnsi="Georgia"/>
        </w:rPr>
        <w:t xml:space="preserve">### 10.1 Working Capital Position</w:t>
      </w:r>
      <w:r>
        <w:rPr/>
        <w:br w:type="textWrapping"/>
      </w:r>
      <w:r>
        <w:rPr>
          <w:b/>
        </w:rPr>
        <w:t xml:space="preserve">Finding 1: Structurally Efficient Working Capital</w:t>
      </w:r>
      <w:r>
        <w:rPr/>
        <w:br w:type="textWrapping"/>
      </w:r>
      <w:r>
        <w:rPr/>
        <w:t xml:space="preserve">- HUL maintains </w:t>
      </w:r>
      <w:r>
        <w:rPr>
          <w:b/>
        </w:rPr>
        <w:t xml:space="preserve">minimal net working capital</w:t>
      </w:r>
      <w:r>
        <w:rPr/>
        <w:t xml:space="preserve"> relative to business scale.</w:t>
      </w:r>
      <w:r>
        <w:rPr/>
        <w:br w:type="textWrapping"/>
      </w:r>
      <w:r>
        <w:rPr/>
        <w:t xml:space="preserve">- NWC to Sales ratio of 2.50% in FY2025 is </w:t>
      </w:r>
      <w:r>
        <w:rPr>
          <w:b/>
        </w:rPr>
        <w:t xml:space="preserve">exceptionally low</w:t>
      </w:r>
      <w:r>
        <w:rPr>
          <w:rFonts w:eastAsia="Georgia" w:cs="Georgia" w:ascii="Georgia" w:hAnsi="Georgia"/>
        </w:rPr>
        <w:t xml:space="preserve">, compared to FMCG industry average of 5–10%.</w:t>
      </w:r>
      <w:r>
        <w:rPr/>
        <w:br w:type="textWrapping"/>
      </w:r>
      <w:r>
        <w:rPr/>
        <w:t xml:space="preserve">- This efficiency is intentional and reflects best-in-class working capital management.</w:t>
      </w:r>
      <w:r>
        <w:rPr/>
        <w:br w:type="textWrapping"/>
      </w:r>
      <w:r>
        <w:rPr>
          <w:b/>
        </w:rPr>
        <w:t xml:space="preserve">Finding 2: Negative Working Capital Days</w:t>
      </w:r>
      <w:r>
        <w:rPr/>
        <w:br w:type="textWrapping"/>
      </w:r>
      <w:r>
        <w:rPr/>
        <w:t xml:space="preserve">- Cash Conversion Cycle of </w:t>
      </w:r>
      <w:r>
        <w:rPr>
          <w:b/>
        </w:rPr>
        <w:t xml:space="preserve">-3.3 days</w:t>
      </w:r>
      <w:r>
        <w:rPr/>
        <w:t xml:space="preserve"> indicates HUL extracts cash from operations, not invest in them.</w:t>
      </w:r>
      <w:r>
        <w:rPr/>
        <w:br w:type="textWrapping"/>
      </w:r>
      <w:r>
        <w:rPr>
          <w:rFonts w:eastAsia="Georgia" w:cs="Georgia" w:ascii="Georgia" w:hAnsi="Georgia"/>
        </w:rPr>
        <w:t xml:space="preserve">- For a ₹48,000 Cr revenue company, this represents approximately </w:t>
      </w:r>
      <w:r>
        <w:rPr>
          <w:b/>
        </w:rPr>
        <w:t xml:space="preserve">₹400 Cr of annual financing benefit</w:t>
      </w:r>
      <w:r>
        <w:rPr/>
        <w:t xml:space="preserve">.</w:t>
      </w:r>
      <w:r>
        <w:rPr/>
        <w:br w:type="textWrapping"/>
      </w:r>
      <w:r>
        <w:rPr>
          <w:b/>
        </w:rPr>
        <w:t xml:space="preserve">Finding 3: Growing Absolute Liquidity</w:t>
      </w:r>
      <w:r>
        <w:rPr/>
        <w:br w:type="textWrapping"/>
      </w:r>
      <w:r>
        <w:rPr>
          <w:rFonts w:eastAsia="Georgia" w:cs="Georgia" w:ascii="Georgia" w:hAnsi="Georgia"/>
        </w:rPr>
        <w:t xml:space="preserve">- While NWC to Sales is low, absolute NWC grew from ₹300 Cr to ₹1,200 Cr, reflecting business expansion and balance sheet strength.</w:t>
      </w:r>
      <w:r>
        <w:rPr/>
        <w:br w:type="textWrapping"/>
      </w:r>
      <w:r>
        <w:rPr/>
        <w:t xml:space="preserve">- This balance between efficiency and financial flexibility is optimal.</w:t>
      </w:r>
      <w:r>
        <w:rPr/>
        <w:br w:type="textWrapping"/>
      </w:r>
      <w:r>
        <w:rPr>
          <w:rFonts w:eastAsia="Georgia" w:cs="Georgia" w:ascii="Georgia" w:hAnsi="Georgia"/>
        </w:rPr>
        <w:t xml:space="preserve">### 10.2 Liquidity Assessment</w:t>
      </w:r>
      <w:r>
        <w:rPr/>
        <w:br w:type="textWrapping"/>
      </w:r>
      <w:r>
        <w:rPr>
          <w:b/>
        </w:rPr>
        <w:t xml:space="preserve">Finding 4: Lower Ratios, Higher Reliability</w:t>
      </w:r>
      <w:r>
        <w:rPr/>
        <w:br w:type="textWrapping"/>
      </w:r>
      <w:r>
        <w:rPr/>
        <w:t xml:space="preserve">- Current Ratio of 1.149 and Quick Ratio of 0.894 are below traditional benchmarks.</w:t>
      </w:r>
      <w:r>
        <w:rPr/>
        <w:br w:type="textWrapping"/>
      </w:r>
      <w:r>
        <w:rPr/>
        <w:t xml:space="preserve">- However, these are </w:t>
      </w:r>
      <w:r>
        <w:rPr>
          <w:b/>
        </w:rPr>
        <w:t xml:space="preserve">appropriate for HUL</w:t>
      </w:r>
      <w:r>
        <w:rPr/>
        <w:t xml:space="preserve"> because:</w:t>
      </w:r>
      <w:r>
        <w:rPr/>
        <w:br w:type="textWrapping"/>
      </w:r>
      <w:r>
        <w:rPr>
          <w:rFonts w:eastAsia="Georgia" w:cs="Georgia" w:ascii="Georgia" w:hAnsi="Georgia"/>
        </w:rPr>
        <w:t xml:space="preserve">- Strong operating cash flows (₹6,000–8,000 Cr annually).</w:t>
      </w:r>
      <w:r>
        <w:rPr/>
        <w:br w:type="textWrapping"/>
      </w:r>
      <w:r>
        <w:rPr/>
        <w:t xml:space="preserve">- Negative working capital days mean built-in liquidity.</w:t>
      </w:r>
      <w:r>
        <w:rPr/>
        <w:br w:type="textWrapping"/>
      </w:r>
      <w:r>
        <w:rPr/>
        <w:t xml:space="preserve">- Market dominance ensures access to credit facilities.</w:t>
      </w:r>
      <w:r>
        <w:rPr/>
        <w:br w:type="textWrapping"/>
      </w:r>
      <w:r>
        <w:rPr>
          <w:b/>
        </w:rPr>
        <w:t xml:space="preserve">Finding 5: Optimal Cash Management</w:t>
      </w:r>
      <w:r>
        <w:rPr/>
        <w:br w:type="textWrapping"/>
      </w:r>
      <w:r>
        <w:rPr/>
        <w:t xml:space="preserve">- Cash ratio of 0.211 indicates HUL maintains </w:t>
      </w:r>
      <w:r>
        <w:rPr>
          <w:b/>
        </w:rPr>
        <w:t xml:space="preserve">minimal idle cash</w:t>
      </w:r>
      <w:r>
        <w:rPr/>
        <w:t xml:space="preserve">, deploying capital productively.</w:t>
      </w:r>
      <w:r>
        <w:rPr/>
        <w:br w:type="textWrapping"/>
      </w:r>
      <w:r>
        <w:rPr/>
        <w:t xml:space="preserve">- Excess cash would earn low returns; better used in operations or shareholder returns.</w:t>
      </w:r>
      <w:r>
        <w:rPr/>
        <w:br w:type="textWrapping"/>
      </w:r>
      <w:r>
        <w:rPr>
          <w:rFonts w:eastAsia="Georgia" w:cs="Georgia" w:ascii="Georgia" w:hAnsi="Georgia"/>
        </w:rPr>
        <w:t xml:space="preserve">### 10.3 Operational Efficiency</w:t>
      </w:r>
      <w:r>
        <w:rPr/>
        <w:br w:type="textWrapping"/>
      </w:r>
      <w:r>
        <w:rPr>
          <w:b/>
        </w:rPr>
        <w:t xml:space="preserve">Finding 6: Superior Receivables Management</w:t>
      </w:r>
      <w:r>
        <w:rPr/>
        <w:br w:type="textWrapping"/>
      </w:r>
      <w:r>
        <w:rPr/>
        <w:t xml:space="preserve">- </w:t>
      </w:r>
      <w:r>
        <w:rPr>
          <w:b/>
        </w:rPr>
        <w:t xml:space="preserve">DSO of 21.1 days</w:t>
      </w:r>
      <w:r>
        <w:rPr/>
        <w:t xml:space="preserve"> is exceptional; HUL collects cash within 3 weeks of sale.</w:t>
      </w:r>
      <w:r>
        <w:rPr/>
        <w:br w:type="textWrapping"/>
      </w:r>
      <w:r>
        <w:rPr/>
        <w:t xml:space="preserve">- Reflects strong brand, dominant market position, and efficient distributor relationships.</w:t>
      </w:r>
      <w:r>
        <w:rPr/>
        <w:br w:type="textWrapping"/>
      </w:r>
      <w:r>
        <w:rPr/>
        <w:t xml:space="preserve">- Receivables Turnover of 17.30x is </w:t>
      </w:r>
      <w:r>
        <w:rPr>
          <w:b/>
        </w:rPr>
        <w:t xml:space="preserve">well above FMCG industry average</w:t>
      </w:r>
      <w:r>
        <w:rPr>
          <w:rFonts w:eastAsia="Georgia" w:cs="Georgia" w:ascii="Georgia" w:hAnsi="Georgia"/>
        </w:rPr>
        <w:t xml:space="preserve"> of 8–12x.</w:t>
      </w:r>
      <w:r>
        <w:rPr/>
        <w:br w:type="textWrapping"/>
      </w:r>
      <w:r>
        <w:rPr>
          <w:b/>
        </w:rPr>
        <w:t xml:space="preserve">Finding 7: Excellent Inventory Management</w:t>
      </w:r>
      <w:r>
        <w:rPr/>
        <w:br w:type="textWrapping"/>
      </w:r>
      <w:r>
        <w:rPr/>
        <w:t xml:space="preserve">- </w:t>
      </w:r>
      <w:r>
        <w:rPr>
          <w:b/>
        </w:rPr>
        <w:t xml:space="preserve">Inventory Turnover of 11.90x</w:t>
      </w:r>
      <w:r>
        <w:rPr/>
        <w:t xml:space="preserve"> and DIO of 30.7 days reflect efficient supply chain.</w:t>
      </w:r>
      <w:r>
        <w:rPr/>
        <w:br w:type="textWrapping"/>
      </w:r>
      <w:r>
        <w:rPr/>
        <w:t xml:space="preserve">- High-volume, rapid-turnover FMCG products minimize inventory risk.</w:t>
      </w:r>
      <w:r>
        <w:rPr/>
        <w:br w:type="textWrapping"/>
      </w:r>
      <w:r>
        <w:rPr>
          <w:rFonts w:eastAsia="Georgia" w:cs="Georgia" w:ascii="Georgia" w:hAnsi="Georgia"/>
        </w:rPr>
        <w:t xml:space="preserve">- DIO is within optimal FMCG range (25–40 days).</w:t>
      </w:r>
      <w:r>
        <w:rPr/>
        <w:br w:type="textWrapping"/>
      </w:r>
      <w:r>
        <w:rPr>
          <w:b/>
        </w:rPr>
        <w:t xml:space="preserve">Finding 8: Strategic Payables Optimization</w:t>
      </w:r>
      <w:r>
        <w:rPr/>
        <w:br w:type="textWrapping"/>
      </w:r>
      <w:r>
        <w:rPr/>
        <w:t xml:space="preserve">- </w:t>
      </w:r>
      <w:r>
        <w:rPr>
          <w:b/>
        </w:rPr>
        <w:t xml:space="preserve">DPO of 55.1 days</w:t>
      </w:r>
      <w:r>
        <w:rPr/>
        <w:t xml:space="preserve"> is the cornerstone of HUL's working capital advantage.</w:t>
      </w:r>
      <w:r>
        <w:rPr/>
        <w:br w:type="textWrapping"/>
      </w:r>
      <w:r>
        <w:rPr/>
        <w:t xml:space="preserve">- Reflects bargaining power with suppliers due to:</w:t>
      </w:r>
      <w:r>
        <w:rPr/>
        <w:br w:type="textWrapping"/>
      </w:r>
      <w:r>
        <w:rPr/>
        <w:t xml:space="preserve">- Large volume commitments.</w:t>
      </w:r>
      <w:r>
        <w:rPr/>
        <w:br w:type="textWrapping"/>
      </w:r>
      <w:r>
        <w:rPr/>
        <w:t xml:space="preserve">- Consistent, predictable orders.</w:t>
      </w:r>
      <w:r>
        <w:rPr/>
        <w:br w:type="textWrapping"/>
      </w:r>
      <w:r>
        <w:rPr/>
        <w:t xml:space="preserve">- Essential products with stable demand.</w:t>
      </w:r>
      <w:r>
        <w:rPr/>
        <w:br w:type="textWrapping"/>
      </w:r>
      <w:r>
        <w:rPr/>
        <w:t xml:space="preserve">- Extended payables are maintained without straining supplier relationships (premium brands, consistent purchases).</w:t>
      </w:r>
      <w:r>
        <w:rPr/>
        <w:br w:type="textWrapping"/>
      </w:r>
      <w:r>
        <w:rPr>
          <w:rFonts w:eastAsia="Georgia" w:cs="Georgia" w:ascii="Georgia" w:hAnsi="Georgia"/>
        </w:rPr>
        <w:t xml:space="preserve">### 10.4 Efficiency Trends</w:t>
      </w:r>
      <w:r>
        <w:rPr/>
        <w:br w:type="textWrapping"/>
      </w:r>
      <w:r>
        <w:rPr>
          <w:b/>
        </w:rPr>
        <w:t xml:space="preserve">Finding 9: Gradual DSO and DIO Increase</w:t>
      </w:r>
      <w:r>
        <w:rPr/>
        <w:br w:type="textWrapping"/>
      </w:r>
      <w:r>
        <w:rPr/>
        <w:t xml:space="preserve">- Both DSO and DIO have increased modestly over 5 years.</w:t>
      </w:r>
      <w:r>
        <w:rPr/>
        <w:br w:type="textWrapping"/>
      </w:r>
      <w:r>
        <w:rPr/>
        <w:t xml:space="preserve">- </w:t>
      </w:r>
      <w:r>
        <w:rPr>
          <w:b/>
        </w:rPr>
        <w:t xml:space="preserve">Not a concern</w:t>
      </w:r>
      <w:r>
        <w:rPr/>
        <w:t xml:space="preserve"> because:</w:t>
      </w:r>
      <w:r>
        <w:rPr/>
        <w:br w:type="textWrapping"/>
      </w:r>
      <w:r>
        <w:rPr/>
        <w:t xml:space="preserve">- Both metrics remain within optimal ranges.</w:t>
      </w:r>
      <w:r>
        <w:rPr/>
        <w:br w:type="textWrapping"/>
      </w:r>
      <w:r>
        <w:rPr/>
        <w:t xml:space="preserve">- Reflects business growth and strategic expansion.</w:t>
      </w:r>
      <w:r>
        <w:rPr/>
        <w:br w:type="textWrapping"/>
      </w:r>
      <w:r>
        <w:rPr/>
        <w:t xml:space="preserve">- Trade-off for volume growth and market share gains is acceptable.</w:t>
      </w:r>
      <w:r>
        <w:rPr/>
        <w:br w:type="textWrapping"/>
      </w:r>
      <w:r>
        <w:rPr>
          <w:b/>
        </w:rPr>
        <w:t xml:space="preserve">Finding 10: DPO Expansion as Strategic Lever</w:t>
      </w:r>
      <w:r>
        <w:rPr/>
        <w:br w:type="textWrapping"/>
      </w:r>
      <w:r>
        <w:rPr>
          <w:rFonts w:eastAsia="Georgia" w:cs="Georgia" w:ascii="Georgia" w:hAnsi="Georgia"/>
        </w:rPr>
        <w:t xml:space="preserve">- DPO increased from 47.9 days to 55.1 days over 5 years—a conscious strategic move.</w:t>
      </w:r>
      <w:r>
        <w:rPr/>
        <w:br w:type="textWrapping"/>
      </w:r>
      <w:r>
        <w:rPr/>
        <w:t xml:space="preserve">- Demonstrates HUL's leveraging of market position for financial advantage.</w:t>
      </w:r>
      <w:r>
        <w:rPr/>
        <w:br w:type="textWrapping"/>
      </w:r>
      <w:r>
        <w:rPr/>
        <w:t xml:space="preserve">- Maintained without adversely affecting supplier relationships or supply reliability.</w:t>
      </w:r>
      <w:r>
        <w:rPr/>
        <w:br w:type="textWrapping"/>
      </w:r>
      <w:r>
        <w:rPr>
          <w:rFonts w:eastAsia="Georgia" w:cs="Georgia" w:ascii="Georgia" w:hAnsi="Georgia"/>
        </w:rPr>
        <w:t xml:space="preserve">### 10.5 Financial Strength Implications</w:t>
      </w:r>
      <w:r>
        <w:rPr/>
        <w:br w:type="textWrapping"/>
      </w:r>
      <w:r>
        <w:rPr>
          <w:b/>
        </w:rPr>
        <w:t xml:space="preserve">Finding 11: Superior Return on Assets</w:t>
      </w:r>
      <w:r>
        <w:rPr/>
        <w:br w:type="textWrapping"/>
      </w:r>
      <w:r>
        <w:rPr/>
        <w:t xml:space="preserve">- By maintaining minimal working capital, HUL achieves higher </w:t>
      </w:r>
      <w:r>
        <w:rPr>
          <w:b/>
        </w:rPr>
        <w:t xml:space="preserve">Return on Assets (ROA)</w:t>
      </w:r>
      <w:r>
        <w:rPr/>
        <w:t xml:space="preserve"> and </w:t>
      </w:r>
      <w:r>
        <w:rPr>
          <w:b/>
        </w:rPr>
        <w:t xml:space="preserve">Return on Capital Employed (ROCE)</w:t>
      </w:r>
      <w:r>
        <w:rPr/>
        <w:t xml:space="preserve">.</w:t>
      </w:r>
      <w:r>
        <w:rPr/>
        <w:br w:type="textWrapping"/>
      </w:r>
      <w:r>
        <w:rPr>
          <w:rFonts w:eastAsia="Georgia" w:cs="Georgia" w:ascii="Georgia" w:hAnsi="Georgia"/>
        </w:rPr>
        <w:t xml:space="preserve">- Estimated ROCE: 35–40%, significantly above industry average of 15–20%.</w:t>
      </w:r>
      <w:r>
        <w:rPr/>
        <w:br w:type="textWrapping"/>
      </w:r>
      <w:r>
        <w:rPr/>
        <w:t xml:space="preserve">- Efficient working capital = Higher capital efficiency = Higher returns.</w:t>
      </w:r>
      <w:r>
        <w:rPr/>
        <w:br w:type="textWrapping"/>
      </w:r>
      <w:r>
        <w:rPr>
          <w:b/>
        </w:rPr>
        <w:t xml:space="preserve">Finding 12: Funding Growth Through Operations</w:t>
      </w:r>
      <w:r>
        <w:rPr/>
        <w:br w:type="textWrapping"/>
      </w:r>
      <w:r>
        <w:rPr/>
        <w:t xml:space="preserve">- HUL requires minimal external financing for working capital despite strong growth.</w:t>
      </w:r>
      <w:r>
        <w:rPr/>
        <w:br w:type="textWrapping"/>
      </w:r>
      <w:r>
        <w:rPr/>
        <w:t xml:space="preserve">- Negative CCC means operations generate cash, available for:</w:t>
      </w:r>
      <w:r>
        <w:rPr/>
        <w:br w:type="textWrapping"/>
      </w:r>
      <w:r>
        <w:rPr/>
        <w:t xml:space="preserve">- Capital investments in new plants / R&amp;D.</w:t>
      </w:r>
      <w:r>
        <w:rPr/>
        <w:br w:type="textWrapping"/>
      </w:r>
      <w:r>
        <w:rPr/>
        <w:t xml:space="preserve">- Debt reduction.</w:t>
      </w:r>
      <w:r>
        <w:rPr/>
        <w:br w:type="textWrapping"/>
      </w:r>
      <w:r>
        <w:rPr/>
        <w:t xml:space="preserve">- Dividend payments.</w:t>
      </w:r>
      <w:r>
        <w:rPr/>
        <w:br w:type="textWrapping"/>
      </w:r>
      <w:r>
        <w:rPr/>
        <w:t xml:space="preserve">- Strategic acquisitions.</w:t>
      </w:r>
      <w:r>
        <w:rPr/>
        <w:br w:type="textWrapping"/>
      </w:r>
      <w:r>
        <w:rPr/>
        <w:t xml:space="preserve">---</w:t>
      </w:r>
      <w:r>
        <w:rPr/>
        <w:br w:type="textWrapping"/>
      </w:r>
      <w:r>
        <w:rPr>
          <w:rFonts w:eastAsia="Georgia" w:cs="Georgia" w:ascii="Georgia" w:hAnsi="Georgia"/>
        </w:rPr>
        <w:t xml:space="preserve">## 11. SUGGESTIONS AND RECOMMENDATIONS</w:t>
      </w:r>
      <w:r>
        <w:rPr/>
        <w:br w:type="textWrapping"/>
      </w:r>
      <w:r>
        <w:rPr>
          <w:rFonts w:eastAsia="Georgia" w:cs="Georgia" w:ascii="Georgia" w:hAnsi="Georgia"/>
        </w:rPr>
        <w:t xml:space="preserve">### 11.1 Maintaining the Current Strength</w:t>
      </w:r>
      <w:r>
        <w:rPr/>
        <w:br w:type="textWrapping"/>
      </w:r>
      <w:r>
        <w:rPr>
          <w:b/>
        </w:rPr>
        <w:t xml:space="preserve">Recommendation 1: Continue Efficient Payables Management</w:t>
      </w:r>
      <w:r>
        <w:rPr/>
        <w:br w:type="textWrapping"/>
      </w:r>
      <w:r>
        <w:rPr/>
        <w:t xml:space="preserve">- HUL's DPO of 55.1 days is a key competitive advantage; maintain and optimize further if possible.</w:t>
      </w:r>
      <w:r>
        <w:rPr/>
        <w:br w:type="textWrapping"/>
      </w:r>
      <w:r>
        <w:rPr/>
        <w:t xml:space="preserve">- </w:t>
      </w:r>
      <w:r>
        <w:rPr>
          <w:b/>
        </w:rPr>
        <w:t xml:space="preserve">Action:</w:t>
      </w:r>
      <w:r>
        <w:rPr/>
        <w:t xml:space="preserve"> Regularly review supplier payment terms; negotiate extensions where possible without jeopardizing relationships.</w:t>
      </w:r>
      <w:r>
        <w:rPr/>
        <w:br w:type="textWrapping"/>
      </w:r>
      <w:r>
        <w:rPr/>
        <w:t xml:space="preserve">- </w:t>
      </w:r>
      <w:r>
        <w:rPr>
          <w:b/>
        </w:rPr>
        <w:t xml:space="preserve">Benefit:</w:t>
      </w:r>
      <w:r>
        <w:rPr/>
        <w:t xml:space="preserve"> Additional cash flow optimization and competitive advantage.</w:t>
      </w:r>
      <w:r>
        <w:rPr/>
        <w:br w:type="textWrapping"/>
      </w:r>
      <w:r>
        <w:rPr>
          <w:b/>
        </w:rPr>
        <w:t xml:space="preserve">Recommendation 2: Protect the DSO Advantage</w:t>
      </w:r>
      <w:r>
        <w:rPr/>
        <w:br w:type="textWrapping"/>
      </w:r>
      <w:r>
        <w:rPr/>
        <w:t xml:space="preserve">- Current DSO of 21.1 days is exceptional; protect this through robust credit management.</w:t>
      </w:r>
      <w:r>
        <w:rPr/>
        <w:br w:type="textWrapping"/>
      </w:r>
      <w:r>
        <w:rPr/>
        <w:t xml:space="preserve">- </w:t>
      </w:r>
      <w:r>
        <w:rPr>
          <w:b/>
        </w:rPr>
        <w:t xml:space="preserve">Action:</w:t>
      </w:r>
      <w:r>
        <w:rPr/>
        <w:br w:type="textWrapping"/>
      </w:r>
      <w:r>
        <w:rPr/>
        <w:t xml:space="preserve">- Implement early payment discounts for distributors to incentivize faster collection.</w:t>
      </w:r>
      <w:r>
        <w:rPr/>
        <w:br w:type="textWrapping"/>
      </w:r>
      <w:r>
        <w:rPr/>
        <w:t xml:space="preserve">- Use technology to automate invoicing and collections.</w:t>
      </w:r>
      <w:r>
        <w:rPr/>
        <w:br w:type="textWrapping"/>
      </w:r>
      <w:r>
        <w:rPr/>
        <w:t xml:space="preserve">- Monitor receivables aging closely and follow up on overdue accounts.</w:t>
      </w:r>
      <w:r>
        <w:rPr/>
        <w:br w:type="textWrapping"/>
      </w:r>
      <w:r>
        <w:rPr/>
        <w:t xml:space="preserve">- </w:t>
      </w:r>
      <w:r>
        <w:rPr>
          <w:b/>
        </w:rPr>
        <w:t xml:space="preserve">Benefit:</w:t>
      </w:r>
      <w:r>
        <w:rPr/>
        <w:t xml:space="preserve"> Maintain the quick cash conversion that funds operations.</w:t>
      </w:r>
      <w:r>
        <w:rPr/>
        <w:br w:type="textWrapping"/>
      </w:r>
      <w:r>
        <w:rPr>
          <w:b/>
        </w:rPr>
        <w:t xml:space="preserve">Recommendation 3: Optimize Inventory Placement</w:t>
      </w:r>
      <w:r>
        <w:rPr/>
        <w:br w:type="textWrapping"/>
      </w:r>
      <w:r>
        <w:rPr/>
        <w:t xml:space="preserve">- While DIO of 30.7 days is good, opportunities exist for further reduction.</w:t>
      </w:r>
      <w:r>
        <w:rPr/>
        <w:br w:type="textWrapping"/>
      </w:r>
      <w:r>
        <w:rPr/>
        <w:t xml:space="preserve">- </w:t>
      </w:r>
      <w:r>
        <w:rPr>
          <w:b/>
        </w:rPr>
        <w:t xml:space="preserve">Action:</w:t>
      </w:r>
      <w:r>
        <w:rPr/>
        <w:br w:type="textWrapping"/>
      </w:r>
      <w:r>
        <w:rPr/>
        <w:t xml:space="preserve">- Implement predictive demand forecasting to optimize inventory levels.</w:t>
      </w:r>
      <w:r>
        <w:rPr/>
        <w:br w:type="textWrapping"/>
      </w:r>
      <w:r>
        <w:rPr/>
        <w:t xml:space="preserve">- Adopt Just-In-Time inventory practices at key distribution centers.</w:t>
      </w:r>
      <w:r>
        <w:rPr/>
        <w:br w:type="textWrapping"/>
      </w:r>
      <w:r>
        <w:rPr/>
        <w:t xml:space="preserve">- Collaborate with suppliers for more frequent, smaller shipments.</w:t>
      </w:r>
      <w:r>
        <w:rPr/>
        <w:br w:type="textWrapping"/>
      </w:r>
      <w:r>
        <w:rPr/>
        <w:t xml:space="preserve">- </w:t>
      </w:r>
      <w:r>
        <w:rPr>
          <w:b/>
        </w:rPr>
        <w:t xml:space="preserve">Benefit:</w:t>
      </w:r>
      <w:r>
        <w:rPr>
          <w:rFonts w:eastAsia="Georgia" w:cs="Georgia" w:ascii="Georgia" w:hAnsi="Georgia"/>
        </w:rPr>
        <w:t xml:space="preserve"> Further reduce working capital requirement; currently estimated savings of ₹50–100 Cr annually if DIO reduced by 2–3 days.</w:t>
      </w:r>
      <w:r>
        <w:rPr/>
        <w:br w:type="textWrapping"/>
      </w:r>
      <w:r>
        <w:rPr>
          <w:rFonts w:eastAsia="Georgia" w:cs="Georgia" w:ascii="Georgia" w:hAnsi="Georgia"/>
        </w:rPr>
        <w:t xml:space="preserve">### 11.2 Addressing Gradual Changes</w:t>
      </w:r>
      <w:r>
        <w:rPr/>
        <w:br w:type="textWrapping"/>
      </w:r>
      <w:r>
        <w:rPr>
          <w:b/>
        </w:rPr>
        <w:t xml:space="preserve">Recommendation 4: Monitor DIO Increase</w:t>
      </w:r>
      <w:r>
        <w:rPr/>
        <w:br w:type="textWrapping"/>
      </w:r>
      <w:r>
        <w:rPr/>
        <w:t xml:space="preserve">- DIO increased from 26.7 days (FY2022) to 30.7 days (FY2025), a 4-day increase.</w:t>
      </w:r>
      <w:r>
        <w:rPr/>
        <w:br w:type="textWrapping"/>
      </w:r>
      <w:r>
        <w:rPr/>
        <w:t xml:space="preserve">- </w:t>
      </w:r>
      <w:r>
        <w:rPr>
          <w:b/>
        </w:rPr>
        <w:t xml:space="preserve">Action:</w:t>
      </w:r>
      <w:r>
        <w:rPr/>
        <w:br w:type="textWrapping"/>
      </w:r>
      <w:r>
        <w:rPr/>
        <w:t xml:space="preserve">- Investigate causes: business expansion, category mix change, geographic diversification.</w:t>
      </w:r>
      <w:r>
        <w:rPr/>
        <w:br w:type="textWrapping"/>
      </w:r>
      <w:r>
        <w:rPr/>
        <w:t xml:space="preserve">- Implement segment-wise DIO analysis to identify high-holding categories.</w:t>
      </w:r>
      <w:r>
        <w:rPr/>
        <w:br w:type="textWrapping"/>
      </w:r>
      <w:r>
        <w:rPr>
          <w:rFonts w:eastAsia="Georgia" w:cs="Georgia" w:ascii="Georgia" w:hAnsi="Georgia"/>
        </w:rPr>
        <w:t xml:space="preserve">- Develop reduction targets: aim to bring DIO back to 28–29 days.</w:t>
      </w:r>
      <w:r>
        <w:rPr/>
        <w:br w:type="textWrapping"/>
      </w:r>
      <w:r>
        <w:rPr/>
        <w:t xml:space="preserve">- </w:t>
      </w:r>
      <w:r>
        <w:rPr>
          <w:b/>
        </w:rPr>
        <w:t xml:space="preserve">Benefit:</w:t>
      </w:r>
      <w:r>
        <w:rPr>
          <w:rFonts w:eastAsia="Georgia" w:cs="Georgia" w:ascii="Georgia" w:hAnsi="Georgia"/>
        </w:rPr>
        <w:t xml:space="preserve"> Working capital savings of ₹80–150 Cr if DIO reduced by 2 days.</w:t>
      </w:r>
      <w:r>
        <w:rPr/>
        <w:br w:type="textWrapping"/>
      </w:r>
      <w:r>
        <w:rPr>
          <w:b/>
        </w:rPr>
        <w:t xml:space="preserve">Recommendation 5: DSO Management</w:t>
      </w:r>
      <w:r>
        <w:rPr/>
        <w:br w:type="textWrapping"/>
      </w:r>
      <w:r>
        <w:rPr/>
        <w:t xml:space="preserve">- DSO increased from 16.9 days (FY2022) to 21.1 days (FY2025), a 4.2-day increase.</w:t>
      </w:r>
      <w:r>
        <w:rPr/>
        <w:br w:type="textWrapping"/>
      </w:r>
      <w:r>
        <w:rPr/>
        <w:t xml:space="preserve">- </w:t>
      </w:r>
      <w:r>
        <w:rPr>
          <w:b/>
        </w:rPr>
        <w:t xml:space="preserve">Action:</w:t>
      </w:r>
      <w:r>
        <w:rPr/>
        <w:br w:type="textWrapping"/>
      </w:r>
      <w:r>
        <w:rPr/>
        <w:t xml:space="preserve">- Analyze customer-wise DSO to identify long-paying customers.</w:t>
      </w:r>
      <w:r>
        <w:rPr/>
        <w:br w:type="textWrapping"/>
      </w:r>
      <w:r>
        <w:rPr/>
        <w:t xml:space="preserve">- Implement tiered pricing or discount structures incentivizing faster payment.</w:t>
      </w:r>
      <w:r>
        <w:rPr/>
        <w:br w:type="textWrapping"/>
      </w:r>
      <w:r>
        <w:rPr/>
        <w:t xml:space="preserve">- Strengthen collection capabilities in slower-paying regions.</w:t>
      </w:r>
      <w:r>
        <w:rPr/>
        <w:br w:type="textWrapping"/>
      </w:r>
      <w:r>
        <w:rPr/>
        <w:t xml:space="preserve">- </w:t>
      </w:r>
      <w:r>
        <w:rPr>
          <w:b/>
        </w:rPr>
        <w:t xml:space="preserve">Benefit:</w:t>
      </w:r>
      <w:r>
        <w:rPr>
          <w:rFonts w:eastAsia="Georgia" w:cs="Georgia" w:ascii="Georgia" w:hAnsi="Georgia"/>
        </w:rPr>
        <w:t xml:space="preserve"> Potential cash flow improvement of ₹150–250 Cr if DSO brought down by 3 days.</w:t>
      </w:r>
      <w:r>
        <w:rPr/>
        <w:br w:type="textWrapping"/>
      </w:r>
      <w:r>
        <w:rPr>
          <w:rFonts w:eastAsia="Georgia" w:cs="Georgia" w:ascii="Georgia" w:hAnsi="Georgia"/>
        </w:rPr>
        <w:t xml:space="preserve">### 11.3 Building Financial Resilience</w:t>
      </w:r>
      <w:r>
        <w:rPr/>
        <w:br w:type="textWrapping"/>
      </w:r>
      <w:r>
        <w:rPr>
          <w:b/>
        </w:rPr>
        <w:t xml:space="preserve">Recommendation 6: Maintain Adequate Cash Reserves</w:t>
      </w:r>
      <w:r>
        <w:rPr/>
        <w:br w:type="textWrapping"/>
      </w:r>
      <w:r>
        <w:rPr/>
        <w:t xml:space="preserve">- Current cash ratio of 0.211 is optimal for normal operations but may be tight during crises.</w:t>
      </w:r>
      <w:r>
        <w:rPr/>
        <w:br w:type="textWrapping"/>
      </w:r>
      <w:r>
        <w:rPr/>
        <w:t xml:space="preserve">- </w:t>
      </w:r>
      <w:r>
        <w:rPr>
          <w:b/>
        </w:rPr>
        <w:t xml:space="preserve">Action:</w:t>
      </w:r>
      <w:r>
        <w:rPr/>
        <w:br w:type="textWrapping"/>
      </w:r>
      <w:r>
        <w:rPr>
          <w:rFonts w:eastAsia="Georgia" w:cs="Georgia" w:ascii="Georgia" w:hAnsi="Georgia"/>
        </w:rPr>
        <w:t xml:space="preserve">- Maintain minimum cash balance of ₹1,500 Cr (to support ₹48,000 Cr revenue).</w:t>
      </w:r>
      <w:r>
        <w:rPr/>
        <w:br w:type="textWrapping"/>
      </w:r>
      <w:r>
        <w:rPr>
          <w:rFonts w:eastAsia="Georgia" w:cs="Georgia" w:ascii="Georgia" w:hAnsi="Georgia"/>
        </w:rPr>
        <w:t xml:space="preserve">- Establish formal credit lines (₹500 Cr+) for emergency liquidity.</w:t>
      </w:r>
      <w:r>
        <w:rPr/>
        <w:br w:type="textWrapping"/>
      </w:r>
      <w:r>
        <w:rPr/>
        <w:t xml:space="preserve">- Implement quarterly cash flow forecasting to anticipate needs.</w:t>
      </w:r>
      <w:r>
        <w:rPr/>
        <w:br w:type="textWrapping"/>
      </w:r>
      <w:r>
        <w:rPr/>
        <w:t xml:space="preserve">- </w:t>
      </w:r>
      <w:r>
        <w:rPr>
          <w:b/>
        </w:rPr>
        <w:t xml:space="preserve">Benefit:</w:t>
      </w:r>
      <w:r>
        <w:rPr/>
        <w:t xml:space="preserve"> Operational continuity during market disruptions; ability to capitalize on opportunities.</w:t>
      </w:r>
      <w:r>
        <w:rPr/>
        <w:br w:type="textWrapping"/>
      </w:r>
      <w:r>
        <w:rPr>
          <w:b/>
        </w:rPr>
        <w:t xml:space="preserve">Recommendation 7: Supplier Relationship Management</w:t>
      </w:r>
      <w:r>
        <w:rPr/>
        <w:br w:type="textWrapping"/>
      </w:r>
      <w:r>
        <w:rPr/>
        <w:t xml:space="preserve">- While extended DPO is beneficial, maintain healthy supplier relationships.</w:t>
      </w:r>
      <w:r>
        <w:rPr/>
        <w:br w:type="textWrapping"/>
      </w:r>
      <w:r>
        <w:rPr/>
        <w:t xml:space="preserve">- </w:t>
      </w:r>
      <w:r>
        <w:rPr>
          <w:b/>
        </w:rPr>
        <w:t xml:space="preserve">Action:</w:t>
      </w:r>
      <w:r>
        <w:rPr/>
        <w:br w:type="textWrapping"/>
      </w:r>
      <w:r>
        <w:rPr/>
        <w:t xml:space="preserve">- Implement structured supplier engagement programs.</w:t>
      </w:r>
      <w:r>
        <w:rPr/>
        <w:br w:type="textWrapping"/>
      </w:r>
      <w:r>
        <w:rPr/>
        <w:t xml:space="preserve">- Provide advance demand forecasts to suppliers for better planning.</w:t>
      </w:r>
      <w:r>
        <w:rPr/>
        <w:br w:type="textWrapping"/>
      </w:r>
      <w:r>
        <w:rPr/>
        <w:t xml:space="preserve">- Consider occasional advance payments or financing assistance for strategic suppliers.</w:t>
      </w:r>
      <w:r>
        <w:rPr/>
        <w:br w:type="textWrapping"/>
      </w:r>
      <w:r>
        <w:rPr/>
        <w:t xml:space="preserve">- </w:t>
      </w:r>
      <w:r>
        <w:rPr>
          <w:b/>
        </w:rPr>
        <w:t xml:space="preserve">Benefit:</w:t>
      </w:r>
      <w:r>
        <w:rPr/>
        <w:t xml:space="preserve"> Secure supply chain, reduce supply disruption risk, maintain supplier innovation partnerships.</w:t>
      </w:r>
      <w:r>
        <w:rPr/>
        <w:br w:type="textWrapping"/>
      </w:r>
      <w:r>
        <w:rPr>
          <w:rFonts w:eastAsia="Georgia" w:cs="Georgia" w:ascii="Georgia" w:hAnsi="Georgia"/>
        </w:rPr>
        <w:t xml:space="preserve">### 11.4 Leveraging the Advantage</w:t>
      </w:r>
      <w:r>
        <w:rPr/>
        <w:br w:type="textWrapping"/>
      </w:r>
      <w:r>
        <w:rPr>
          <w:b/>
        </w:rPr>
        <w:t xml:space="preserve">Recommendation 8: Strategic Use of Free Cash Flow</w:t>
      </w:r>
      <w:r>
        <w:rPr/>
        <w:br w:type="textWrapping"/>
      </w:r>
      <w:r>
        <w:rPr>
          <w:rFonts w:eastAsia="Georgia" w:cs="Georgia" w:ascii="Georgia" w:hAnsi="Georgia"/>
        </w:rPr>
        <w:t xml:space="preserve">- Negative CCC generates approximately ₹400 Cr annual free cash benefit.</w:t>
      </w:r>
      <w:r>
        <w:rPr/>
        <w:br w:type="textWrapping"/>
      </w:r>
      <w:r>
        <w:rPr/>
        <w:t xml:space="preserve">- </w:t>
      </w:r>
      <w:r>
        <w:rPr>
          <w:b/>
        </w:rPr>
        <w:t xml:space="preserve">Action:</w:t>
      </w:r>
      <w:r>
        <w:rPr/>
        <w:br w:type="textWrapping"/>
      </w:r>
      <w:r>
        <w:rPr/>
        <w:t xml:space="preserve">- Allocate this cash to high-return activities:</w:t>
      </w:r>
      <w:r>
        <w:rPr/>
        <w:br w:type="textWrapping"/>
      </w:r>
      <w:r>
        <w:rPr/>
        <w:t xml:space="preserve">- R&amp;D and new product development.</w:t>
      </w:r>
      <w:r>
        <w:rPr/>
        <w:br w:type="textWrapping"/>
      </w:r>
      <w:r>
        <w:rPr/>
        <w:t xml:space="preserve">- Capacity expansion in high-growth categories.</w:t>
      </w:r>
      <w:r>
        <w:rPr/>
        <w:br w:type="textWrapping"/>
      </w:r>
      <w:r>
        <w:rPr/>
        <w:t xml:space="preserve">- Strategic acquisitions (brands, companies).</w:t>
      </w:r>
      <w:r>
        <w:rPr/>
        <w:br w:type="textWrapping"/>
      </w:r>
      <w:r>
        <w:rPr/>
        <w:t xml:space="preserve">- Shareholder returns (dividends, buybacks).</w:t>
      </w:r>
      <w:r>
        <w:rPr/>
        <w:br w:type="textWrapping"/>
      </w:r>
      <w:r>
        <w:rPr/>
        <w:t xml:space="preserve">- Track ROIC of capital deployed to ensure value creation.</w:t>
      </w:r>
      <w:r>
        <w:rPr/>
        <w:br w:type="textWrapping"/>
      </w:r>
      <w:r>
        <w:rPr/>
        <w:t xml:space="preserve">- </w:t>
      </w:r>
      <w:r>
        <w:rPr>
          <w:b/>
        </w:rPr>
        <w:t xml:space="preserve">Benefit:</w:t>
      </w:r>
      <w:r>
        <w:rPr/>
        <w:t xml:space="preserve"> Accelerated growth, competitive advantage maintenance, shareholder value creation.</w:t>
      </w:r>
      <w:r>
        <w:rPr/>
        <w:br w:type="textWrapping"/>
      </w:r>
      <w:r>
        <w:rPr>
          <w:b/>
        </w:rPr>
        <w:t xml:space="preserve">Recommendation 9: Technology Investment in Working Capital</w:t>
      </w:r>
      <w:r>
        <w:rPr/>
        <w:br w:type="textWrapping"/>
      </w:r>
      <w:r>
        <w:rPr/>
        <w:t xml:space="preserve">- Implement advanced tools for working capital optimization.</w:t>
      </w:r>
      <w:r>
        <w:rPr/>
        <w:br w:type="textWrapping"/>
      </w:r>
      <w:r>
        <w:rPr/>
        <w:t xml:space="preserve">- </w:t>
      </w:r>
      <w:r>
        <w:rPr>
          <w:b/>
        </w:rPr>
        <w:t xml:space="preserve">Action:</w:t>
      </w:r>
      <w:r>
        <w:rPr/>
        <w:br w:type="textWrapping"/>
      </w:r>
      <w:r>
        <w:rPr/>
        <w:t xml:space="preserve">- Invest in AI/ML for demand forecasting to optimize inventory.</w:t>
      </w:r>
      <w:r>
        <w:rPr/>
        <w:br w:type="textWrapping"/>
      </w:r>
      <w:r>
        <w:rPr/>
        <w:t xml:space="preserve">- Implement blockchain-based supply chain tracking for faster payment cycles.</w:t>
      </w:r>
      <w:r>
        <w:rPr/>
        <w:br w:type="textWrapping"/>
      </w:r>
      <w:r>
        <w:rPr/>
        <w:t xml:space="preserve">- Adopt working capital management software (e.g., integrated ERP modules).</w:t>
      </w:r>
      <w:r>
        <w:rPr/>
        <w:br w:type="textWrapping"/>
      </w:r>
      <w:r>
        <w:rPr/>
        <w:t xml:space="preserve">- Use real-time dashboards for cash flow monitoring.</w:t>
      </w:r>
      <w:r>
        <w:rPr/>
        <w:br w:type="textWrapping"/>
      </w:r>
      <w:r>
        <w:rPr/>
        <w:t xml:space="preserve">- </w:t>
      </w:r>
      <w:r>
        <w:rPr>
          <w:b/>
        </w:rPr>
        <w:t xml:space="preserve">Benefit:</w:t>
      </w:r>
      <w:r>
        <w:rPr>
          <w:rFonts w:eastAsia="Georgia" w:cs="Georgia" w:ascii="Georgia" w:hAnsi="Georgia"/>
        </w:rPr>
        <w:t xml:space="preserve"> Further efficiency gains; potential additional ₹200–300 Cr annual working capital optimization.</w:t>
      </w:r>
      <w:r>
        <w:rPr/>
        <w:br w:type="textWrapping"/>
      </w:r>
      <w:r>
        <w:rPr>
          <w:rFonts w:eastAsia="Georgia" w:cs="Georgia" w:ascii="Georgia" w:hAnsi="Georgia"/>
        </w:rPr>
        <w:t xml:space="preserve">### 11.5 Risk Management</w:t>
      </w:r>
      <w:r>
        <w:rPr/>
        <w:br w:type="textWrapping"/>
      </w:r>
      <w:r>
        <w:rPr>
          <w:b/>
        </w:rPr>
        <w:t xml:space="preserve">Recommendation 10: Monitor External Risks</w:t>
      </w:r>
      <w:r>
        <w:rPr/>
        <w:br w:type="textWrapping"/>
      </w:r>
      <w:r>
        <w:rPr/>
        <w:t xml:space="preserve">- While HUL's working capital position is strong, external risks can impact components.</w:t>
      </w:r>
      <w:r>
        <w:rPr/>
        <w:br w:type="textWrapping"/>
      </w:r>
      <w:r>
        <w:rPr/>
        <w:t xml:space="preserve">- </w:t>
      </w:r>
      <w:r>
        <w:rPr>
          <w:b/>
        </w:rPr>
        <w:t xml:space="preserve">Action:</w:t>
      </w:r>
      <w:r>
        <w:rPr/>
        <w:br w:type="textWrapping"/>
      </w:r>
      <w:r>
        <w:rPr/>
        <w:t xml:space="preserve">- Monitor inflation trends (impact on COGS and receivables valuation).</w:t>
      </w:r>
      <w:r>
        <w:rPr/>
        <w:br w:type="textWrapping"/>
      </w:r>
      <w:r>
        <w:rPr/>
        <w:t xml:space="preserve">- Track raw material price volatility (inventory valuation).</w:t>
      </w:r>
      <w:r>
        <w:rPr/>
        <w:br w:type="textWrapping"/>
      </w:r>
      <w:r>
        <w:rPr/>
        <w:t xml:space="preserve">- Monitor interest rates (borrowing costs).</w:t>
      </w:r>
      <w:r>
        <w:rPr/>
        <w:br w:type="textWrapping"/>
      </w:r>
      <w:r>
        <w:rPr/>
        <w:t xml:space="preserve">- Establish contingency plans for supply chain disruptions (supplier diversification).</w:t>
      </w:r>
      <w:r>
        <w:rPr/>
        <w:br w:type="textWrapping"/>
      </w:r>
      <w:r>
        <w:rPr/>
        <w:t xml:space="preserve">- </w:t>
      </w:r>
      <w:r>
        <w:rPr>
          <w:b/>
        </w:rPr>
        <w:t xml:space="preserve">Benefit:</w:t>
      </w:r>
      <w:r>
        <w:rPr/>
        <w:t xml:space="preserve"> Early identification of risks; timely corrective actions.</w:t>
      </w:r>
      <w:r>
        <w:rPr/>
        <w:br w:type="textWrapping"/>
      </w:r>
      <w:r>
        <w:rPr>
          <w:b/>
        </w:rPr>
        <w:t xml:space="preserve">Recommendation 11: Scenario Planning</w:t>
      </w:r>
      <w:r>
        <w:rPr/>
        <w:br w:type="textWrapping"/>
      </w:r>
      <w:r>
        <w:rPr/>
        <w:t xml:space="preserve">- Prepare for adverse scenarios: recession, demand shock, supply disruption.</w:t>
      </w:r>
      <w:r>
        <w:rPr/>
        <w:br w:type="textWrapping"/>
      </w:r>
      <w:r>
        <w:rPr/>
        <w:t xml:space="preserve">- </w:t>
      </w:r>
      <w:r>
        <w:rPr>
          <w:b/>
        </w:rPr>
        <w:t xml:space="preserve">Action:</w:t>
      </w:r>
      <w:r>
        <w:rPr/>
        <w:br w:type="textWrapping"/>
      </w:r>
      <w:r>
        <w:rPr/>
        <w:t xml:space="preserve">- Conduct quarterly stress testing of working capital metrics.</w:t>
      </w:r>
      <w:r>
        <w:rPr/>
        <w:br w:type="textWrapping"/>
      </w:r>
      <w:r>
        <w:rPr>
          <w:rFonts w:eastAsia="Georgia" w:cs="Georgia" w:ascii="Georgia" w:hAnsi="Georgia"/>
        </w:rPr>
        <w:t xml:space="preserve">- Model scenarios: 10–20% revenue decline, 20% cost increase, 30-day supply delay.</w:t>
      </w:r>
      <w:r>
        <w:rPr/>
        <w:br w:type="textWrapping"/>
      </w:r>
      <w:r>
        <w:rPr/>
        <w:t xml:space="preserve">- Develop response plans: accelerate collections, optimize inventory reduction, negotiate extended terms.</w:t>
      </w:r>
      <w:r>
        <w:rPr/>
        <w:br w:type="textWrapping"/>
      </w:r>
      <w:r>
        <w:rPr/>
        <w:t xml:space="preserve">- </w:t>
      </w:r>
      <w:r>
        <w:rPr>
          <w:b/>
        </w:rPr>
        <w:t xml:space="preserve">Benefit:</w:t>
      </w:r>
      <w:r>
        <w:rPr/>
        <w:t xml:space="preserve"> Organizational readiness; faster response to crises.</w:t>
      </w:r>
      <w:r>
        <w:rPr/>
        <w:br w:type="textWrapping"/>
      </w:r>
      <w:r>
        <w:rPr/>
        <w:t xml:space="preserve">---</w:t>
      </w:r>
      <w:r>
        <w:rPr/>
        <w:br w:type="textWrapping"/>
      </w:r>
      <w:r>
        <w:rPr>
          <w:rFonts w:eastAsia="Georgia" w:cs="Georgia" w:ascii="Georgia" w:hAnsi="Georgia"/>
        </w:rPr>
        <w:t xml:space="preserve">## 12. CONCLUSION</w:t>
      </w:r>
      <w:r>
        <w:rPr/>
        <w:br w:type="textWrapping"/>
      </w:r>
      <w:r>
        <w:rPr>
          <w:rFonts w:eastAsia="Georgia" w:cs="Georgia" w:ascii="Georgia" w:hAnsi="Georgia"/>
        </w:rPr>
        <w:t xml:space="preserve">### 12.1 Summary of Findings</w:t>
      </w:r>
      <w:r>
        <w:rPr/>
        <w:br w:type="textWrapping"/>
      </w:r>
      <w:r>
        <w:rPr/>
        <w:t xml:space="preserve">Hindustan Unilever Limited exemplifies </w:t>
      </w:r>
      <w:r>
        <w:rPr>
          <w:b/>
        </w:rPr>
        <w:t xml:space="preserve">best-in-class working capital management</w:t>
      </w:r>
      <w:r>
        <w:rPr/>
        <w:t xml:space="preserve"> in the FMCG industry. The company's strategic and operational excellence has resulted in:</w:t>
      </w:r>
      <w:r>
        <w:rPr/>
        <w:br w:type="textWrapping"/>
      </w:r>
      <w:r>
        <w:rPr/>
        <w:t xml:space="preserve">1. </w:t>
      </w:r>
      <w:r>
        <w:rPr>
          <w:b/>
        </w:rPr>
        <w:t xml:space="preserve">Minimal Working Capital Requirement:</w:t>
      </w:r>
      <w:r>
        <w:rPr/>
        <w:t xml:space="preserve"> NWC to Sales ratio of 2.50%, less than half the industry average, freeing capital for growth and shareholder returns.</w:t>
      </w:r>
      <w:r>
        <w:rPr/>
        <w:br w:type="textWrapping"/>
      </w:r>
      <w:r>
        <w:rPr/>
        <w:t xml:space="preserve">2. </w:t>
      </w:r>
      <w:r>
        <w:rPr>
          <w:b/>
        </w:rPr>
        <w:t xml:space="preserve">Negative Cash Conversion Cycle:</w:t>
      </w:r>
      <w:r>
        <w:rPr>
          <w:rFonts w:eastAsia="Georgia" w:cs="Georgia" w:ascii="Georgia" w:hAnsi="Georgia"/>
        </w:rPr>
        <w:t xml:space="preserve"> A CCC of -3.3 days means suppliers finance operations, providing ₹400 Cr annual implicit financing benefit.</w:t>
      </w:r>
      <w:r>
        <w:rPr/>
        <w:br w:type="textWrapping"/>
      </w:r>
      <w:r>
        <w:rPr/>
        <w:t xml:space="preserve">3. </w:t>
      </w:r>
      <w:r>
        <w:rPr>
          <w:b/>
        </w:rPr>
        <w:t xml:space="preserve">Superior Operational Metrics:</w:t>
      </w:r>
      <w:r>
        <w:rPr/>
        <w:br w:type="textWrapping"/>
      </w:r>
      <w:r>
        <w:rPr/>
        <w:t xml:space="preserve">- </w:t>
      </w:r>
      <w:r>
        <w:rPr>
          <w:b/>
        </w:rPr>
        <w:t xml:space="preserve">Inventory Turnover:</w:t>
      </w:r>
      <w:r>
        <w:rPr/>
        <w:t xml:space="preserve"> 11.90x (above FMCG average)</w:t>
      </w:r>
      <w:r>
        <w:rPr/>
        <w:br w:type="textWrapping"/>
      </w:r>
      <w:r>
        <w:rPr/>
        <w:t xml:space="preserve">- </w:t>
      </w:r>
      <w:r>
        <w:rPr>
          <w:b/>
        </w:rPr>
        <w:t xml:space="preserve">Receivables Turnover:</w:t>
      </w:r>
      <w:r>
        <w:rPr/>
        <w:t xml:space="preserve"> 17.30x (well above average)</w:t>
      </w:r>
      <w:r>
        <w:rPr/>
        <w:br w:type="textWrapping"/>
      </w:r>
      <w:r>
        <w:rPr/>
        <w:t xml:space="preserve">- </w:t>
      </w:r>
      <w:r>
        <w:rPr>
          <w:b/>
        </w:rPr>
        <w:t xml:space="preserve">Payables Turnover:</w:t>
      </w:r>
      <w:r>
        <w:rPr/>
        <w:t xml:space="preserve"> 6.62x (optimal)</w:t>
      </w:r>
      <w:r>
        <w:rPr/>
        <w:br w:type="textWrapping"/>
      </w:r>
      <w:r>
        <w:rPr/>
        <w:t xml:space="preserve">4. </w:t>
      </w:r>
      <w:r>
        <w:rPr>
          <w:b/>
        </w:rPr>
        <w:t xml:space="preserve">Strong Liquidity:</w:t>
      </w:r>
      <w:r>
        <w:rPr>
          <w:rFonts w:eastAsia="Georgia" w:cs="Georgia" w:ascii="Georgia" w:hAnsi="Georgia"/>
        </w:rPr>
        <w:t xml:space="preserve"> Current Ratio of 1.149 and Quick Ratio of 0.894 are below traditional benchmarks but appropriate given strong cash generation (₹6,000–8,000 Cr annually).</w:t>
      </w:r>
      <w:r>
        <w:rPr/>
        <w:br w:type="textWrapping"/>
      </w:r>
      <w:r>
        <w:rPr/>
        <w:t xml:space="preserve">5. </w:t>
      </w:r>
      <w:r>
        <w:rPr>
          <w:b/>
        </w:rPr>
        <w:t xml:space="preserve">Sustained Growth:</w:t>
      </w:r>
      <w:r>
        <w:rPr>
          <w:rFonts w:eastAsia="Georgia" w:cs="Georgia" w:ascii="Georgia" w:hAnsi="Georgia"/>
        </w:rPr>
        <w:t xml:space="preserve"> Revenue grown from ₹38,000 Cr to ₹48,000 Cr (26% over 5 years) while maintaining working capital efficiency.</w:t>
      </w:r>
      <w:r>
        <w:rPr/>
        <w:br w:type="textWrapping"/>
      </w:r>
      <w:r>
        <w:rPr>
          <w:rFonts w:eastAsia="Georgia" w:cs="Georgia" w:ascii="Georgia" w:hAnsi="Georgia"/>
        </w:rPr>
        <w:t xml:space="preserve">### 12.2 Competitive Advantages</w:t>
      </w:r>
      <w:r>
        <w:rPr/>
        <w:br w:type="textWrapping"/>
      </w:r>
      <w:r>
        <w:rPr/>
        <w:t xml:space="preserve">HUL's superior working capital management provides multiple competitive advantages:</w:t>
      </w:r>
      <w:r>
        <w:rPr/>
        <w:br w:type="textWrapping"/>
      </w:r>
      <w:r>
        <w:rPr/>
        <w:t xml:space="preserve">1. </w:t>
      </w:r>
      <w:r>
        <w:rPr>
          <w:b/>
        </w:rPr>
        <w:t xml:space="preserve">Competitive Moat:</w:t>
      </w:r>
      <w:r>
        <w:rPr/>
        <w:t xml:space="preserve"> The efficiency of working capital management is difficult to replicate, reflecting brand strength, market dominance, and operational excellence.</w:t>
      </w:r>
      <w:r>
        <w:rPr/>
        <w:br w:type="textWrapping"/>
      </w:r>
      <w:r>
        <w:rPr/>
        <w:t xml:space="preserve">2. </w:t>
      </w:r>
      <w:r>
        <w:rPr>
          <w:b/>
        </w:rPr>
        <w:t xml:space="preserve">Financial Flexibility:</w:t>
      </w:r>
      <w:r>
        <w:rPr/>
        <w:t xml:space="preserve"> Negative CCC and minimal NWC requirement provide capacity for:</w:t>
      </w:r>
      <w:r>
        <w:rPr/>
        <w:br w:type="textWrapping"/>
      </w:r>
      <w:r>
        <w:rPr/>
        <w:t xml:space="preserve">- Strategic investments and acquisitions.</w:t>
      </w:r>
      <w:r>
        <w:rPr/>
        <w:br w:type="textWrapping"/>
      </w:r>
      <w:r>
        <w:rPr/>
        <w:t xml:space="preserve">- Shareholder returns (dividends, buybacks).</w:t>
      </w:r>
      <w:r>
        <w:rPr/>
        <w:br w:type="textWrapping"/>
      </w:r>
      <w:r>
        <w:rPr/>
        <w:t xml:space="preserve">- Debt reduction and improved credit metrics.</w:t>
      </w:r>
      <w:r>
        <w:rPr/>
        <w:br w:type="textWrapping"/>
      </w:r>
      <w:r>
        <w:rPr/>
        <w:t xml:space="preserve">3. </w:t>
      </w:r>
      <w:r>
        <w:rPr>
          <w:b/>
        </w:rPr>
        <w:t xml:space="preserve">Return on Capital:</w:t>
      </w:r>
      <w:r>
        <w:rPr>
          <w:rFonts w:eastAsia="Georgia" w:cs="Georgia" w:ascii="Georgia" w:hAnsi="Georgia"/>
        </w:rPr>
        <w:t xml:space="preserve"> Efficient working capital deployment contributes to industry-leading ROCE of 35–40%.</w:t>
      </w:r>
      <w:r>
        <w:rPr/>
        <w:br w:type="textWrapping"/>
      </w:r>
      <w:r>
        <w:rPr/>
        <w:t xml:space="preserve">4. </w:t>
      </w:r>
      <w:r>
        <w:rPr>
          <w:b/>
        </w:rPr>
        <w:t xml:space="preserve">Growth Sustainability:</w:t>
      </w:r>
      <w:r>
        <w:rPr/>
        <w:t xml:space="preserve"> Strong working capital management enables organic growth without external financing pressure.</w:t>
      </w:r>
      <w:r>
        <w:rPr/>
        <w:br w:type="textWrapping"/>
      </w:r>
      <w:r>
        <w:rPr>
          <w:rFonts w:eastAsia="Georgia" w:cs="Georgia" w:ascii="Georgia" w:hAnsi="Georgia"/>
        </w:rPr>
        <w:t xml:space="preserve">### 12.3 MBA Finance Learning Insights</w:t>
      </w:r>
      <w:r>
        <w:rPr/>
        <w:br w:type="textWrapping"/>
      </w:r>
      <w:r>
        <w:rPr/>
        <w:t xml:space="preserve">This case study demonstrates critical lessons for MBA finance students:</w:t>
      </w:r>
      <w:r>
        <w:rPr/>
        <w:br w:type="textWrapping"/>
      </w:r>
      <w:r>
        <w:rPr>
          <w:b/>
        </w:rPr>
        <w:t xml:space="preserve">Lesson 1: Context Matters</w:t>
      </w:r>
      <w:r>
        <w:rPr/>
        <w:br w:type="textWrapping"/>
      </w:r>
      <w:r>
        <w:rPr/>
        <w:t xml:space="preserve">- Working capital ratios cannot be interpreted in isolation.</w:t>
      </w:r>
      <w:r>
        <w:rPr/>
        <w:br w:type="textWrapping"/>
      </w:r>
      <w:r>
        <w:rPr/>
        <w:t xml:space="preserve">- Industry, business model, and company strength must be considered.</w:t>
      </w:r>
      <w:r>
        <w:rPr/>
        <w:br w:type="textWrapping"/>
      </w:r>
      <w:r>
        <w:rPr/>
        <w:t xml:space="preserve">- HUL's low current ratio reflects strength, not weakness.</w:t>
      </w:r>
      <w:r>
        <w:rPr/>
        <w:br w:type="textWrapping"/>
      </w:r>
      <w:r>
        <w:rPr>
          <w:b/>
        </w:rPr>
        <w:t xml:space="preserve">Lesson 2: Efficiency vs. Adequacy</w:t>
      </w:r>
      <w:r>
        <w:rPr/>
        <w:br w:type="textWrapping"/>
      </w:r>
      <w:r>
        <w:rPr/>
        <w:t xml:space="preserve">- The goal is not maximum or minimum working capital, but </w:t>
      </w:r>
      <w:r>
        <w:rPr>
          <w:b/>
        </w:rPr>
        <w:t xml:space="preserve">optimal</w:t>
      </w:r>
      <w:r>
        <w:rPr/>
        <w:t xml:space="preserve"> working capital.</w:t>
      </w:r>
      <w:r>
        <w:rPr/>
        <w:br w:type="textWrapping"/>
      </w:r>
      <w:r>
        <w:rPr/>
        <w:t xml:space="preserve">- HUL balances operational efficiency with financial safety.</w:t>
      </w:r>
      <w:r>
        <w:rPr/>
        <w:br w:type="textWrapping"/>
      </w:r>
      <w:r>
        <w:rPr>
          <w:b/>
        </w:rPr>
        <w:t xml:space="preserve">Lesson 3: Operational Excellence Drives Financial Excellence</w:t>
      </w:r>
      <w:r>
        <w:rPr/>
        <w:br w:type="textWrapping"/>
      </w:r>
      <w:r>
        <w:rPr/>
        <w:t xml:space="preserve">- Superior working capital management stems from operational capabilities: brand strength, market power, supply chain efficiency.</w:t>
      </w:r>
      <w:r>
        <w:rPr/>
        <w:br w:type="textWrapping"/>
      </w:r>
      <w:r>
        <w:rPr/>
        <w:t xml:space="preserve">- Financial management alone cannot create the advantage.</w:t>
      </w:r>
      <w:r>
        <w:rPr/>
        <w:br w:type="textWrapping"/>
      </w:r>
      <w:r>
        <w:rPr>
          <w:b/>
        </w:rPr>
        <w:t xml:space="preserve">Lesson 4: Hidden Value in Working Capital</w:t>
      </w:r>
      <w:r>
        <w:rPr/>
        <w:br w:type="textWrapping"/>
      </w:r>
      <w:r>
        <w:rPr>
          <w:rFonts w:eastAsia="Georgia" w:cs="Georgia" w:ascii="Georgia" w:hAnsi="Georgia"/>
        </w:rPr>
        <w:t xml:space="preserve">- Negative CCC and minimal NWC represent substantial hidden value (₹400 Cr+ annually for HUL).</w:t>
      </w:r>
      <w:r>
        <w:rPr/>
        <w:br w:type="textWrapping"/>
      </w:r>
      <w:r>
        <w:rPr/>
        <w:t xml:space="preserve">- Investors should analyze working capital as a source of competitive advantage and value creation.</w:t>
      </w:r>
      <w:r>
        <w:rPr/>
        <w:br w:type="textWrapping"/>
      </w:r>
      <w:r>
        <w:rPr>
          <w:b/>
        </w:rPr>
        <w:t xml:space="preserve">Lesson 5: Strategic Leverage Points</w:t>
      </w:r>
      <w:r>
        <w:rPr/>
        <w:br w:type="textWrapping"/>
      </w:r>
      <w:r>
        <w:rPr/>
        <w:t xml:space="preserve">- The biggest lever for HUL's working capital advantage is </w:t>
      </w:r>
      <w:r>
        <w:rPr>
          <w:b/>
        </w:rPr>
        <w:t xml:space="preserve">DPO</w:t>
      </w:r>
      <w:r>
        <w:rPr/>
        <w:t xml:space="preserve"> (supplier payment terms).</w:t>
      </w:r>
      <w:r>
        <w:rPr/>
        <w:br w:type="textWrapping"/>
      </w:r>
      <w:r>
        <w:rPr/>
        <w:t xml:space="preserve">- This reflects HUL's negotiating power and is difficult for competitors to replicate.</w:t>
      </w:r>
      <w:r>
        <w:rPr/>
        <w:br w:type="textWrapping"/>
      </w:r>
      <w:r>
        <w:rPr>
          <w:rFonts w:eastAsia="Georgia" w:cs="Georgia" w:ascii="Georgia" w:hAnsi="Georgia"/>
        </w:rPr>
        <w:t xml:space="preserve">### 12.4 Future Outlook</w:t>
      </w:r>
      <w:r>
        <w:rPr/>
        <w:br w:type="textWrapping"/>
      </w:r>
      <w:r>
        <w:rPr>
          <w:b/>
        </w:rPr>
        <w:t xml:space="preserve">Short Term (1–2 years):</w:t>
      </w:r>
      <w:r>
        <w:rPr/>
        <w:br w:type="textWrapping"/>
      </w:r>
      <w:r>
        <w:rPr>
          <w:rFonts w:eastAsia="Georgia" w:cs="Georgia" w:ascii="Georgia" w:hAnsi="Georgia"/>
        </w:rPr>
        <w:t xml:space="preserve">- HUL is expected to maintain its working capital efficiency while growing revenue 5–7% annually.</w:t>
      </w:r>
      <w:r>
        <w:rPr/>
        <w:br w:type="textWrapping"/>
      </w:r>
      <w:r>
        <w:rPr>
          <w:rFonts w:eastAsia="Georgia" w:cs="Georgia" w:ascii="Georgia" w:hAnsi="Georgia"/>
        </w:rPr>
        <w:t xml:space="preserve">- Continued optimization of DIO and DSO could provide additional ₹200–300 Cr cash benefit.</w:t>
      </w:r>
      <w:r>
        <w:rPr/>
        <w:br w:type="textWrapping"/>
      </w:r>
      <w:r>
        <w:rPr>
          <w:b/>
        </w:rPr>
        <w:t xml:space="preserve">Medium Term (3–5 years):</w:t>
      </w:r>
      <w:r>
        <w:rPr/>
        <w:br w:type="textWrapping"/>
      </w:r>
      <w:r>
        <w:rPr/>
        <w:t xml:space="preserve">- Technology investments (AI/ML, blockchain) in supply chain and collections could further enhance efficiency.</w:t>
      </w:r>
      <w:r>
        <w:rPr/>
        <w:br w:type="textWrapping"/>
      </w:r>
      <w:r>
        <w:rPr/>
        <w:t xml:space="preserve">- Digital transformation in distributor relationships may enable even faster collections and inventory optimization.</w:t>
      </w:r>
      <w:r>
        <w:rPr/>
        <w:br w:type="textWrapping"/>
      </w:r>
      <w:r>
        <w:rPr/>
        <w:t xml:space="preserve">- Acquisition of complementary brands could temporarily increase working capital requirement but offer long-term efficiency gains.</w:t>
      </w:r>
      <w:r>
        <w:rPr/>
        <w:br w:type="textWrapping"/>
      </w:r>
      <w:r>
        <w:rPr>
          <w:b/>
        </w:rPr>
        <w:t xml:space="preserve">Long Term (5+ years):</w:t>
      </w:r>
      <w:r>
        <w:rPr/>
        <w:br w:type="textWrapping"/>
      </w:r>
      <w:r>
        <w:rPr/>
        <w:t xml:space="preserve">- Direct-to-consumer (D2C) digital channels may further optimize working capital by reducing intermediaries.</w:t>
      </w:r>
      <w:r>
        <w:rPr/>
        <w:br w:type="textWrapping"/>
      </w:r>
      <w:r>
        <w:rPr/>
        <w:t xml:space="preserve">- E-commerce growth may improve inventory turnover in certain categories.</w:t>
      </w:r>
      <w:r>
        <w:rPr/>
        <w:br w:type="textWrapping"/>
      </w:r>
      <w:r>
        <w:rPr/>
        <w:t xml:space="preserve">- Continued brand strength and market dominance will support extended supplier terms.</w:t>
      </w:r>
      <w:r>
        <w:rPr/>
        <w:br w:type="textWrapping"/>
      </w:r>
      <w:r>
        <w:rPr>
          <w:rFonts w:eastAsia="Georgia" w:cs="Georgia" w:ascii="Georgia" w:hAnsi="Georgia"/>
        </w:rPr>
        <w:t xml:space="preserve">### 12.5 Final Assessment</w:t>
      </w:r>
      <w:r>
        <w:rPr/>
        <w:br w:type="textWrapping"/>
      </w:r>
      <w:r>
        <w:rPr>
          <w:b/>
        </w:rPr>
        <w:t xml:space="preserve">Overall Rating: EXCELLENT</w:t>
      </w:r>
      <w:r>
        <w:rPr/>
        <w:br w:type="textWrapping"/>
      </w:r>
      <w:r>
        <w:rPr/>
        <w:t xml:space="preserve">Hindustan Unilever Limited is a </w:t>
      </w:r>
      <w:r>
        <w:rPr>
          <w:b/>
        </w:rPr>
        <w:t xml:space="preserve">model company</w:t>
      </w:r>
      <w:r>
        <w:rPr/>
        <w:t xml:space="preserve"> for working capital management, combining:</w:t>
      </w:r>
      <w:r>
        <w:rPr/>
        <w:br w:type="textWrapping"/>
      </w:r>
      <w:r>
        <w:rPr>
          <w:rFonts w:eastAsia="Georgia" w:cs="Georgia" w:ascii="Georgia" w:hAnsi="Georgia"/>
        </w:rPr>
        <w:t xml:space="preserve">- ✅ Operational efficiency (inventory and collection management)</w:t>
      </w:r>
      <w:r>
        <w:rPr/>
        <w:br w:type="textWrapping"/>
      </w:r>
      <w:r>
        <w:rPr>
          <w:rFonts w:eastAsia="Georgia" w:cs="Georgia" w:ascii="Georgia" w:hAnsi="Georgia"/>
        </w:rPr>
        <w:t xml:space="preserve">- ✅ Financial leverage (extended payables)</w:t>
      </w:r>
      <w:r>
        <w:rPr/>
        <w:br w:type="textWrapping"/>
      </w:r>
      <w:r>
        <w:rPr>
          <w:rFonts w:eastAsia="Georgia" w:cs="Georgia" w:ascii="Georgia" w:hAnsi="Georgia"/>
        </w:rPr>
        <w:t xml:space="preserve">- ✅ Liquidity adequacy (operational cash generation)</w:t>
      </w:r>
      <w:r>
        <w:rPr/>
        <w:br w:type="textWrapping"/>
      </w:r>
      <w:r>
        <w:rPr>
          <w:rFonts w:eastAsia="Georgia" w:cs="Georgia" w:ascii="Georgia" w:hAnsi="Georgia"/>
        </w:rPr>
        <w:t xml:space="preserve">- ✅ Strategic flexibility (minimal working capital constraint)</w:t>
      </w:r>
      <w:r>
        <w:rPr/>
        <w:br w:type="textWrapping"/>
      </w:r>
      <w:r>
        <w:rPr>
          <w:rFonts w:eastAsia="Georgia" w:cs="Georgia" w:ascii="Georgia" w:hAnsi="Georgia"/>
        </w:rPr>
        <w:t xml:space="preserve">- ✅ Shareholder value creation (capital-light growth)</w:t>
      </w:r>
      <w:r>
        <w:rPr/>
        <w:br w:type="textWrapping"/>
      </w:r>
      <w:r>
        <w:rPr>
          <w:b/>
        </w:rPr>
        <w:t xml:space="preserve">Recommendation:</w:t>
      </w:r>
      <w:r>
        <w:rPr/>
        <w:t xml:space="preserve"> HUL should continue its current working capital strategy while implementing the suggested recommendations to further optimize cash flows and maintain its competitive advantage.</w:t>
      </w:r>
      <w:r>
        <w:rPr/>
        <w:br w:type="textWrapping"/>
      </w:r>
      <w:r>
        <w:rPr/>
        <w:t xml:space="preserve">---</w:t>
      </w:r>
      <w:r>
        <w:rPr/>
        <w:br w:type="textWrapping"/>
      </w:r>
      <w:r>
        <w:rPr>
          <w:rFonts w:eastAsia="Georgia" w:cs="Georgia" w:ascii="Georgia" w:hAnsi="Georgia"/>
        </w:rPr>
        <w:t xml:space="preserve">## 13. REFERENCES</w:t>
      </w:r>
      <w:r>
        <w:rPr/>
        <w:br w:type="textWrapping"/>
      </w:r>
      <w:r>
        <w:rPr/>
        <w:t xml:space="preserve">\begin{enumerate}</w:t>
      </w:r>
      <w:r>
        <w:rPr/>
        <w:br w:type="textWrapping"/>
      </w:r>
      <w:r>
        <w:rPr/>
        <w:t xml:space="preserve">\end{enumerate}</w:t>
      </w:r>
      <w:r>
        <w:rPr/>
        <w:br w:type="textWrapping"/>
      </w:r>
      <w:r>
        <w:rPr/>
        <w:t xml:space="preserve">---</w:t>
      </w:r>
      <w:r>
        <w:rPr/>
        <w:br w:type="textWrapping"/>
      </w:r>
      <w:r>
        <w:rPr>
          <w:rFonts w:eastAsia="Georgia" w:cs="Georgia" w:ascii="Georgia" w:hAnsi="Georgia"/>
        </w:rPr>
        <w:t xml:space="preserve">## APPENDIX: DETAILED EXCEL CALCULATIONS</w:t>
      </w:r>
      <w:r>
        <w:rPr/>
        <w:br w:type="textWrapping"/>
      </w:r>
      <w:r>
        <w:rPr>
          <w:rFonts w:eastAsia="Georgia" w:cs="Georgia" w:ascii="Georgia" w:hAnsi="Georgia"/>
        </w:rPr>
        <w:t xml:space="preserve">### Appendix A: Current Assets &amp; Liabilities Summary</w:t>
      </w:r>
      <w:r>
        <w:rPr/>
        <w:br w:type="textWrapping"/>
      </w:r>
      <w:r>
        <w:rPr/>
        <w:t xml:space="preserve">\begin{table}</w:t>
      </w:r>
      <w:r>
        <w:rPr/>
        <w:br w:type="textWrapping"/>
      </w:r>
    </w:p>
    <w:tbl>
      <w:tblPr>
        <w:tblStyle w:val="TableGrid"/>
        <w:jc w:val="left"/>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CURRENT ASSETS (₹ Cr)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t xml:space="preserve">Cash &amp; Bank Balances</w:t>
            </w:r>
          </w:p>
        </w:tc>
        <w:tc>
          <w:tcPr>
            <w:tcBorders>
              <w:right w:val="single" w:sz="8" w:space="0" w:color="000000"/>
            </w:tcBorders>
            <w:vAlign w:val="center"/>
          </w:tcPr>
          <w:p>
            <w:pPr>
              <w:spacing w:lineRule="auto"/>
              <w:jc w:val="right"/>
            </w:pPr>
            <w:r>
              <w:rPr/>
              <w:t xml:space="preserve">850</w:t>
            </w:r>
          </w:p>
        </w:tc>
        <w:tc>
          <w:tcPr>
            <w:tcBorders>
              <w:right w:val="single" w:sz="8" w:space="0" w:color="000000"/>
            </w:tcBorders>
            <w:vAlign w:val="center"/>
          </w:tcPr>
          <w:p>
            <w:pPr>
              <w:spacing w:lineRule="auto"/>
              <w:jc w:val="right"/>
            </w:pPr>
            <w:r>
              <w:rPr/>
              <w:t xml:space="preserve">920</w:t>
            </w:r>
          </w:p>
        </w:tc>
        <w:tc>
          <w:tcPr>
            <w:tcBorders>
              <w:right w:val="single" w:sz="8" w:space="0" w:color="000000"/>
            </w:tcBorders>
            <w:vAlign w:val="center"/>
          </w:tcPr>
          <w:p>
            <w:pPr>
              <w:spacing w:lineRule="auto"/>
              <w:jc w:val="right"/>
            </w:pPr>
            <w:r>
              <w:rPr/>
              <w:t xml:space="preserve">1100</w:t>
            </w:r>
          </w:p>
        </w:tc>
        <w:tc>
          <w:tcPr>
            <w:tcBorders>
              <w:right w:val="single" w:sz="8" w:space="0" w:color="000000"/>
            </w:tcBorders>
            <w:vAlign w:val="center"/>
          </w:tcPr>
          <w:p>
            <w:pPr>
              <w:spacing w:lineRule="auto"/>
              <w:jc w:val="right"/>
            </w:pPr>
            <w:r>
              <w:rPr/>
              <w:t xml:space="preserve">1250</w:t>
            </w:r>
          </w:p>
        </w:tc>
        <w:tc>
          <w:tcPr>
            <w:tcBorders>
              <w:right w:val="single" w:sz="8" w:space="0" w:color="000000"/>
            </w:tcBorders>
            <w:vAlign w:val="center"/>
          </w:tcPr>
          <w:p>
            <w:pPr>
              <w:spacing w:lineRule="auto"/>
              <w:jc w:val="right"/>
            </w:pPr>
            <w:r>
              <w:rPr/>
              <w:t xml:space="preserve">1450</w:t>
            </w:r>
          </w:p>
        </w:tc>
      </w:tr>
      <w:tr>
        <w:trPr>
          <w:cantSplit/>
        </w:trPr>
        <w:tc>
          <w:tcPr>
            <w:tcBorders>
              <w:left w:val="single" w:sz="8" w:space="0" w:color="000000"/>
              <w:right w:val="single" w:sz="8" w:space="0" w:color="000000"/>
            </w:tcBorders>
            <w:vAlign w:val="center"/>
          </w:tcPr>
          <w:p>
            <w:pPr>
              <w:spacing w:lineRule="auto"/>
              <w:jc w:val="left"/>
            </w:pPr>
            <w:r>
              <w:rPr/>
              <w:t xml:space="preserve">Marketable Securities</w:t>
            </w:r>
          </w:p>
        </w:tc>
        <w:tc>
          <w:tcPr>
            <w:tcBorders>
              <w:right w:val="single" w:sz="8" w:space="0" w:color="000000"/>
            </w:tcBorders>
            <w:vAlign w:val="center"/>
          </w:tcPr>
          <w:p>
            <w:pPr>
              <w:spacing w:lineRule="auto"/>
              <w:jc w:val="right"/>
            </w:pPr>
            <w:r>
              <w:rPr/>
              <w:t xml:space="preserve">200</w:t>
            </w:r>
          </w:p>
        </w:tc>
        <w:tc>
          <w:tcPr>
            <w:tcBorders>
              <w:right w:val="single" w:sz="8" w:space="0" w:color="000000"/>
            </w:tcBorders>
            <w:vAlign w:val="center"/>
          </w:tcPr>
          <w:p>
            <w:pPr>
              <w:spacing w:lineRule="auto"/>
              <w:jc w:val="right"/>
            </w:pPr>
            <w:r>
              <w:rPr/>
              <w:t xml:space="preserve">150</w:t>
            </w:r>
          </w:p>
        </w:tc>
        <w:tc>
          <w:tcPr>
            <w:tcBorders>
              <w:right w:val="single" w:sz="8" w:space="0" w:color="000000"/>
            </w:tcBorders>
            <w:vAlign w:val="center"/>
          </w:tcPr>
          <w:p>
            <w:pPr>
              <w:spacing w:lineRule="auto"/>
              <w:jc w:val="right"/>
            </w:pPr>
            <w:r>
              <w:rPr/>
              <w:t xml:space="preserve">180</w:t>
            </w:r>
          </w:p>
        </w:tc>
        <w:tc>
          <w:tcPr>
            <w:tcBorders>
              <w:right w:val="single" w:sz="8" w:space="0" w:color="000000"/>
            </w:tcBorders>
            <w:vAlign w:val="center"/>
          </w:tcPr>
          <w:p>
            <w:pPr>
              <w:spacing w:lineRule="auto"/>
              <w:jc w:val="right"/>
            </w:pPr>
            <w:r>
              <w:rPr/>
              <w:t xml:space="preserve">200</w:t>
            </w:r>
          </w:p>
        </w:tc>
        <w:tc>
          <w:tcPr>
            <w:tcBorders>
              <w:right w:val="single" w:sz="8" w:space="0" w:color="000000"/>
            </w:tcBorders>
            <w:vAlign w:val="center"/>
          </w:tcPr>
          <w:p>
            <w:pPr>
              <w:spacing w:lineRule="auto"/>
              <w:jc w:val="right"/>
            </w:pPr>
            <w:r>
              <w:rPr/>
              <w:t xml:space="preserve">250</w:t>
            </w:r>
          </w:p>
        </w:tc>
      </w:tr>
      <w:tr>
        <w:trPr>
          <w:cantSplit/>
        </w:trPr>
        <w:tc>
          <w:tcPr>
            <w:tcBorders>
              <w:left w:val="single" w:sz="8" w:space="0" w:color="000000"/>
              <w:right w:val="single" w:sz="8" w:space="0" w:color="000000"/>
            </w:tcBorders>
            <w:vAlign w:val="center"/>
          </w:tcPr>
          <w:p>
            <w:pPr>
              <w:spacing w:lineRule="auto"/>
              <w:jc w:val="left"/>
            </w:pPr>
            <w:r>
              <w:rPr/>
              <w:t xml:space="preserve">Trade Receivables</w:t>
            </w:r>
          </w:p>
        </w:tc>
        <w:tc>
          <w:tcPr>
            <w:tcBorders>
              <w:right w:val="single" w:sz="8" w:space="0" w:color="000000"/>
            </w:tcBorders>
            <w:vAlign w:val="center"/>
          </w:tcPr>
          <w:p>
            <w:pPr>
              <w:spacing w:lineRule="auto"/>
              <w:jc w:val="right"/>
            </w:pPr>
            <w:r>
              <w:rPr/>
              <w:t xml:space="preserve">1800</w:t>
            </w:r>
          </w:p>
        </w:tc>
        <w:tc>
          <w:tcPr>
            <w:tcBorders>
              <w:right w:val="single" w:sz="8" w:space="0" w:color="000000"/>
            </w:tcBorders>
            <w:vAlign w:val="center"/>
          </w:tcPr>
          <w:p>
            <w:pPr>
              <w:spacing w:lineRule="auto"/>
              <w:jc w:val="right"/>
            </w:pPr>
            <w:r>
              <w:rPr/>
              <w:t xml:space="preserve">2050</w:t>
            </w:r>
          </w:p>
        </w:tc>
        <w:tc>
          <w:tcPr>
            <w:tcBorders>
              <w:right w:val="single" w:sz="8" w:space="0" w:color="000000"/>
            </w:tcBorders>
            <w:vAlign w:val="center"/>
          </w:tcPr>
          <w:p>
            <w:pPr>
              <w:spacing w:lineRule="auto"/>
              <w:jc w:val="right"/>
            </w:pPr>
            <w:r>
              <w:rPr/>
              <w:t xml:space="preserve">2400</w:t>
            </w:r>
          </w:p>
        </w:tc>
        <w:tc>
          <w:tcPr>
            <w:tcBorders>
              <w:right w:val="single" w:sz="8" w:space="0" w:color="000000"/>
            </w:tcBorders>
            <w:vAlign w:val="center"/>
          </w:tcPr>
          <w:p>
            <w:pPr>
              <w:spacing w:lineRule="auto"/>
              <w:jc w:val="right"/>
            </w:pPr>
            <w:r>
              <w:rPr/>
              <w:t xml:space="preserve">2650</w:t>
            </w:r>
          </w:p>
        </w:tc>
        <w:tc>
          <w:tcPr>
            <w:tcBorders>
              <w:right w:val="single" w:sz="8" w:space="0" w:color="000000"/>
            </w:tcBorders>
            <w:vAlign w:val="center"/>
          </w:tcPr>
          <w:p>
            <w:pPr>
              <w:spacing w:lineRule="auto"/>
              <w:jc w:val="right"/>
            </w:pPr>
            <w:r>
              <w:rPr/>
              <w:t xml:space="preserve">2900</w:t>
            </w:r>
          </w:p>
        </w:tc>
      </w:tr>
      <w:tr>
        <w:trPr>
          <w:cantSplit/>
        </w:trPr>
        <w:tc>
          <w:tcPr>
            <w:tcBorders>
              <w:left w:val="single" w:sz="8" w:space="0" w:color="000000"/>
              <w:right w:val="single" w:sz="8" w:space="0" w:color="000000"/>
            </w:tcBorders>
            <w:vAlign w:val="center"/>
          </w:tcPr>
          <w:p>
            <w:pPr>
              <w:spacing w:lineRule="auto"/>
              <w:jc w:val="left"/>
            </w:pPr>
            <w:r>
              <w:rPr/>
              <w:t xml:space="preserve">Inventories</w:t>
            </w:r>
          </w:p>
        </w:tc>
        <w:tc>
          <w:tcPr>
            <w:tcBorders>
              <w:right w:val="single" w:sz="8" w:space="0" w:color="000000"/>
            </w:tcBorders>
            <w:vAlign w:val="center"/>
          </w:tcPr>
          <w:p>
            <w:pPr>
              <w:spacing w:lineRule="auto"/>
              <w:jc w:val="right"/>
            </w:pPr>
            <w:r>
              <w:rPr/>
              <w:t xml:space="preserve">1400</w:t>
            </w:r>
          </w:p>
        </w:tc>
        <w:tc>
          <w:tcPr>
            <w:tcBorders>
              <w:right w:val="single" w:sz="8" w:space="0" w:color="000000"/>
            </w:tcBorders>
            <w:vAlign w:val="center"/>
          </w:tcPr>
          <w:p>
            <w:pPr>
              <w:spacing w:lineRule="auto"/>
              <w:jc w:val="right"/>
            </w:pPr>
            <w:r>
              <w:rPr/>
              <w:t xml:space="preserve">1550</w:t>
            </w:r>
          </w:p>
        </w:tc>
        <w:tc>
          <w:tcPr>
            <w:tcBorders>
              <w:right w:val="single" w:sz="8" w:space="0" w:color="000000"/>
            </w:tcBorders>
            <w:vAlign w:val="center"/>
          </w:tcPr>
          <w:p>
            <w:pPr>
              <w:spacing w:lineRule="auto"/>
              <w:jc w:val="right"/>
            </w:pPr>
            <w:r>
              <w:rPr/>
              <w:t xml:space="preserve">1750</w:t>
            </w:r>
          </w:p>
        </w:tc>
        <w:tc>
          <w:tcPr>
            <w:tcBorders>
              <w:right w:val="single" w:sz="8" w:space="0" w:color="000000"/>
            </w:tcBorders>
            <w:vAlign w:val="center"/>
          </w:tcPr>
          <w:p>
            <w:pPr>
              <w:spacing w:lineRule="auto"/>
              <w:jc w:val="right"/>
            </w:pPr>
            <w:r>
              <w:rPr/>
              <w:t xml:space="preserve">1900</w:t>
            </w:r>
          </w:p>
        </w:tc>
        <w:tc>
          <w:tcPr>
            <w:tcBorders>
              <w:right w:val="single" w:sz="8" w:space="0" w:color="000000"/>
            </w:tcBorders>
            <w:vAlign w:val="center"/>
          </w:tcPr>
          <w:p>
            <w:pPr>
              <w:spacing w:lineRule="auto"/>
              <w:jc w:val="right"/>
            </w:pPr>
            <w:r>
              <w:rPr/>
              <w:t xml:space="preserve">2050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Prepaid Expenses &amp; Others</w:t>
            </w:r>
          </w:p>
        </w:tc>
        <w:tc>
          <w:tcPr>
            <w:tcBorders>
              <w:bottom w:val="single" w:sz="8" w:space="0" w:color="000000"/>
              <w:right w:val="single" w:sz="8" w:space="0" w:color="000000"/>
            </w:tcBorders>
            <w:vAlign w:val="center"/>
          </w:tcPr>
          <w:p>
            <w:pPr>
              <w:spacing w:lineRule="auto"/>
              <w:jc w:val="right"/>
            </w:pPr>
            <w:r>
              <w:rPr/>
              <w:t xml:space="preserve">350</w:t>
            </w:r>
          </w:p>
        </w:tc>
        <w:tc>
          <w:tcPr>
            <w:tcBorders>
              <w:bottom w:val="single" w:sz="8" w:space="0" w:color="000000"/>
              <w:right w:val="single" w:sz="8" w:space="0" w:color="000000"/>
            </w:tcBorders>
            <w:vAlign w:val="center"/>
          </w:tcPr>
          <w:p>
            <w:pPr>
              <w:spacing w:lineRule="auto"/>
              <w:jc w:val="right"/>
            </w:pPr>
            <w:r>
              <w:rPr/>
              <w:t xml:space="preserve">400</w:t>
            </w:r>
          </w:p>
        </w:tc>
        <w:tc>
          <w:tcPr>
            <w:tcBorders>
              <w:bottom w:val="single" w:sz="8" w:space="0" w:color="000000"/>
              <w:right w:val="single" w:sz="8" w:space="0" w:color="000000"/>
            </w:tcBorders>
            <w:vAlign w:val="center"/>
          </w:tcPr>
          <w:p>
            <w:pPr>
              <w:spacing w:lineRule="auto"/>
              <w:jc w:val="right"/>
            </w:pPr>
            <w:r>
              <w:rPr/>
              <w:t xml:space="preserve">450</w:t>
            </w:r>
          </w:p>
        </w:tc>
        <w:tc>
          <w:tcPr>
            <w:tcBorders>
              <w:bottom w:val="single" w:sz="8" w:space="0" w:color="000000"/>
              <w:right w:val="single" w:sz="8" w:space="0" w:color="000000"/>
            </w:tcBorders>
            <w:vAlign w:val="center"/>
          </w:tcPr>
          <w:p>
            <w:pPr>
              <w:spacing w:lineRule="auto"/>
              <w:jc w:val="right"/>
            </w:pPr>
            <w:r>
              <w:rPr/>
              <w:t xml:space="preserve">500</w:t>
            </w:r>
          </w:p>
        </w:tc>
        <w:tc>
          <w:tcPr>
            <w:tcBorders>
              <w:bottom w:val="single" w:sz="8" w:space="0" w:color="000000"/>
              <w:right w:val="single" w:sz="8" w:space="0" w:color="000000"/>
            </w:tcBorders>
            <w:vAlign w:val="center"/>
          </w:tcPr>
          <w:p>
            <w:pPr>
              <w:spacing w:lineRule="auto"/>
              <w:jc w:val="right"/>
            </w:pPr>
            <w:r>
              <w:rPr/>
              <w:t xml:space="preserve">600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ASSETS</w:t>
            </w:r>
          </w:p>
        </w:tc>
        <w:tc>
          <w:tcPr>
            <w:tcBorders>
              <w:bottom w:val="single" w:sz="8" w:space="0" w:color="000000"/>
              <w:right w:val="single" w:sz="8" w:space="0" w:color="000000"/>
            </w:tcBorders>
            <w:vAlign w:val="center"/>
          </w:tcPr>
          <w:p>
            <w:pPr>
              <w:spacing w:lineRule="auto"/>
              <w:jc w:val="right"/>
            </w:pPr>
            <w:r>
              <w:rPr>
                <w:b/>
              </w:rPr>
              <w:t xml:space="preserve">6600</w:t>
            </w:r>
          </w:p>
        </w:tc>
        <w:tc>
          <w:tcPr>
            <w:tcBorders>
              <w:bottom w:val="single" w:sz="8" w:space="0" w:color="000000"/>
              <w:right w:val="single" w:sz="8" w:space="0" w:color="000000"/>
            </w:tcBorders>
            <w:vAlign w:val="center"/>
          </w:tcPr>
          <w:p>
            <w:pPr>
              <w:spacing w:lineRule="auto"/>
              <w:jc w:val="right"/>
            </w:pPr>
            <w:r>
              <w:rPr>
                <w:b/>
              </w:rPr>
              <w:t xml:space="preserve">7070</w:t>
            </w:r>
          </w:p>
        </w:tc>
        <w:tc>
          <w:tcPr>
            <w:tcBorders>
              <w:bottom w:val="single" w:sz="8" w:space="0" w:color="000000"/>
              <w:right w:val="single" w:sz="8" w:space="0" w:color="000000"/>
            </w:tcBorders>
            <w:vAlign w:val="center"/>
          </w:tcPr>
          <w:p>
            <w:pPr>
              <w:spacing w:lineRule="auto"/>
              <w:jc w:val="right"/>
            </w:pPr>
            <w:r>
              <w:rPr>
                <w:b/>
              </w:rPr>
              <w:t xml:space="preserve">7880</w:t>
            </w:r>
          </w:p>
        </w:tc>
        <w:tc>
          <w:tcPr>
            <w:tcBorders>
              <w:bottom w:val="single" w:sz="8" w:space="0" w:color="000000"/>
              <w:right w:val="single" w:sz="8" w:space="0" w:color="000000"/>
            </w:tcBorders>
            <w:vAlign w:val="center"/>
          </w:tcPr>
          <w:p>
            <w:pPr>
              <w:spacing w:lineRule="auto"/>
              <w:jc w:val="right"/>
            </w:pPr>
            <w:r>
              <w:rPr>
                <w:b/>
              </w:rPr>
              <w:t xml:space="preserve">8500</w:t>
            </w:r>
          </w:p>
        </w:tc>
        <w:tc>
          <w:tcPr>
            <w:tcBorders>
              <w:bottom w:val="single" w:sz="8" w:space="0" w:color="000000"/>
              <w:right w:val="single" w:sz="8" w:space="0" w:color="000000"/>
            </w:tcBorders>
            <w:vAlign w:val="center"/>
          </w:tcPr>
          <w:p>
            <w:pPr>
              <w:spacing w:lineRule="auto"/>
              <w:jc w:val="right"/>
            </w:pPr>
            <w:r>
              <w:rPr>
                <w:b/>
              </w:rPr>
              <w:t xml:space="preserve">9250</w:t>
            </w:r>
          </w:p>
        </w:tc>
      </w:tr>
    </w:tbl>
    <w:p>
      <w:pPr>
        <w:spacing w:lineRule="auto"/>
      </w:pPr>
    </w:p>
    <w:p>
      <w:pPr>
        <w:spacing w:lineRule="auto"/>
      </w:pPr>
      <w:r>
        <w:rPr/>
        <w:t xml:space="preserve">Table 23: CCC Decomposition Analysis</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CURRENT LIABILITIES (₹ Cr)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t xml:space="preserve">Trade Payables</w:t>
            </w:r>
          </w:p>
        </w:tc>
        <w:tc>
          <w:tcPr>
            <w:tcBorders>
              <w:right w:val="single" w:sz="8" w:space="0" w:color="000000"/>
            </w:tcBorders>
            <w:vAlign w:val="center"/>
          </w:tcPr>
          <w:p>
            <w:pPr>
              <w:spacing w:lineRule="auto"/>
              <w:jc w:val="right"/>
            </w:pPr>
            <w:r>
              <w:rPr/>
              <w:t xml:space="preserve">2500</w:t>
            </w:r>
          </w:p>
        </w:tc>
        <w:tc>
          <w:tcPr>
            <w:tcBorders>
              <w:right w:val="single" w:sz="8" w:space="0" w:color="000000"/>
            </w:tcBorders>
            <w:vAlign w:val="center"/>
          </w:tcPr>
          <w:p>
            <w:pPr>
              <w:spacing w:lineRule="auto"/>
              <w:jc w:val="right"/>
            </w:pPr>
            <w:r>
              <w:rPr/>
              <w:t xml:space="preserve">2800</w:t>
            </w:r>
          </w:p>
        </w:tc>
        <w:tc>
          <w:tcPr>
            <w:tcBorders>
              <w:right w:val="single" w:sz="8" w:space="0" w:color="000000"/>
            </w:tcBorders>
            <w:vAlign w:val="center"/>
          </w:tcPr>
          <w:p>
            <w:pPr>
              <w:spacing w:lineRule="auto"/>
              <w:jc w:val="right"/>
            </w:pPr>
            <w:r>
              <w:rPr/>
              <w:t xml:space="preserve">3100</w:t>
            </w:r>
          </w:p>
        </w:tc>
        <w:tc>
          <w:tcPr>
            <w:tcBorders>
              <w:right w:val="single" w:sz="8" w:space="0" w:color="000000"/>
            </w:tcBorders>
            <w:vAlign w:val="center"/>
          </w:tcPr>
          <w:p>
            <w:pPr>
              <w:spacing w:lineRule="auto"/>
              <w:jc w:val="right"/>
            </w:pPr>
            <w:r>
              <w:rPr/>
              <w:t xml:space="preserve">3400</w:t>
            </w:r>
          </w:p>
        </w:tc>
        <w:tc>
          <w:tcPr>
            <w:tcBorders>
              <w:right w:val="single" w:sz="8" w:space="0" w:color="000000"/>
            </w:tcBorders>
            <w:vAlign w:val="center"/>
          </w:tcPr>
          <w:p>
            <w:pPr>
              <w:spacing w:lineRule="auto"/>
              <w:jc w:val="right"/>
            </w:pPr>
            <w:r>
              <w:rPr/>
              <w:t xml:space="preserve">3700</w:t>
            </w:r>
          </w:p>
        </w:tc>
      </w:tr>
      <w:tr>
        <w:trPr>
          <w:cantSplit/>
        </w:trPr>
        <w:tc>
          <w:tcPr>
            <w:tcBorders>
              <w:left w:val="single" w:sz="8" w:space="0" w:color="000000"/>
              <w:right w:val="single" w:sz="8" w:space="0" w:color="000000"/>
            </w:tcBorders>
            <w:vAlign w:val="center"/>
          </w:tcPr>
          <w:p>
            <w:pPr>
              <w:spacing w:lineRule="auto"/>
              <w:jc w:val="left"/>
            </w:pPr>
            <w:r>
              <w:rPr/>
              <w:t xml:space="preserve">Short-term Borrowings</w:t>
            </w:r>
          </w:p>
        </w:tc>
        <w:tc>
          <w:tcPr>
            <w:tcBorders>
              <w:right w:val="single" w:sz="8" w:space="0" w:color="000000"/>
            </w:tcBorders>
            <w:vAlign w:val="center"/>
          </w:tcPr>
          <w:p>
            <w:pPr>
              <w:spacing w:lineRule="auto"/>
              <w:jc w:val="right"/>
            </w:pPr>
            <w:r>
              <w:rPr/>
              <w:t xml:space="preserve">100</w:t>
            </w:r>
          </w:p>
        </w:tc>
        <w:tc>
          <w:tcPr>
            <w:tcBorders>
              <w:right w:val="single" w:sz="8" w:space="0" w:color="000000"/>
            </w:tcBorders>
            <w:vAlign w:val="center"/>
          </w:tcPr>
          <w:p>
            <w:pPr>
              <w:spacing w:lineRule="auto"/>
              <w:jc w:val="right"/>
            </w:pPr>
            <w:r>
              <w:rPr/>
              <w:t xml:space="preserve">150</w:t>
            </w:r>
          </w:p>
        </w:tc>
        <w:tc>
          <w:tcPr>
            <w:tcBorders>
              <w:right w:val="single" w:sz="8" w:space="0" w:color="000000"/>
            </w:tcBorders>
            <w:vAlign w:val="center"/>
          </w:tcPr>
          <w:p>
            <w:pPr>
              <w:spacing w:lineRule="auto"/>
              <w:jc w:val="right"/>
            </w:pPr>
            <w:r>
              <w:rPr/>
              <w:t xml:space="preserve">200</w:t>
            </w:r>
          </w:p>
        </w:tc>
        <w:tc>
          <w:tcPr>
            <w:tcBorders>
              <w:right w:val="single" w:sz="8" w:space="0" w:color="000000"/>
            </w:tcBorders>
            <w:vAlign w:val="center"/>
          </w:tcPr>
          <w:p>
            <w:pPr>
              <w:spacing w:lineRule="auto"/>
              <w:jc w:val="right"/>
            </w:pPr>
            <w:r>
              <w:rPr/>
              <w:t xml:space="preserve">180</w:t>
            </w:r>
          </w:p>
        </w:tc>
        <w:tc>
          <w:tcPr>
            <w:tcBorders>
              <w:right w:val="single" w:sz="8" w:space="0" w:color="000000"/>
            </w:tcBorders>
            <w:vAlign w:val="center"/>
          </w:tcPr>
          <w:p>
            <w:pPr>
              <w:spacing w:lineRule="auto"/>
              <w:jc w:val="right"/>
            </w:pPr>
            <w:r>
              <w:rPr/>
              <w:t xml:space="preserve">150</w:t>
            </w:r>
          </w:p>
        </w:tc>
      </w:tr>
      <w:tr>
        <w:trPr>
          <w:cantSplit/>
        </w:trPr>
        <w:tc>
          <w:tcPr>
            <w:tcBorders>
              <w:left w:val="single" w:sz="8" w:space="0" w:color="000000"/>
              <w:right w:val="single" w:sz="8" w:space="0" w:color="000000"/>
            </w:tcBorders>
            <w:vAlign w:val="center"/>
          </w:tcPr>
          <w:p>
            <w:pPr>
              <w:spacing w:lineRule="auto"/>
              <w:jc w:val="left"/>
            </w:pPr>
            <w:r>
              <w:rPr/>
              <w:t xml:space="preserve">Current Provisions</w:t>
            </w:r>
          </w:p>
        </w:tc>
        <w:tc>
          <w:tcPr>
            <w:tcBorders>
              <w:right w:val="single" w:sz="8" w:space="0" w:color="000000"/>
            </w:tcBorders>
            <w:vAlign w:val="center"/>
          </w:tcPr>
          <w:p>
            <w:pPr>
              <w:spacing w:lineRule="auto"/>
              <w:jc w:val="right"/>
            </w:pPr>
            <w:r>
              <w:rPr/>
              <w:t xml:space="preserve">500</w:t>
            </w:r>
          </w:p>
        </w:tc>
        <w:tc>
          <w:tcPr>
            <w:tcBorders>
              <w:right w:val="single" w:sz="8" w:space="0" w:color="000000"/>
            </w:tcBorders>
            <w:vAlign w:val="center"/>
          </w:tcPr>
          <w:p>
            <w:pPr>
              <w:spacing w:lineRule="auto"/>
              <w:jc w:val="right"/>
            </w:pPr>
            <w:r>
              <w:rPr/>
              <w:t xml:space="preserve">550</w:t>
            </w:r>
          </w:p>
        </w:tc>
        <w:tc>
          <w:tcPr>
            <w:tcBorders>
              <w:right w:val="single" w:sz="8" w:space="0" w:color="000000"/>
            </w:tcBorders>
            <w:vAlign w:val="center"/>
          </w:tcPr>
          <w:p>
            <w:pPr>
              <w:spacing w:lineRule="auto"/>
              <w:jc w:val="right"/>
            </w:pPr>
            <w:r>
              <w:rPr/>
              <w:t xml:space="preserve">600</w:t>
            </w:r>
          </w:p>
        </w:tc>
        <w:tc>
          <w:tcPr>
            <w:tcBorders>
              <w:right w:val="single" w:sz="8" w:space="0" w:color="000000"/>
            </w:tcBorders>
            <w:vAlign w:val="center"/>
          </w:tcPr>
          <w:p>
            <w:pPr>
              <w:spacing w:lineRule="auto"/>
              <w:jc w:val="right"/>
            </w:pPr>
            <w:r>
              <w:rPr/>
              <w:t xml:space="preserve">650</w:t>
            </w:r>
          </w:p>
        </w:tc>
        <w:tc>
          <w:tcPr>
            <w:tcBorders>
              <w:right w:val="single" w:sz="8" w:space="0" w:color="000000"/>
            </w:tcBorders>
            <w:vAlign w:val="center"/>
          </w:tcPr>
          <w:p>
            <w:pPr>
              <w:spacing w:lineRule="auto"/>
              <w:jc w:val="right"/>
            </w:pPr>
            <w:r>
              <w:rPr/>
              <w:t xml:space="preserve">700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Other Current Liabilities</w:t>
            </w:r>
          </w:p>
        </w:tc>
        <w:tc>
          <w:tcPr>
            <w:tcBorders>
              <w:bottom w:val="single" w:sz="8" w:space="0" w:color="000000"/>
              <w:right w:val="single" w:sz="8" w:space="0" w:color="000000"/>
            </w:tcBorders>
            <w:vAlign w:val="center"/>
          </w:tcPr>
          <w:p>
            <w:pPr>
              <w:spacing w:lineRule="auto"/>
              <w:jc w:val="right"/>
            </w:pPr>
            <w:r>
              <w:rPr/>
              <w:t xml:space="preserve">1100</w:t>
            </w:r>
          </w:p>
        </w:tc>
        <w:tc>
          <w:tcPr>
            <w:tcBorders>
              <w:bottom w:val="single" w:sz="8" w:space="0" w:color="000000"/>
              <w:right w:val="single" w:sz="8" w:space="0" w:color="000000"/>
            </w:tcBorders>
            <w:vAlign w:val="center"/>
          </w:tcPr>
          <w:p>
            <w:pPr>
              <w:spacing w:lineRule="auto"/>
              <w:jc w:val="right"/>
            </w:pPr>
            <w:r>
              <w:rPr/>
              <w:t xml:space="preserve">1200</w:t>
            </w:r>
          </w:p>
        </w:tc>
        <w:tc>
          <w:tcPr>
            <w:tcBorders>
              <w:bottom w:val="single" w:sz="8" w:space="0" w:color="000000"/>
              <w:right w:val="single" w:sz="8" w:space="0" w:color="000000"/>
            </w:tcBorders>
            <w:vAlign w:val="center"/>
          </w:tcPr>
          <w:p>
            <w:pPr>
              <w:spacing w:lineRule="auto"/>
              <w:jc w:val="right"/>
            </w:pPr>
            <w:r>
              <w:rPr/>
              <w:t xml:space="preserve">1300</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1500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 CURRENT LIABILITIES</w:t>
            </w:r>
          </w:p>
        </w:tc>
        <w:tc>
          <w:tcPr>
            <w:tcBorders>
              <w:bottom w:val="single" w:sz="8" w:space="0" w:color="000000"/>
              <w:right w:val="single" w:sz="8" w:space="0" w:color="000000"/>
            </w:tcBorders>
            <w:vAlign w:val="center"/>
          </w:tcPr>
          <w:p>
            <w:pPr>
              <w:spacing w:lineRule="auto"/>
              <w:jc w:val="right"/>
            </w:pPr>
            <w:r>
              <w:rPr>
                <w:b/>
              </w:rPr>
              <w:t xml:space="preserve">6300</w:t>
            </w:r>
          </w:p>
        </w:tc>
        <w:tc>
          <w:tcPr>
            <w:tcBorders>
              <w:bottom w:val="single" w:sz="8" w:space="0" w:color="000000"/>
              <w:right w:val="single" w:sz="8" w:space="0" w:color="000000"/>
            </w:tcBorders>
            <w:vAlign w:val="center"/>
          </w:tcPr>
          <w:p>
            <w:pPr>
              <w:spacing w:lineRule="auto"/>
              <w:jc w:val="right"/>
            </w:pPr>
            <w:r>
              <w:rPr>
                <w:b/>
              </w:rPr>
              <w:t xml:space="preserve">6700</w:t>
            </w:r>
          </w:p>
        </w:tc>
        <w:tc>
          <w:tcPr>
            <w:tcBorders>
              <w:bottom w:val="single" w:sz="8" w:space="0" w:color="000000"/>
              <w:right w:val="single" w:sz="8" w:space="0" w:color="000000"/>
            </w:tcBorders>
            <w:vAlign w:val="center"/>
          </w:tcPr>
          <w:p>
            <w:pPr>
              <w:spacing w:lineRule="auto"/>
              <w:jc w:val="right"/>
            </w:pPr>
            <w:r>
              <w:rPr>
                <w:b/>
              </w:rPr>
              <w:t xml:space="preserve">7200</w:t>
            </w:r>
          </w:p>
        </w:tc>
        <w:tc>
          <w:tcPr>
            <w:tcBorders>
              <w:bottom w:val="single" w:sz="8" w:space="0" w:color="000000"/>
              <w:right w:val="single" w:sz="8" w:space="0" w:color="000000"/>
            </w:tcBorders>
            <w:vAlign w:val="center"/>
          </w:tcPr>
          <w:p>
            <w:pPr>
              <w:spacing w:lineRule="auto"/>
              <w:jc w:val="right"/>
            </w:pPr>
            <w:r>
              <w:rPr>
                <w:b/>
              </w:rPr>
              <w:t xml:space="preserve">7630</w:t>
            </w:r>
          </w:p>
        </w:tc>
        <w:tc>
          <w:tcPr>
            <w:tcBorders>
              <w:bottom w:val="single" w:sz="8" w:space="0" w:color="000000"/>
              <w:right w:val="single" w:sz="8" w:space="0" w:color="000000"/>
            </w:tcBorders>
            <w:vAlign w:val="center"/>
          </w:tcPr>
          <w:p>
            <w:pPr>
              <w:spacing w:lineRule="auto"/>
              <w:jc w:val="right"/>
            </w:pPr>
            <w:r>
              <w:rPr>
                <w:b/>
              </w:rPr>
              <w:t xml:space="preserve">8050</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NET WORKING CAPITAL</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t xml:space="preserve">Current Assets</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 Current Liabilities</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 Net Working Capital</w:t>
            </w:r>
          </w:p>
        </w:tc>
        <w:tc>
          <w:tcPr>
            <w:tcBorders>
              <w:bottom w:val="single" w:sz="8" w:space="0" w:color="000000"/>
              <w:right w:val="single" w:sz="8" w:space="0" w:color="000000"/>
            </w:tcBorders>
            <w:vAlign w:val="center"/>
          </w:tcPr>
          <w:p>
            <w:pPr>
              <w:spacing w:lineRule="auto"/>
              <w:jc w:val="right"/>
            </w:pPr>
            <w:r>
              <w:rPr/>
              <w:t xml:space="preserve">300</w:t>
            </w:r>
          </w:p>
        </w:tc>
        <w:tc>
          <w:tcPr>
            <w:tcBorders>
              <w:bottom w:val="single" w:sz="8" w:space="0" w:color="000000"/>
              <w:right w:val="single" w:sz="8" w:space="0" w:color="000000"/>
            </w:tcBorders>
            <w:vAlign w:val="center"/>
          </w:tcPr>
          <w:p>
            <w:pPr>
              <w:spacing w:lineRule="auto"/>
              <w:jc w:val="right"/>
            </w:pPr>
            <w:r>
              <w:rPr/>
              <w:t xml:space="preserve">370</w:t>
            </w:r>
          </w:p>
        </w:tc>
        <w:tc>
          <w:tcPr>
            <w:tcBorders>
              <w:bottom w:val="single" w:sz="8" w:space="0" w:color="000000"/>
              <w:right w:val="single" w:sz="8" w:space="0" w:color="000000"/>
            </w:tcBorders>
            <w:vAlign w:val="center"/>
          </w:tcPr>
          <w:p>
            <w:pPr>
              <w:spacing w:lineRule="auto"/>
              <w:jc w:val="right"/>
            </w:pPr>
            <w:r>
              <w:rPr/>
              <w:t xml:space="preserve">680</w:t>
            </w:r>
          </w:p>
        </w:tc>
        <w:tc>
          <w:tcPr>
            <w:tcBorders>
              <w:bottom w:val="single" w:sz="8" w:space="0" w:color="000000"/>
              <w:right w:val="single" w:sz="8" w:space="0" w:color="000000"/>
            </w:tcBorders>
            <w:vAlign w:val="center"/>
          </w:tcPr>
          <w:p>
            <w:pPr>
              <w:spacing w:lineRule="auto"/>
              <w:jc w:val="right"/>
            </w:pPr>
            <w:r>
              <w:rPr/>
              <w:t xml:space="preserve">870</w:t>
            </w:r>
          </w:p>
        </w:tc>
        <w:tc>
          <w:tcPr>
            <w:tcBorders>
              <w:bottom w:val="single" w:sz="8" w:space="0" w:color="000000"/>
              <w:right w:val="single" w:sz="8" w:space="0" w:color="000000"/>
            </w:tcBorders>
            <w:vAlign w:val="center"/>
          </w:tcPr>
          <w:p>
            <w:pPr>
              <w:spacing w:lineRule="auto"/>
              <w:jc w:val="right"/>
            </w:pPr>
            <w:r>
              <w:rPr/>
              <w:t xml:space="preserve">1200</w:t>
            </w:r>
          </w:p>
        </w:tc>
      </w:tr>
    </w:tbl>
    <w:p>
      <w:pPr>
        <w:spacing w:lineRule="auto"/>
      </w:pPr>
    </w:p>
    <w:p>
      <w:pPr>
        <w:spacing w:line="271" w:before="240" w:lineRule="auto"/>
      </w:pPr>
      <w:bookmarkStart w:id="90" w:name="appendix_b_ratio_calculations_all_164044"/>
      <w:r>
        <w:rPr>
          <w:b/>
          <w:sz w:val="33"/>
        </w:rPr>
        <w:t xml:space="preserve">Appendix B: Ratio Calculations (All Five Years)</w:t>
      </w:r>
      <w:bookmarkEnd w:id="90"/>
    </w:p>
    <w:p>
      <w:pPr>
        <w:spacing w:after="210" w:lineRule="auto"/>
      </w:pPr>
      <w:r>
        <w:rPr>
          <w:b/>
        </w:rPr>
        <w:t xml:space="preserve">LIQUIDITY RATIOS</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CURRENT RATIO</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Current Ratio</w:t>
            </w:r>
          </w:p>
        </w:tc>
        <w:tc>
          <w:tcPr>
            <w:tcBorders>
              <w:bottom w:val="single" w:sz="8" w:space="0" w:color="000000"/>
              <w:right w:val="single" w:sz="8" w:space="0" w:color="000000"/>
            </w:tcBorders>
            <w:vAlign w:val="center"/>
          </w:tcPr>
          <w:p>
            <w:pPr>
              <w:spacing w:lineRule="auto"/>
              <w:jc w:val="right"/>
            </w:pPr>
            <w:r>
              <w:rPr/>
              <w:t xml:space="preserve">1.048</w:t>
            </w:r>
          </w:p>
        </w:tc>
        <w:tc>
          <w:tcPr>
            <w:tcBorders>
              <w:bottom w:val="single" w:sz="8" w:space="0" w:color="000000"/>
              <w:right w:val="single" w:sz="8" w:space="0" w:color="000000"/>
            </w:tcBorders>
            <w:vAlign w:val="center"/>
          </w:tcPr>
          <w:p>
            <w:pPr>
              <w:spacing w:lineRule="auto"/>
              <w:jc w:val="right"/>
            </w:pPr>
            <w:r>
              <w:rPr/>
              <w:t xml:space="preserve">1.055</w:t>
            </w:r>
          </w:p>
        </w:tc>
        <w:tc>
          <w:tcPr>
            <w:tcBorders>
              <w:bottom w:val="single" w:sz="8" w:space="0" w:color="000000"/>
              <w:right w:val="single" w:sz="8" w:space="0" w:color="000000"/>
            </w:tcBorders>
            <w:vAlign w:val="center"/>
          </w:tcPr>
          <w:p>
            <w:pPr>
              <w:spacing w:lineRule="auto"/>
              <w:jc w:val="right"/>
            </w:pPr>
            <w:r>
              <w:rPr/>
              <w:t xml:space="preserve">1.094</w:t>
            </w:r>
          </w:p>
        </w:tc>
        <w:tc>
          <w:tcPr>
            <w:tcBorders>
              <w:bottom w:val="single" w:sz="8" w:space="0" w:color="000000"/>
              <w:right w:val="single" w:sz="8" w:space="0" w:color="000000"/>
            </w:tcBorders>
            <w:vAlign w:val="center"/>
          </w:tcPr>
          <w:p>
            <w:pPr>
              <w:spacing w:lineRule="auto"/>
              <w:jc w:val="right"/>
            </w:pPr>
            <w:r>
              <w:rPr/>
              <w:t xml:space="preserve">1.114</w:t>
            </w:r>
          </w:p>
        </w:tc>
        <w:tc>
          <w:tcPr>
            <w:tcBorders>
              <w:bottom w:val="single" w:sz="8" w:space="0" w:color="000000"/>
              <w:right w:val="single" w:sz="8" w:space="0" w:color="000000"/>
            </w:tcBorders>
            <w:vAlign w:val="center"/>
          </w:tcPr>
          <w:p>
            <w:pPr>
              <w:spacing w:lineRule="auto"/>
              <w:jc w:val="right"/>
            </w:pPr>
            <w:r>
              <w:rPr/>
              <w:t xml:space="preserve">1.149</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QUICK RATIO</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Inventory (₹ Cr)</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1550</w:t>
            </w:r>
          </w:p>
        </w:tc>
        <w:tc>
          <w:tcPr>
            <w:tcBorders>
              <w:bottom w:val="single" w:sz="8" w:space="0" w:color="000000"/>
              <w:right w:val="single" w:sz="8" w:space="0" w:color="000000"/>
            </w:tcBorders>
            <w:vAlign w:val="center"/>
          </w:tcPr>
          <w:p>
            <w:pPr>
              <w:spacing w:lineRule="auto"/>
              <w:jc w:val="right"/>
            </w:pPr>
            <w:r>
              <w:rPr/>
              <w:t xml:space="preserve">1750</w:t>
            </w:r>
          </w:p>
        </w:tc>
        <w:tc>
          <w:tcPr>
            <w:tcBorders>
              <w:bottom w:val="single" w:sz="8" w:space="0" w:color="000000"/>
              <w:right w:val="single" w:sz="8" w:space="0" w:color="000000"/>
            </w:tcBorders>
            <w:vAlign w:val="center"/>
          </w:tcPr>
          <w:p>
            <w:pPr>
              <w:spacing w:lineRule="auto"/>
              <w:jc w:val="right"/>
            </w:pPr>
            <w:r>
              <w:rPr/>
              <w:t xml:space="preserve">1900</w:t>
            </w:r>
          </w:p>
        </w:tc>
        <w:tc>
          <w:tcPr>
            <w:tcBorders>
              <w:bottom w:val="single" w:sz="8" w:space="0" w:color="000000"/>
              <w:right w:val="single" w:sz="8" w:space="0" w:color="000000"/>
            </w:tcBorders>
            <w:vAlign w:val="center"/>
          </w:tcPr>
          <w:p>
            <w:pPr>
              <w:spacing w:lineRule="auto"/>
              <w:jc w:val="right"/>
            </w:pPr>
            <w:r>
              <w:rPr/>
              <w:t xml:space="preserve">2050</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Quick Assets (₹ Cr)</w:t>
            </w:r>
          </w:p>
        </w:tc>
        <w:tc>
          <w:tcPr>
            <w:tcBorders>
              <w:right w:val="single" w:sz="8" w:space="0" w:color="000000"/>
            </w:tcBorders>
            <w:vAlign w:val="center"/>
          </w:tcPr>
          <w:p>
            <w:pPr>
              <w:spacing w:lineRule="auto"/>
              <w:jc w:val="right"/>
            </w:pPr>
            <w:r>
              <w:rPr/>
              <w:t xml:space="preserve">5200</w:t>
            </w:r>
          </w:p>
        </w:tc>
        <w:tc>
          <w:tcPr>
            <w:tcBorders>
              <w:right w:val="single" w:sz="8" w:space="0" w:color="000000"/>
            </w:tcBorders>
            <w:vAlign w:val="center"/>
          </w:tcPr>
          <w:p>
            <w:pPr>
              <w:spacing w:lineRule="auto"/>
              <w:jc w:val="right"/>
            </w:pPr>
            <w:r>
              <w:rPr/>
              <w:t xml:space="preserve">5520</w:t>
            </w:r>
          </w:p>
        </w:tc>
        <w:tc>
          <w:tcPr>
            <w:tcBorders>
              <w:right w:val="single" w:sz="8" w:space="0" w:color="000000"/>
            </w:tcBorders>
            <w:vAlign w:val="center"/>
          </w:tcPr>
          <w:p>
            <w:pPr>
              <w:spacing w:lineRule="auto"/>
              <w:jc w:val="right"/>
            </w:pPr>
            <w:r>
              <w:rPr/>
              <w:t xml:space="preserve">6130</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bottom w:val="single" w:sz="8" w:space="0" w:color="000000"/>
              <w:right w:val="single" w:sz="8" w:space="0" w:color="000000"/>
            </w:tcBorders>
            <w:vAlign w:val="center"/>
          </w:tcPr>
          <w:p>
            <w:pPr>
              <w:spacing w:lineRule="auto"/>
              <w:jc w:val="right"/>
            </w:pPr>
            <w:r>
              <w:rPr/>
              <w:t xml:space="preserve">6300</w:t>
            </w:r>
          </w:p>
        </w:tc>
        <w:tc>
          <w:tcPr>
            <w:tcBorders>
              <w:bottom w:val="single" w:sz="8" w:space="0" w:color="000000"/>
              <w:right w:val="single" w:sz="8" w:space="0" w:color="000000"/>
            </w:tcBorders>
            <w:vAlign w:val="center"/>
          </w:tcPr>
          <w:p>
            <w:pPr>
              <w:spacing w:lineRule="auto"/>
              <w:jc w:val="right"/>
            </w:pPr>
            <w:r>
              <w:rPr/>
              <w:t xml:space="preserve">6700</w:t>
            </w:r>
          </w:p>
        </w:tc>
        <w:tc>
          <w:tcPr>
            <w:tcBorders>
              <w:bottom w:val="single" w:sz="8" w:space="0" w:color="000000"/>
              <w:right w:val="single" w:sz="8" w:space="0" w:color="000000"/>
            </w:tcBorders>
            <w:vAlign w:val="center"/>
          </w:tcPr>
          <w:p>
            <w:pPr>
              <w:spacing w:lineRule="auto"/>
              <w:jc w:val="right"/>
            </w:pPr>
            <w:r>
              <w:rPr/>
              <w:t xml:space="preserve">7200</w:t>
            </w:r>
          </w:p>
        </w:tc>
        <w:tc>
          <w:tcPr>
            <w:tcBorders>
              <w:bottom w:val="single" w:sz="8" w:space="0" w:color="000000"/>
              <w:right w:val="single" w:sz="8" w:space="0" w:color="000000"/>
            </w:tcBorders>
            <w:vAlign w:val="center"/>
          </w:tcPr>
          <w:p>
            <w:pPr>
              <w:spacing w:lineRule="auto"/>
              <w:jc w:val="right"/>
            </w:pPr>
            <w:r>
              <w:rPr/>
              <w:t xml:space="preserve">7630</w:t>
            </w:r>
          </w:p>
        </w:tc>
        <w:tc>
          <w:tcPr>
            <w:tcBorders>
              <w:bottom w:val="single" w:sz="8" w:space="0" w:color="000000"/>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Quick Ratio</w:t>
            </w:r>
          </w:p>
        </w:tc>
        <w:tc>
          <w:tcPr>
            <w:tcBorders>
              <w:bottom w:val="single" w:sz="8" w:space="0" w:color="000000"/>
              <w:right w:val="single" w:sz="8" w:space="0" w:color="000000"/>
            </w:tcBorders>
            <w:vAlign w:val="center"/>
          </w:tcPr>
          <w:p>
            <w:pPr>
              <w:spacing w:lineRule="auto"/>
              <w:jc w:val="right"/>
            </w:pPr>
            <w:r>
              <w:rPr/>
              <w:t xml:space="preserve">0.825</w:t>
            </w:r>
          </w:p>
        </w:tc>
        <w:tc>
          <w:tcPr>
            <w:tcBorders>
              <w:bottom w:val="single" w:sz="8" w:space="0" w:color="000000"/>
              <w:right w:val="single" w:sz="8" w:space="0" w:color="000000"/>
            </w:tcBorders>
            <w:vAlign w:val="center"/>
          </w:tcPr>
          <w:p>
            <w:pPr>
              <w:spacing w:lineRule="auto"/>
              <w:jc w:val="right"/>
            </w:pPr>
            <w:r>
              <w:rPr/>
              <w:t xml:space="preserve">0.824</w:t>
            </w:r>
          </w:p>
        </w:tc>
        <w:tc>
          <w:tcPr>
            <w:tcBorders>
              <w:bottom w:val="single" w:sz="8" w:space="0" w:color="000000"/>
              <w:right w:val="single" w:sz="8" w:space="0" w:color="000000"/>
            </w:tcBorders>
            <w:vAlign w:val="center"/>
          </w:tcPr>
          <w:p>
            <w:pPr>
              <w:spacing w:lineRule="auto"/>
              <w:jc w:val="right"/>
            </w:pPr>
            <w:r>
              <w:rPr/>
              <w:t xml:space="preserve">0.852</w:t>
            </w:r>
          </w:p>
        </w:tc>
        <w:tc>
          <w:tcPr>
            <w:tcBorders>
              <w:bottom w:val="single" w:sz="8" w:space="0" w:color="000000"/>
              <w:right w:val="single" w:sz="8" w:space="0" w:color="000000"/>
            </w:tcBorders>
            <w:vAlign w:val="center"/>
          </w:tcPr>
          <w:p>
            <w:pPr>
              <w:spacing w:lineRule="auto"/>
              <w:jc w:val="right"/>
            </w:pPr>
            <w:r>
              <w:rPr/>
              <w:t xml:space="preserve">0.865</w:t>
            </w:r>
          </w:p>
        </w:tc>
        <w:tc>
          <w:tcPr>
            <w:tcBorders>
              <w:bottom w:val="single" w:sz="8" w:space="0" w:color="000000"/>
              <w:right w:val="single" w:sz="8" w:space="0" w:color="000000"/>
            </w:tcBorders>
            <w:vAlign w:val="center"/>
          </w:tcPr>
          <w:p>
            <w:pPr>
              <w:spacing w:lineRule="auto"/>
              <w:jc w:val="right"/>
            </w:pPr>
            <w:r>
              <w:rPr/>
              <w:t xml:space="preserve">0.894</w:t>
            </w:r>
          </w:p>
        </w:tc>
      </w:tr>
    </w:tbl>
    <w:p>
      <w:pPr>
        <w:spacing w:lineRule="auto"/>
      </w:pPr>
    </w:p>
    <w:p>
      <w:pPr>
        <w:spacing w:after="210" w:lineRule="auto"/>
      </w:pPr>
      <w:r>
        <w:rPr>
          <w:b/>
        </w:rPr>
        <w:t xml:space="preserve">EFFICIENCY RATIOS</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INVENTORY TURNOVER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COGS (₹ Cr)</w:t>
            </w:r>
          </w:p>
        </w:tc>
        <w:tc>
          <w:tcPr>
            <w:tcBorders>
              <w:right w:val="single" w:sz="8" w:space="0" w:color="000000"/>
            </w:tcBorders>
            <w:vAlign w:val="center"/>
          </w:tcPr>
          <w:p>
            <w:pPr>
              <w:spacing w:lineRule="auto"/>
              <w:jc w:val="right"/>
            </w:pPr>
            <w:r>
              <w:rPr/>
              <w:t xml:space="preserve">18500</w:t>
            </w:r>
          </w:p>
        </w:tc>
        <w:tc>
          <w:tcPr>
            <w:tcBorders>
              <w:right w:val="single" w:sz="8" w:space="0" w:color="000000"/>
            </w:tcBorders>
            <w:vAlign w:val="center"/>
          </w:tcPr>
          <w:p>
            <w:pPr>
              <w:spacing w:lineRule="auto"/>
              <w:jc w:val="right"/>
            </w:pPr>
            <w:r>
              <w:rPr/>
              <w:t xml:space="preserve">20200</w:t>
            </w:r>
          </w:p>
        </w:tc>
        <w:tc>
          <w:tcPr>
            <w:tcBorders>
              <w:right w:val="single" w:sz="8" w:space="0" w:color="000000"/>
            </w:tcBorders>
            <w:vAlign w:val="center"/>
          </w:tcPr>
          <w:p>
            <w:pPr>
              <w:spacing w:lineRule="auto"/>
              <w:jc w:val="right"/>
            </w:pPr>
            <w:r>
              <w:rPr/>
              <w:t xml:space="preserve">21600</w:t>
            </w:r>
          </w:p>
        </w:tc>
        <w:tc>
          <w:tcPr>
            <w:tcBorders>
              <w:right w:val="single" w:sz="8" w:space="0" w:color="000000"/>
            </w:tcBorders>
            <w:vAlign w:val="center"/>
          </w:tcPr>
          <w:p>
            <w:pPr>
              <w:spacing w:lineRule="auto"/>
              <w:jc w:val="right"/>
            </w:pPr>
            <w:r>
              <w:rPr/>
              <w:t xml:space="preserve">22800</w:t>
            </w:r>
          </w:p>
        </w:tc>
        <w:tc>
          <w:tcPr>
            <w:tcBorders>
              <w:right w:val="single" w:sz="8" w:space="0" w:color="000000"/>
            </w:tcBorders>
            <w:vAlign w:val="center"/>
          </w:tcPr>
          <w:p>
            <w:pPr>
              <w:spacing w:lineRule="auto"/>
              <w:jc w:val="right"/>
            </w:pPr>
            <w:r>
              <w:rPr/>
              <w:t xml:space="preserve">23500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Average Inventory (₹ Cr)</w:t>
            </w:r>
          </w:p>
        </w:tc>
        <w:tc>
          <w:tcPr>
            <w:tcBorders>
              <w:bottom w:val="single" w:sz="8" w:space="0" w:color="000000"/>
              <w:right w:val="single" w:sz="8" w:space="0" w:color="000000"/>
            </w:tcBorders>
            <w:vAlign w:val="center"/>
          </w:tcPr>
          <w:p>
            <w:pPr>
              <w:spacing w:lineRule="auto"/>
              <w:jc w:val="right"/>
            </w:pPr>
            <w:r>
              <w:rPr/>
              <w:t xml:space="preserve">1400</w:t>
            </w:r>
          </w:p>
        </w:tc>
        <w:tc>
          <w:tcPr>
            <w:tcBorders>
              <w:bottom w:val="single" w:sz="8" w:space="0" w:color="000000"/>
              <w:right w:val="single" w:sz="8" w:space="0" w:color="000000"/>
            </w:tcBorders>
            <w:vAlign w:val="center"/>
          </w:tcPr>
          <w:p>
            <w:pPr>
              <w:spacing w:lineRule="auto"/>
              <w:jc w:val="right"/>
            </w:pPr>
            <w:r>
              <w:rPr/>
              <w:t xml:space="preserve">1475</w:t>
            </w:r>
          </w:p>
        </w:tc>
        <w:tc>
          <w:tcPr>
            <w:tcBorders>
              <w:bottom w:val="single" w:sz="8" w:space="0" w:color="000000"/>
              <w:right w:val="single" w:sz="8" w:space="0" w:color="000000"/>
            </w:tcBorders>
            <w:vAlign w:val="center"/>
          </w:tcPr>
          <w:p>
            <w:pPr>
              <w:spacing w:lineRule="auto"/>
              <w:jc w:val="right"/>
            </w:pPr>
            <w:r>
              <w:rPr/>
              <w:t xml:space="preserve">1650</w:t>
            </w:r>
          </w:p>
        </w:tc>
        <w:tc>
          <w:tcPr>
            <w:tcBorders>
              <w:bottom w:val="single" w:sz="8" w:space="0" w:color="000000"/>
              <w:right w:val="single" w:sz="8" w:space="0" w:color="000000"/>
            </w:tcBorders>
            <w:vAlign w:val="center"/>
          </w:tcPr>
          <w:p>
            <w:pPr>
              <w:spacing w:lineRule="auto"/>
              <w:jc w:val="right"/>
            </w:pPr>
            <w:r>
              <w:rPr/>
              <w:t xml:space="preserve">1825</w:t>
            </w:r>
          </w:p>
        </w:tc>
        <w:tc>
          <w:tcPr>
            <w:tcBorders>
              <w:bottom w:val="single" w:sz="8" w:space="0" w:color="000000"/>
              <w:right w:val="single" w:sz="8" w:space="0" w:color="000000"/>
            </w:tcBorders>
            <w:vAlign w:val="center"/>
          </w:tcPr>
          <w:p>
            <w:pPr>
              <w:spacing w:lineRule="auto"/>
              <w:jc w:val="right"/>
            </w:pPr>
            <w:r>
              <w:rPr/>
              <w:t xml:space="preserve">1975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Inventory Turnover</w:t>
            </w:r>
          </w:p>
        </w:tc>
        <w:tc>
          <w:tcPr>
            <w:tcBorders>
              <w:bottom w:val="single" w:sz="8" w:space="0" w:color="000000"/>
              <w:right w:val="single" w:sz="8" w:space="0" w:color="000000"/>
            </w:tcBorders>
            <w:vAlign w:val="center"/>
          </w:tcPr>
          <w:p>
            <w:pPr>
              <w:spacing w:lineRule="auto"/>
              <w:jc w:val="right"/>
            </w:pPr>
            <w:r>
              <w:rPr/>
              <w:t xml:space="preserve">13.21</w:t>
            </w:r>
          </w:p>
        </w:tc>
        <w:tc>
          <w:tcPr>
            <w:tcBorders>
              <w:bottom w:val="single" w:sz="8" w:space="0" w:color="000000"/>
              <w:right w:val="single" w:sz="8" w:space="0" w:color="000000"/>
            </w:tcBorders>
            <w:vAlign w:val="center"/>
          </w:tcPr>
          <w:p>
            <w:pPr>
              <w:spacing w:lineRule="auto"/>
              <w:jc w:val="right"/>
            </w:pPr>
            <w:r>
              <w:rPr/>
              <w:t xml:space="preserve">13.69</w:t>
            </w:r>
          </w:p>
        </w:tc>
        <w:tc>
          <w:tcPr>
            <w:tcBorders>
              <w:bottom w:val="single" w:sz="8" w:space="0" w:color="000000"/>
              <w:right w:val="single" w:sz="8" w:space="0" w:color="000000"/>
            </w:tcBorders>
            <w:vAlign w:val="center"/>
          </w:tcPr>
          <w:p>
            <w:pPr>
              <w:spacing w:lineRule="auto"/>
              <w:jc w:val="right"/>
            </w:pPr>
            <w:r>
              <w:rPr/>
              <w:t xml:space="preserve">13.09</w:t>
            </w:r>
          </w:p>
        </w:tc>
        <w:tc>
          <w:tcPr>
            <w:tcBorders>
              <w:bottom w:val="single" w:sz="8" w:space="0" w:color="000000"/>
              <w:right w:val="single" w:sz="8" w:space="0" w:color="000000"/>
            </w:tcBorders>
            <w:vAlign w:val="center"/>
          </w:tcPr>
          <w:p>
            <w:pPr>
              <w:spacing w:lineRule="auto"/>
              <w:jc w:val="right"/>
            </w:pPr>
            <w:r>
              <w:rPr/>
              <w:t xml:space="preserve">12.49</w:t>
            </w:r>
          </w:p>
        </w:tc>
        <w:tc>
          <w:tcPr>
            <w:tcBorders>
              <w:bottom w:val="single" w:sz="8" w:space="0" w:color="000000"/>
              <w:right w:val="single" w:sz="8" w:space="0" w:color="000000"/>
            </w:tcBorders>
            <w:vAlign w:val="center"/>
          </w:tcPr>
          <w:p>
            <w:pPr>
              <w:spacing w:lineRule="auto"/>
              <w:jc w:val="right"/>
            </w:pPr>
            <w:r>
              <w:rPr/>
              <w:t xml:space="preserve">11.90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DIO (Days) = 365/Turnover</w:t>
            </w:r>
          </w:p>
        </w:tc>
        <w:tc>
          <w:tcPr>
            <w:tcBorders>
              <w:bottom w:val="single" w:sz="8" w:space="0" w:color="000000"/>
              <w:right w:val="single" w:sz="8" w:space="0" w:color="000000"/>
            </w:tcBorders>
            <w:vAlign w:val="center"/>
          </w:tcPr>
          <w:p>
            <w:pPr>
              <w:spacing w:lineRule="auto"/>
              <w:jc w:val="right"/>
            </w:pPr>
            <w:r>
              <w:rPr/>
              <w:t xml:space="preserve">27.6</w:t>
            </w:r>
          </w:p>
        </w:tc>
        <w:tc>
          <w:tcPr>
            <w:tcBorders>
              <w:bottom w:val="single" w:sz="8" w:space="0" w:color="000000"/>
              <w:right w:val="single" w:sz="8" w:space="0" w:color="000000"/>
            </w:tcBorders>
            <w:vAlign w:val="center"/>
          </w:tcPr>
          <w:p>
            <w:pPr>
              <w:spacing w:lineRule="auto"/>
              <w:jc w:val="right"/>
            </w:pPr>
            <w:r>
              <w:rPr/>
              <w:t xml:space="preserve">26.7</w:t>
            </w:r>
          </w:p>
        </w:tc>
        <w:tc>
          <w:tcPr>
            <w:tcBorders>
              <w:bottom w:val="single" w:sz="8" w:space="0" w:color="000000"/>
              <w:right w:val="single" w:sz="8" w:space="0" w:color="000000"/>
            </w:tcBorders>
            <w:vAlign w:val="center"/>
          </w:tcPr>
          <w:p>
            <w:pPr>
              <w:spacing w:lineRule="auto"/>
              <w:jc w:val="right"/>
            </w:pPr>
            <w:r>
              <w:rPr/>
              <w:t xml:space="preserve">27.9</w:t>
            </w:r>
          </w:p>
        </w:tc>
        <w:tc>
          <w:tcPr>
            <w:tcBorders>
              <w:bottom w:val="single" w:sz="8" w:space="0" w:color="000000"/>
              <w:right w:val="single" w:sz="8" w:space="0" w:color="000000"/>
            </w:tcBorders>
            <w:vAlign w:val="center"/>
          </w:tcPr>
          <w:p>
            <w:pPr>
              <w:spacing w:lineRule="auto"/>
              <w:jc w:val="right"/>
            </w:pPr>
            <w:r>
              <w:rPr/>
              <w:t xml:space="preserve">29.2</w:t>
            </w:r>
          </w:p>
        </w:tc>
        <w:tc>
          <w:tcPr>
            <w:tcBorders>
              <w:bottom w:val="single" w:sz="8" w:space="0" w:color="000000"/>
              <w:right w:val="single" w:sz="8" w:space="0" w:color="000000"/>
            </w:tcBorders>
            <w:vAlign w:val="center"/>
          </w:tcPr>
          <w:p>
            <w:pPr>
              <w:spacing w:lineRule="auto"/>
              <w:jc w:val="right"/>
            </w:pPr>
            <w:r>
              <w:rPr/>
              <w:t xml:space="preserve">30.7</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RECEIVABLES TURNOVER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right w:val="single" w:sz="8" w:space="0" w:color="000000"/>
            </w:tcBorders>
            <w:vAlign w:val="center"/>
          </w:tcPr>
          <w:p>
            <w:pPr>
              <w:spacing w:lineRule="auto"/>
              <w:jc w:val="right"/>
            </w:pPr>
            <w:r>
              <w:rPr/>
              <w:t xml:space="preserve">38000</w:t>
            </w:r>
          </w:p>
        </w:tc>
        <w:tc>
          <w:tcPr>
            <w:tcBorders>
              <w:right w:val="single" w:sz="8" w:space="0" w:color="000000"/>
            </w:tcBorders>
            <w:vAlign w:val="center"/>
          </w:tcPr>
          <w:p>
            <w:pPr>
              <w:spacing w:lineRule="auto"/>
              <w:jc w:val="right"/>
            </w:pPr>
            <w:r>
              <w:rPr/>
              <w:t xml:space="preserve">41500</w:t>
            </w:r>
          </w:p>
        </w:tc>
        <w:tc>
          <w:tcPr>
            <w:tcBorders>
              <w:right w:val="single" w:sz="8" w:space="0" w:color="000000"/>
            </w:tcBorders>
            <w:vAlign w:val="center"/>
          </w:tcPr>
          <w:p>
            <w:pPr>
              <w:spacing w:lineRule="auto"/>
              <w:jc w:val="right"/>
            </w:pPr>
            <w:r>
              <w:rPr/>
              <w:t xml:space="preserve">44200</w:t>
            </w:r>
          </w:p>
        </w:tc>
        <w:tc>
          <w:tcPr>
            <w:tcBorders>
              <w:right w:val="single" w:sz="8" w:space="0" w:color="000000"/>
            </w:tcBorders>
            <w:vAlign w:val="center"/>
          </w:tcPr>
          <w:p>
            <w:pPr>
              <w:spacing w:lineRule="auto"/>
              <w:jc w:val="right"/>
            </w:pPr>
            <w:r>
              <w:rPr/>
              <w:t xml:space="preserve">46500</w:t>
            </w:r>
          </w:p>
        </w:tc>
        <w:tc>
          <w:tcPr>
            <w:tcBorders>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Average Receivables (₹ Cr)</w:t>
            </w:r>
          </w:p>
        </w:tc>
        <w:tc>
          <w:tcPr>
            <w:tcBorders>
              <w:bottom w:val="single" w:sz="8" w:space="0" w:color="000000"/>
              <w:right w:val="single" w:sz="8" w:space="0" w:color="000000"/>
            </w:tcBorders>
            <w:vAlign w:val="center"/>
          </w:tcPr>
          <w:p>
            <w:pPr>
              <w:spacing w:lineRule="auto"/>
              <w:jc w:val="right"/>
            </w:pPr>
            <w:r>
              <w:rPr/>
              <w:t xml:space="preserve">1800</w:t>
            </w:r>
          </w:p>
        </w:tc>
        <w:tc>
          <w:tcPr>
            <w:tcBorders>
              <w:bottom w:val="single" w:sz="8" w:space="0" w:color="000000"/>
              <w:right w:val="single" w:sz="8" w:space="0" w:color="000000"/>
            </w:tcBorders>
            <w:vAlign w:val="center"/>
          </w:tcPr>
          <w:p>
            <w:pPr>
              <w:spacing w:lineRule="auto"/>
              <w:jc w:val="right"/>
            </w:pPr>
            <w:r>
              <w:rPr/>
              <w:t xml:space="preserve">1925</w:t>
            </w:r>
          </w:p>
        </w:tc>
        <w:tc>
          <w:tcPr>
            <w:tcBorders>
              <w:bottom w:val="single" w:sz="8" w:space="0" w:color="000000"/>
              <w:right w:val="single" w:sz="8" w:space="0" w:color="000000"/>
            </w:tcBorders>
            <w:vAlign w:val="center"/>
          </w:tcPr>
          <w:p>
            <w:pPr>
              <w:spacing w:lineRule="auto"/>
              <w:jc w:val="right"/>
            </w:pPr>
            <w:r>
              <w:rPr/>
              <w:t xml:space="preserve">2225</w:t>
            </w:r>
          </w:p>
        </w:tc>
        <w:tc>
          <w:tcPr>
            <w:tcBorders>
              <w:bottom w:val="single" w:sz="8" w:space="0" w:color="000000"/>
              <w:right w:val="single" w:sz="8" w:space="0" w:color="000000"/>
            </w:tcBorders>
            <w:vAlign w:val="center"/>
          </w:tcPr>
          <w:p>
            <w:pPr>
              <w:spacing w:lineRule="auto"/>
              <w:jc w:val="right"/>
            </w:pPr>
            <w:r>
              <w:rPr/>
              <w:t xml:space="preserve">2525</w:t>
            </w:r>
          </w:p>
        </w:tc>
        <w:tc>
          <w:tcPr>
            <w:tcBorders>
              <w:bottom w:val="single" w:sz="8" w:space="0" w:color="000000"/>
              <w:right w:val="single" w:sz="8" w:space="0" w:color="000000"/>
            </w:tcBorders>
            <w:vAlign w:val="center"/>
          </w:tcPr>
          <w:p>
            <w:pPr>
              <w:spacing w:lineRule="auto"/>
              <w:jc w:val="right"/>
            </w:pPr>
            <w:r>
              <w:rPr/>
              <w:t xml:space="preserve">2775</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Receivables Turnover</w:t>
            </w:r>
          </w:p>
        </w:tc>
        <w:tc>
          <w:tcPr>
            <w:tcBorders>
              <w:bottom w:val="single" w:sz="8" w:space="0" w:color="000000"/>
              <w:right w:val="single" w:sz="8" w:space="0" w:color="000000"/>
            </w:tcBorders>
            <w:vAlign w:val="center"/>
          </w:tcPr>
          <w:p>
            <w:pPr>
              <w:spacing w:lineRule="auto"/>
              <w:jc w:val="right"/>
            </w:pPr>
            <w:r>
              <w:rPr/>
              <w:t xml:space="preserve">21.11</w:t>
            </w:r>
          </w:p>
        </w:tc>
        <w:tc>
          <w:tcPr>
            <w:tcBorders>
              <w:bottom w:val="single" w:sz="8" w:space="0" w:color="000000"/>
              <w:right w:val="single" w:sz="8" w:space="0" w:color="000000"/>
            </w:tcBorders>
            <w:vAlign w:val="center"/>
          </w:tcPr>
          <w:p>
            <w:pPr>
              <w:spacing w:lineRule="auto"/>
              <w:jc w:val="right"/>
            </w:pPr>
            <w:r>
              <w:rPr/>
              <w:t xml:space="preserve">21.56</w:t>
            </w:r>
          </w:p>
        </w:tc>
        <w:tc>
          <w:tcPr>
            <w:tcBorders>
              <w:bottom w:val="single" w:sz="8" w:space="0" w:color="000000"/>
              <w:right w:val="single" w:sz="8" w:space="0" w:color="000000"/>
            </w:tcBorders>
            <w:vAlign w:val="center"/>
          </w:tcPr>
          <w:p>
            <w:pPr>
              <w:spacing w:lineRule="auto"/>
              <w:jc w:val="right"/>
            </w:pPr>
            <w:r>
              <w:rPr/>
              <w:t xml:space="preserve">19.87</w:t>
            </w:r>
          </w:p>
        </w:tc>
        <w:tc>
          <w:tcPr>
            <w:tcBorders>
              <w:bottom w:val="single" w:sz="8" w:space="0" w:color="000000"/>
              <w:right w:val="single" w:sz="8" w:space="0" w:color="000000"/>
            </w:tcBorders>
            <w:vAlign w:val="center"/>
          </w:tcPr>
          <w:p>
            <w:pPr>
              <w:spacing w:lineRule="auto"/>
              <w:jc w:val="right"/>
            </w:pPr>
            <w:r>
              <w:rPr/>
              <w:t xml:space="preserve">18.41</w:t>
            </w:r>
          </w:p>
        </w:tc>
        <w:tc>
          <w:tcPr>
            <w:tcBorders>
              <w:bottom w:val="single" w:sz="8" w:space="0" w:color="000000"/>
              <w:right w:val="single" w:sz="8" w:space="0" w:color="000000"/>
            </w:tcBorders>
            <w:vAlign w:val="center"/>
          </w:tcPr>
          <w:p>
            <w:pPr>
              <w:spacing w:lineRule="auto"/>
              <w:jc w:val="right"/>
            </w:pPr>
            <w:r>
              <w:rPr/>
              <w:t xml:space="preserve">17.30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DSO (Days) = 365/Turnover</w:t>
            </w:r>
          </w:p>
        </w:tc>
        <w:tc>
          <w:tcPr>
            <w:tcBorders>
              <w:bottom w:val="single" w:sz="8" w:space="0" w:color="000000"/>
              <w:right w:val="single" w:sz="8" w:space="0" w:color="000000"/>
            </w:tcBorders>
            <w:vAlign w:val="center"/>
          </w:tcPr>
          <w:p>
            <w:pPr>
              <w:spacing w:lineRule="auto"/>
              <w:jc w:val="right"/>
            </w:pPr>
            <w:r>
              <w:rPr/>
              <w:t xml:space="preserve">17.3</w:t>
            </w:r>
          </w:p>
        </w:tc>
        <w:tc>
          <w:tcPr>
            <w:tcBorders>
              <w:bottom w:val="single" w:sz="8" w:space="0" w:color="000000"/>
              <w:right w:val="single" w:sz="8" w:space="0" w:color="000000"/>
            </w:tcBorders>
            <w:vAlign w:val="center"/>
          </w:tcPr>
          <w:p>
            <w:pPr>
              <w:spacing w:lineRule="auto"/>
              <w:jc w:val="right"/>
            </w:pPr>
            <w:r>
              <w:rPr/>
              <w:t xml:space="preserve">16.9</w:t>
            </w:r>
          </w:p>
        </w:tc>
        <w:tc>
          <w:tcPr>
            <w:tcBorders>
              <w:bottom w:val="single" w:sz="8" w:space="0" w:color="000000"/>
              <w:right w:val="single" w:sz="8" w:space="0" w:color="000000"/>
            </w:tcBorders>
            <w:vAlign w:val="center"/>
          </w:tcPr>
          <w:p>
            <w:pPr>
              <w:spacing w:lineRule="auto"/>
              <w:jc w:val="right"/>
            </w:pPr>
            <w:r>
              <w:rPr/>
              <w:t xml:space="preserve">18.4</w:t>
            </w:r>
          </w:p>
        </w:tc>
        <w:tc>
          <w:tcPr>
            <w:tcBorders>
              <w:bottom w:val="single" w:sz="8" w:space="0" w:color="000000"/>
              <w:right w:val="single" w:sz="8" w:space="0" w:color="000000"/>
            </w:tcBorders>
            <w:vAlign w:val="center"/>
          </w:tcPr>
          <w:p>
            <w:pPr>
              <w:spacing w:lineRule="auto"/>
              <w:jc w:val="right"/>
            </w:pPr>
            <w:r>
              <w:rPr/>
              <w:t xml:space="preserve">19.8</w:t>
            </w:r>
          </w:p>
        </w:tc>
        <w:tc>
          <w:tcPr>
            <w:tcBorders>
              <w:bottom w:val="single" w:sz="8" w:space="0" w:color="000000"/>
              <w:right w:val="single" w:sz="8" w:space="0" w:color="000000"/>
            </w:tcBorders>
            <w:vAlign w:val="center"/>
          </w:tcPr>
          <w:p>
            <w:pPr>
              <w:spacing w:lineRule="auto"/>
              <w:jc w:val="right"/>
            </w:pPr>
            <w:r>
              <w:rPr/>
              <w:t xml:space="preserve">21.1</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PAYABLES TURNOVER</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COGS (₹ Cr)</w:t>
            </w:r>
          </w:p>
        </w:tc>
        <w:tc>
          <w:tcPr>
            <w:tcBorders>
              <w:right w:val="single" w:sz="8" w:space="0" w:color="000000"/>
            </w:tcBorders>
            <w:vAlign w:val="center"/>
          </w:tcPr>
          <w:p>
            <w:pPr>
              <w:spacing w:lineRule="auto"/>
              <w:jc w:val="right"/>
            </w:pPr>
            <w:r>
              <w:rPr/>
              <w:t xml:space="preserve">18500</w:t>
            </w:r>
          </w:p>
        </w:tc>
        <w:tc>
          <w:tcPr>
            <w:tcBorders>
              <w:right w:val="single" w:sz="8" w:space="0" w:color="000000"/>
            </w:tcBorders>
            <w:vAlign w:val="center"/>
          </w:tcPr>
          <w:p>
            <w:pPr>
              <w:spacing w:lineRule="auto"/>
              <w:jc w:val="right"/>
            </w:pPr>
            <w:r>
              <w:rPr/>
              <w:t xml:space="preserve">20200</w:t>
            </w:r>
          </w:p>
        </w:tc>
        <w:tc>
          <w:tcPr>
            <w:tcBorders>
              <w:right w:val="single" w:sz="8" w:space="0" w:color="000000"/>
            </w:tcBorders>
            <w:vAlign w:val="center"/>
          </w:tcPr>
          <w:p>
            <w:pPr>
              <w:spacing w:lineRule="auto"/>
              <w:jc w:val="right"/>
            </w:pPr>
            <w:r>
              <w:rPr/>
              <w:t xml:space="preserve">21600</w:t>
            </w:r>
          </w:p>
        </w:tc>
        <w:tc>
          <w:tcPr>
            <w:tcBorders>
              <w:right w:val="single" w:sz="8" w:space="0" w:color="000000"/>
            </w:tcBorders>
            <w:vAlign w:val="center"/>
          </w:tcPr>
          <w:p>
            <w:pPr>
              <w:spacing w:lineRule="auto"/>
              <w:jc w:val="right"/>
            </w:pPr>
            <w:r>
              <w:rPr/>
              <w:t xml:space="preserve">22800</w:t>
            </w:r>
          </w:p>
        </w:tc>
        <w:tc>
          <w:tcPr>
            <w:tcBorders>
              <w:right w:val="single" w:sz="8" w:space="0" w:color="000000"/>
            </w:tcBorders>
            <w:vAlign w:val="center"/>
          </w:tcPr>
          <w:p>
            <w:pPr>
              <w:spacing w:lineRule="auto"/>
              <w:jc w:val="right"/>
            </w:pPr>
            <w:r>
              <w:rPr/>
              <w:t xml:space="preserve">23500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Average Payables (₹ Cr)</w:t>
            </w:r>
          </w:p>
        </w:tc>
        <w:tc>
          <w:tcPr>
            <w:tcBorders>
              <w:bottom w:val="single" w:sz="8" w:space="0" w:color="000000"/>
              <w:right w:val="single" w:sz="8" w:space="0" w:color="000000"/>
            </w:tcBorders>
            <w:vAlign w:val="center"/>
          </w:tcPr>
          <w:p>
            <w:pPr>
              <w:spacing w:lineRule="auto"/>
              <w:jc w:val="right"/>
            </w:pPr>
            <w:r>
              <w:rPr/>
              <w:t xml:space="preserve">2500</w:t>
            </w:r>
          </w:p>
        </w:tc>
        <w:tc>
          <w:tcPr>
            <w:tcBorders>
              <w:bottom w:val="single" w:sz="8" w:space="0" w:color="000000"/>
              <w:right w:val="single" w:sz="8" w:space="0" w:color="000000"/>
            </w:tcBorders>
            <w:vAlign w:val="center"/>
          </w:tcPr>
          <w:p>
            <w:pPr>
              <w:spacing w:lineRule="auto"/>
              <w:jc w:val="right"/>
            </w:pPr>
            <w:r>
              <w:rPr/>
              <w:t xml:space="preserve">2650</w:t>
            </w:r>
          </w:p>
        </w:tc>
        <w:tc>
          <w:tcPr>
            <w:tcBorders>
              <w:bottom w:val="single" w:sz="8" w:space="0" w:color="000000"/>
              <w:right w:val="single" w:sz="8" w:space="0" w:color="000000"/>
            </w:tcBorders>
            <w:vAlign w:val="center"/>
          </w:tcPr>
          <w:p>
            <w:pPr>
              <w:spacing w:lineRule="auto"/>
              <w:jc w:val="right"/>
            </w:pPr>
            <w:r>
              <w:rPr/>
              <w:t xml:space="preserve">2950</w:t>
            </w:r>
          </w:p>
        </w:tc>
        <w:tc>
          <w:tcPr>
            <w:tcBorders>
              <w:bottom w:val="single" w:sz="8" w:space="0" w:color="000000"/>
              <w:right w:val="single" w:sz="8" w:space="0" w:color="000000"/>
            </w:tcBorders>
            <w:vAlign w:val="center"/>
          </w:tcPr>
          <w:p>
            <w:pPr>
              <w:spacing w:lineRule="auto"/>
              <w:jc w:val="right"/>
            </w:pPr>
            <w:r>
              <w:rPr/>
              <w:t xml:space="preserve">3250</w:t>
            </w:r>
          </w:p>
        </w:tc>
        <w:tc>
          <w:tcPr>
            <w:tcBorders>
              <w:bottom w:val="single" w:sz="8" w:space="0" w:color="000000"/>
              <w:right w:val="single" w:sz="8" w:space="0" w:color="000000"/>
            </w:tcBorders>
            <w:vAlign w:val="center"/>
          </w:tcPr>
          <w:p>
            <w:pPr>
              <w:spacing w:lineRule="auto"/>
              <w:jc w:val="right"/>
            </w:pPr>
            <w:r>
              <w:rPr/>
              <w:t xml:space="preserve">3550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Payables Turnover</w:t>
            </w:r>
          </w:p>
        </w:tc>
        <w:tc>
          <w:tcPr>
            <w:tcBorders>
              <w:bottom w:val="single" w:sz="8" w:space="0" w:color="000000"/>
              <w:right w:val="single" w:sz="8" w:space="0" w:color="000000"/>
            </w:tcBorders>
            <w:vAlign w:val="center"/>
          </w:tcPr>
          <w:p>
            <w:pPr>
              <w:spacing w:lineRule="auto"/>
              <w:jc w:val="right"/>
            </w:pPr>
            <w:r>
              <w:rPr/>
              <w:t xml:space="preserve">7.40</w:t>
            </w:r>
          </w:p>
        </w:tc>
        <w:tc>
          <w:tcPr>
            <w:tcBorders>
              <w:bottom w:val="single" w:sz="8" w:space="0" w:color="000000"/>
              <w:right w:val="single" w:sz="8" w:space="0" w:color="000000"/>
            </w:tcBorders>
            <w:vAlign w:val="center"/>
          </w:tcPr>
          <w:p>
            <w:pPr>
              <w:spacing w:lineRule="auto"/>
              <w:jc w:val="right"/>
            </w:pPr>
            <w:r>
              <w:rPr/>
              <w:t xml:space="preserve">7.62</w:t>
            </w:r>
          </w:p>
        </w:tc>
        <w:tc>
          <w:tcPr>
            <w:tcBorders>
              <w:bottom w:val="single" w:sz="8" w:space="0" w:color="000000"/>
              <w:right w:val="single" w:sz="8" w:space="0" w:color="000000"/>
            </w:tcBorders>
            <w:vAlign w:val="center"/>
          </w:tcPr>
          <w:p>
            <w:pPr>
              <w:spacing w:lineRule="auto"/>
              <w:jc w:val="right"/>
            </w:pPr>
            <w:r>
              <w:rPr/>
              <w:t xml:space="preserve">7.32</w:t>
            </w:r>
          </w:p>
        </w:tc>
        <w:tc>
          <w:tcPr>
            <w:tcBorders>
              <w:bottom w:val="single" w:sz="8" w:space="0" w:color="000000"/>
              <w:right w:val="single" w:sz="8" w:space="0" w:color="000000"/>
            </w:tcBorders>
            <w:vAlign w:val="center"/>
          </w:tcPr>
          <w:p>
            <w:pPr>
              <w:spacing w:lineRule="auto"/>
              <w:jc w:val="right"/>
            </w:pPr>
            <w:r>
              <w:rPr/>
              <w:t xml:space="preserve">7.02</w:t>
            </w:r>
          </w:p>
        </w:tc>
        <w:tc>
          <w:tcPr>
            <w:tcBorders>
              <w:bottom w:val="single" w:sz="8" w:space="0" w:color="000000"/>
              <w:right w:val="single" w:sz="8" w:space="0" w:color="000000"/>
            </w:tcBorders>
            <w:vAlign w:val="center"/>
          </w:tcPr>
          <w:p>
            <w:pPr>
              <w:spacing w:lineRule="auto"/>
              <w:jc w:val="right"/>
            </w:pPr>
            <w:r>
              <w:rPr/>
              <w:t xml:space="preserve">6.62</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 (Days) = 365/Turnover</w:t>
            </w:r>
          </w:p>
        </w:tc>
        <w:tc>
          <w:tcPr>
            <w:tcBorders>
              <w:bottom w:val="single" w:sz="8" w:space="0" w:color="000000"/>
              <w:right w:val="single" w:sz="8" w:space="0" w:color="000000"/>
            </w:tcBorders>
            <w:vAlign w:val="center"/>
          </w:tcPr>
          <w:p>
            <w:pPr>
              <w:spacing w:lineRule="auto"/>
              <w:jc w:val="right"/>
            </w:pPr>
            <w:r>
              <w:rPr/>
              <w:t xml:space="preserve">49.3</w:t>
            </w:r>
          </w:p>
        </w:tc>
        <w:tc>
          <w:tcPr>
            <w:tcBorders>
              <w:bottom w:val="single" w:sz="8" w:space="0" w:color="000000"/>
              <w:right w:val="single" w:sz="8" w:space="0" w:color="000000"/>
            </w:tcBorders>
            <w:vAlign w:val="center"/>
          </w:tcPr>
          <w:p>
            <w:pPr>
              <w:spacing w:lineRule="auto"/>
              <w:jc w:val="right"/>
            </w:pPr>
            <w:r>
              <w:rPr/>
              <w:t xml:space="preserve">47.9</w:t>
            </w:r>
          </w:p>
        </w:tc>
        <w:tc>
          <w:tcPr>
            <w:tcBorders>
              <w:bottom w:val="single" w:sz="8" w:space="0" w:color="000000"/>
              <w:right w:val="single" w:sz="8" w:space="0" w:color="000000"/>
            </w:tcBorders>
            <w:vAlign w:val="center"/>
          </w:tcPr>
          <w:p>
            <w:pPr>
              <w:spacing w:lineRule="auto"/>
              <w:jc w:val="right"/>
            </w:pPr>
            <w:r>
              <w:rPr/>
              <w:t xml:space="preserve">49.9</w:t>
            </w:r>
          </w:p>
        </w:tc>
        <w:tc>
          <w:tcPr>
            <w:tcBorders>
              <w:bottom w:val="single" w:sz="8" w:space="0" w:color="000000"/>
              <w:right w:val="single" w:sz="8" w:space="0" w:color="000000"/>
            </w:tcBorders>
            <w:vAlign w:val="center"/>
          </w:tcPr>
          <w:p>
            <w:pPr>
              <w:spacing w:lineRule="auto"/>
              <w:jc w:val="right"/>
            </w:pPr>
            <w:r>
              <w:rPr/>
              <w:t xml:space="preserve">52.0</w:t>
            </w:r>
          </w:p>
        </w:tc>
        <w:tc>
          <w:tcPr>
            <w:tcBorders>
              <w:bottom w:val="single" w:sz="8" w:space="0" w:color="000000"/>
              <w:right w:val="single" w:sz="8" w:space="0" w:color="000000"/>
            </w:tcBorders>
            <w:vAlign w:val="center"/>
          </w:tcPr>
          <w:p>
            <w:pPr>
              <w:spacing w:lineRule="auto"/>
              <w:jc w:val="right"/>
            </w:pPr>
            <w:r>
              <w:rPr/>
              <w:t xml:space="preserve">55.1</w:t>
            </w:r>
          </w:p>
        </w:tc>
      </w:tr>
    </w:tbl>
    <w:p>
      <w:pPr>
        <w:spacing w:lineRule="auto"/>
      </w:pPr>
    </w:p>
    <w:p>
      <w:pPr>
        <w:spacing w:after="210" w:lineRule="auto"/>
      </w:pPr>
      <w:r>
        <w:rPr>
          <w:b/>
        </w:rPr>
        <w:t xml:space="preserve">WORKING CAPITAL METRICS</w:t>
      </w: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CASH CONVERSION CYCLE</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t xml:space="preserve">DIO (Days)</w:t>
            </w:r>
          </w:p>
        </w:tc>
        <w:tc>
          <w:tcPr>
            <w:tcBorders>
              <w:right w:val="single" w:sz="8" w:space="0" w:color="000000"/>
            </w:tcBorders>
            <w:vAlign w:val="center"/>
          </w:tcPr>
          <w:p>
            <w:pPr>
              <w:spacing w:lineRule="auto"/>
              <w:jc w:val="right"/>
            </w:pPr>
            <w:r>
              <w:rPr/>
              <w:t xml:space="preserve">27.6</w:t>
            </w:r>
          </w:p>
        </w:tc>
        <w:tc>
          <w:tcPr>
            <w:tcBorders>
              <w:right w:val="single" w:sz="8" w:space="0" w:color="000000"/>
            </w:tcBorders>
            <w:vAlign w:val="center"/>
          </w:tcPr>
          <w:p>
            <w:pPr>
              <w:spacing w:lineRule="auto"/>
              <w:jc w:val="right"/>
            </w:pPr>
            <w:r>
              <w:rPr/>
              <w:t xml:space="preserve">26.7</w:t>
            </w:r>
          </w:p>
        </w:tc>
        <w:tc>
          <w:tcPr>
            <w:tcBorders>
              <w:right w:val="single" w:sz="8" w:space="0" w:color="000000"/>
            </w:tcBorders>
            <w:vAlign w:val="center"/>
          </w:tcPr>
          <w:p>
            <w:pPr>
              <w:spacing w:lineRule="auto"/>
              <w:jc w:val="right"/>
            </w:pPr>
            <w:r>
              <w:rPr/>
              <w:t xml:space="preserve">27.9</w:t>
            </w:r>
          </w:p>
        </w:tc>
        <w:tc>
          <w:tcPr>
            <w:tcBorders>
              <w:right w:val="single" w:sz="8" w:space="0" w:color="000000"/>
            </w:tcBorders>
            <w:vAlign w:val="center"/>
          </w:tcPr>
          <w:p>
            <w:pPr>
              <w:spacing w:lineRule="auto"/>
              <w:jc w:val="right"/>
            </w:pPr>
            <w:r>
              <w:rPr/>
              <w:t xml:space="preserve">29.2</w:t>
            </w:r>
          </w:p>
        </w:tc>
        <w:tc>
          <w:tcPr>
            <w:tcBorders>
              <w:right w:val="single" w:sz="8" w:space="0" w:color="000000"/>
            </w:tcBorders>
            <w:vAlign w:val="center"/>
          </w:tcPr>
          <w:p>
            <w:pPr>
              <w:spacing w:lineRule="auto"/>
              <w:jc w:val="right"/>
            </w:pPr>
            <w:r>
              <w:rPr/>
              <w:t xml:space="preserve">30.7</w:t>
            </w:r>
          </w:p>
        </w:tc>
      </w:tr>
      <w:tr>
        <w:trPr>
          <w:cantSplit/>
        </w:trPr>
        <w:tc>
          <w:tcPr>
            <w:tcBorders>
              <w:left w:val="single" w:sz="8" w:space="0" w:color="000000"/>
              <w:right w:val="single" w:sz="8" w:space="0" w:color="000000"/>
            </w:tcBorders>
            <w:vAlign w:val="center"/>
          </w:tcPr>
          <w:p>
            <w:pPr>
              <w:spacing w:lineRule="auto"/>
              <w:jc w:val="left"/>
            </w:pPr>
            <w:r>
              <w:rPr/>
              <w:t xml:space="preserve">DSO (Days)</w:t>
            </w:r>
          </w:p>
        </w:tc>
        <w:tc>
          <w:tcPr>
            <w:tcBorders>
              <w:right w:val="single" w:sz="8" w:space="0" w:color="000000"/>
            </w:tcBorders>
            <w:vAlign w:val="center"/>
          </w:tcPr>
          <w:p>
            <w:pPr>
              <w:spacing w:lineRule="auto"/>
              <w:jc w:val="right"/>
            </w:pPr>
            <w:r>
              <w:rPr/>
              <w:t xml:space="preserve">17.3</w:t>
            </w:r>
          </w:p>
        </w:tc>
        <w:tc>
          <w:tcPr>
            <w:tcBorders>
              <w:right w:val="single" w:sz="8" w:space="0" w:color="000000"/>
            </w:tcBorders>
            <w:vAlign w:val="center"/>
          </w:tcPr>
          <w:p>
            <w:pPr>
              <w:spacing w:lineRule="auto"/>
              <w:jc w:val="right"/>
            </w:pPr>
            <w:r>
              <w:rPr/>
              <w:t xml:space="preserve">16.9</w:t>
            </w:r>
          </w:p>
        </w:tc>
        <w:tc>
          <w:tcPr>
            <w:tcBorders>
              <w:right w:val="single" w:sz="8" w:space="0" w:color="000000"/>
            </w:tcBorders>
            <w:vAlign w:val="center"/>
          </w:tcPr>
          <w:p>
            <w:pPr>
              <w:spacing w:lineRule="auto"/>
              <w:jc w:val="right"/>
            </w:pPr>
            <w:r>
              <w:rPr/>
              <w:t xml:space="preserve">18.4</w:t>
            </w:r>
          </w:p>
        </w:tc>
        <w:tc>
          <w:tcPr>
            <w:tcBorders>
              <w:right w:val="single" w:sz="8" w:space="0" w:color="000000"/>
            </w:tcBorders>
            <w:vAlign w:val="center"/>
          </w:tcPr>
          <w:p>
            <w:pPr>
              <w:spacing w:lineRule="auto"/>
              <w:jc w:val="right"/>
            </w:pPr>
            <w:r>
              <w:rPr/>
              <w:t xml:space="preserve">19.8</w:t>
            </w:r>
          </w:p>
        </w:tc>
        <w:tc>
          <w:tcPr>
            <w:tcBorders>
              <w:right w:val="single" w:sz="8" w:space="0" w:color="000000"/>
            </w:tcBorders>
            <w:vAlign w:val="center"/>
          </w:tcPr>
          <w:p>
            <w:pPr>
              <w:spacing w:lineRule="auto"/>
              <w:jc w:val="right"/>
            </w:pPr>
            <w:r>
              <w:rPr/>
              <w:t xml:space="preserve">21.1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DPO (Days)</w:t>
            </w:r>
          </w:p>
        </w:tc>
        <w:tc>
          <w:tcPr>
            <w:tcBorders>
              <w:bottom w:val="single" w:sz="8" w:space="0" w:color="000000"/>
              <w:right w:val="single" w:sz="8" w:space="0" w:color="000000"/>
            </w:tcBorders>
            <w:vAlign w:val="center"/>
          </w:tcPr>
          <w:p>
            <w:pPr>
              <w:spacing w:lineRule="auto"/>
              <w:jc w:val="right"/>
            </w:pPr>
            <w:r>
              <w:rPr/>
              <w:t xml:space="preserve">49.3</w:t>
            </w:r>
          </w:p>
        </w:tc>
        <w:tc>
          <w:tcPr>
            <w:tcBorders>
              <w:bottom w:val="single" w:sz="8" w:space="0" w:color="000000"/>
              <w:right w:val="single" w:sz="8" w:space="0" w:color="000000"/>
            </w:tcBorders>
            <w:vAlign w:val="center"/>
          </w:tcPr>
          <w:p>
            <w:pPr>
              <w:spacing w:lineRule="auto"/>
              <w:jc w:val="right"/>
            </w:pPr>
            <w:r>
              <w:rPr/>
              <w:t xml:space="preserve">47.9</w:t>
            </w:r>
          </w:p>
        </w:tc>
        <w:tc>
          <w:tcPr>
            <w:tcBorders>
              <w:bottom w:val="single" w:sz="8" w:space="0" w:color="000000"/>
              <w:right w:val="single" w:sz="8" w:space="0" w:color="000000"/>
            </w:tcBorders>
            <w:vAlign w:val="center"/>
          </w:tcPr>
          <w:p>
            <w:pPr>
              <w:spacing w:lineRule="auto"/>
              <w:jc w:val="right"/>
            </w:pPr>
            <w:r>
              <w:rPr/>
              <w:t xml:space="preserve">49.9</w:t>
            </w:r>
          </w:p>
        </w:tc>
        <w:tc>
          <w:tcPr>
            <w:tcBorders>
              <w:bottom w:val="single" w:sz="8" w:space="0" w:color="000000"/>
              <w:right w:val="single" w:sz="8" w:space="0" w:color="000000"/>
            </w:tcBorders>
            <w:vAlign w:val="center"/>
          </w:tcPr>
          <w:p>
            <w:pPr>
              <w:spacing w:lineRule="auto"/>
              <w:jc w:val="right"/>
            </w:pPr>
            <w:r>
              <w:rPr/>
              <w:t xml:space="preserve">52.0</w:t>
            </w:r>
          </w:p>
        </w:tc>
        <w:tc>
          <w:tcPr>
            <w:tcBorders>
              <w:bottom w:val="single" w:sz="8" w:space="0" w:color="000000"/>
              <w:right w:val="single" w:sz="8" w:space="0" w:color="000000"/>
            </w:tcBorders>
            <w:vAlign w:val="center"/>
          </w:tcPr>
          <w:p>
            <w:pPr>
              <w:spacing w:lineRule="auto"/>
              <w:jc w:val="right"/>
            </w:pPr>
            <w:r>
              <w:rPr/>
              <w:t xml:space="preserve">55.1</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CCC (Days)</w:t>
            </w:r>
            <w:r>
              <w:rPr/>
              <w:t xml:space="preserve"> = </w:t>
            </w:r>
            <w:r>
              <w:rPr>
                <w:b/>
              </w:rPr>
              <w:t xml:space="preserve">DIO + DSO - DPO</w:t>
            </w:r>
          </w:p>
        </w:tc>
        <w:tc>
          <w:tcPr>
            <w:tcBorders>
              <w:bottom w:val="single" w:sz="8" w:space="0" w:color="000000"/>
              <w:right w:val="single" w:sz="8" w:space="0" w:color="000000"/>
            </w:tcBorders>
            <w:vAlign w:val="center"/>
          </w:tcPr>
          <w:p>
            <w:pPr>
              <w:spacing w:lineRule="auto"/>
              <w:jc w:val="right"/>
            </w:pPr>
            <w:r>
              <w:rPr>
                <w:b/>
              </w:rPr>
              <w:t xml:space="preserve">-4.4</w:t>
            </w:r>
          </w:p>
        </w:tc>
        <w:tc>
          <w:tcPr>
            <w:tcBorders>
              <w:bottom w:val="single" w:sz="8" w:space="0" w:color="000000"/>
              <w:right w:val="single" w:sz="8" w:space="0" w:color="000000"/>
            </w:tcBorders>
            <w:vAlign w:val="center"/>
          </w:tcPr>
          <w:p>
            <w:pPr>
              <w:spacing w:lineRule="auto"/>
              <w:jc w:val="right"/>
            </w:pPr>
            <w:r>
              <w:rPr>
                <w:b/>
              </w:rPr>
              <w:t xml:space="preserve">-4.3</w:t>
            </w:r>
          </w:p>
        </w:tc>
        <w:tc>
          <w:tcPr>
            <w:tcBorders>
              <w:bottom w:val="single" w:sz="8" w:space="0" w:color="000000"/>
              <w:right w:val="single" w:sz="8" w:space="0" w:color="000000"/>
            </w:tcBorders>
            <w:vAlign w:val="center"/>
          </w:tcPr>
          <w:p>
            <w:pPr>
              <w:spacing w:lineRule="auto"/>
              <w:jc w:val="right"/>
            </w:pPr>
            <w:r>
              <w:rPr>
                <w:b/>
              </w:rPr>
              <w:t xml:space="preserve">-3.6</w:t>
            </w:r>
          </w:p>
        </w:tc>
        <w:tc>
          <w:tcPr>
            <w:tcBorders>
              <w:bottom w:val="single" w:sz="8" w:space="0" w:color="000000"/>
              <w:right w:val="single" w:sz="8" w:space="0" w:color="000000"/>
            </w:tcBorders>
            <w:vAlign w:val="center"/>
          </w:tcPr>
          <w:p>
            <w:pPr>
              <w:spacing w:lineRule="auto"/>
              <w:jc w:val="right"/>
            </w:pPr>
            <w:r>
              <w:rPr>
                <w:b/>
              </w:rPr>
              <w:t xml:space="preserve">-3.0</w:t>
            </w:r>
          </w:p>
        </w:tc>
        <w:tc>
          <w:tcPr>
            <w:tcBorders>
              <w:bottom w:val="single" w:sz="8" w:space="0" w:color="000000"/>
              <w:right w:val="single" w:sz="8" w:space="0" w:color="000000"/>
            </w:tcBorders>
            <w:vAlign w:val="center"/>
          </w:tcPr>
          <w:p>
            <w:pPr>
              <w:spacing w:lineRule="auto"/>
              <w:jc w:val="right"/>
            </w:pPr>
            <w:r>
              <w:rPr>
                <w:b/>
              </w:rPr>
              <w:t xml:space="preserve">-3.3</w:t>
            </w:r>
          </w:p>
        </w:tc>
      </w:tr>
    </w:tbl>
    <w:p>
      <w:pPr>
        <w:spacing w:lineRule="auto"/>
      </w:pPr>
    </w:p>
    <w:p>
      <w:pPr>
        <w:spacing w:line="271" w:before="240" w:lineRule="auto"/>
      </w:pPr>
      <w:bookmarkStart w:id="91" w:name="appendix_c_working_capital_effici_2ba0d9"/>
      <w:r>
        <w:rPr>
          <w:b/>
          <w:sz w:val="33"/>
        </w:rPr>
        <w:t xml:space="preserve">Appendix C: Working Capital Efficiency Metrics</w:t>
      </w:r>
      <w:bookmarkEnd w:id="91"/>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WC TO SALES RATIO (%)</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right w:val="single" w:sz="8" w:space="0" w:color="000000"/>
            </w:tcBorders>
            <w:vAlign w:val="center"/>
          </w:tcPr>
          <w:p>
            <w:pPr>
              <w:spacing w:lineRule="auto"/>
              <w:jc w:val="right"/>
            </w:pPr>
            <w:r>
              <w:rPr/>
              <w:t xml:space="preserve">38000</w:t>
            </w:r>
          </w:p>
        </w:tc>
        <w:tc>
          <w:tcPr>
            <w:tcBorders>
              <w:right w:val="single" w:sz="8" w:space="0" w:color="000000"/>
            </w:tcBorders>
            <w:vAlign w:val="center"/>
          </w:tcPr>
          <w:p>
            <w:pPr>
              <w:spacing w:lineRule="auto"/>
              <w:jc w:val="right"/>
            </w:pPr>
            <w:r>
              <w:rPr/>
              <w:t xml:space="preserve">41500</w:t>
            </w:r>
          </w:p>
        </w:tc>
        <w:tc>
          <w:tcPr>
            <w:tcBorders>
              <w:right w:val="single" w:sz="8" w:space="0" w:color="000000"/>
            </w:tcBorders>
            <w:vAlign w:val="center"/>
          </w:tcPr>
          <w:p>
            <w:pPr>
              <w:spacing w:lineRule="auto"/>
              <w:jc w:val="right"/>
            </w:pPr>
            <w:r>
              <w:rPr/>
              <w:t xml:space="preserve">44200</w:t>
            </w:r>
          </w:p>
        </w:tc>
        <w:tc>
          <w:tcPr>
            <w:tcBorders>
              <w:right w:val="single" w:sz="8" w:space="0" w:color="000000"/>
            </w:tcBorders>
            <w:vAlign w:val="center"/>
          </w:tcPr>
          <w:p>
            <w:pPr>
              <w:spacing w:lineRule="auto"/>
              <w:jc w:val="right"/>
            </w:pPr>
            <w:r>
              <w:rPr/>
              <w:t xml:space="preserve">46500</w:t>
            </w:r>
          </w:p>
        </w:tc>
        <w:tc>
          <w:tcPr>
            <w:tcBorders>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NWC (₹ Cr)</w:t>
            </w:r>
          </w:p>
        </w:tc>
        <w:tc>
          <w:tcPr>
            <w:tcBorders>
              <w:bottom w:val="single" w:sz="8" w:space="0" w:color="000000"/>
              <w:right w:val="single" w:sz="8" w:space="0" w:color="000000"/>
            </w:tcBorders>
            <w:vAlign w:val="center"/>
          </w:tcPr>
          <w:p>
            <w:pPr>
              <w:spacing w:lineRule="auto"/>
              <w:jc w:val="right"/>
            </w:pPr>
            <w:r>
              <w:rPr/>
              <w:t xml:space="preserve">300</w:t>
            </w:r>
          </w:p>
        </w:tc>
        <w:tc>
          <w:tcPr>
            <w:tcBorders>
              <w:bottom w:val="single" w:sz="8" w:space="0" w:color="000000"/>
              <w:right w:val="single" w:sz="8" w:space="0" w:color="000000"/>
            </w:tcBorders>
            <w:vAlign w:val="center"/>
          </w:tcPr>
          <w:p>
            <w:pPr>
              <w:spacing w:lineRule="auto"/>
              <w:jc w:val="right"/>
            </w:pPr>
            <w:r>
              <w:rPr/>
              <w:t xml:space="preserve">370</w:t>
            </w:r>
          </w:p>
        </w:tc>
        <w:tc>
          <w:tcPr>
            <w:tcBorders>
              <w:bottom w:val="single" w:sz="8" w:space="0" w:color="000000"/>
              <w:right w:val="single" w:sz="8" w:space="0" w:color="000000"/>
            </w:tcBorders>
            <w:vAlign w:val="center"/>
          </w:tcPr>
          <w:p>
            <w:pPr>
              <w:spacing w:lineRule="auto"/>
              <w:jc w:val="right"/>
            </w:pPr>
            <w:r>
              <w:rPr/>
              <w:t xml:space="preserve">680</w:t>
            </w:r>
          </w:p>
        </w:tc>
        <w:tc>
          <w:tcPr>
            <w:tcBorders>
              <w:bottom w:val="single" w:sz="8" w:space="0" w:color="000000"/>
              <w:right w:val="single" w:sz="8" w:space="0" w:color="000000"/>
            </w:tcBorders>
            <w:vAlign w:val="center"/>
          </w:tcPr>
          <w:p>
            <w:pPr>
              <w:spacing w:lineRule="auto"/>
              <w:jc w:val="right"/>
            </w:pPr>
            <w:r>
              <w:rPr/>
              <w:t xml:space="preserve">870</w:t>
            </w:r>
          </w:p>
        </w:tc>
        <w:tc>
          <w:tcPr>
            <w:tcBorders>
              <w:bottom w:val="single" w:sz="8" w:space="0" w:color="000000"/>
              <w:right w:val="single" w:sz="8" w:space="0" w:color="000000"/>
            </w:tcBorders>
            <w:vAlign w:val="center"/>
          </w:tcPr>
          <w:p>
            <w:pPr>
              <w:spacing w:lineRule="auto"/>
              <w:jc w:val="right"/>
            </w:pPr>
            <w:r>
              <w:rPr/>
              <w:t xml:space="preserve">1200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WC to Sales (%)</w:t>
            </w:r>
          </w:p>
        </w:tc>
        <w:tc>
          <w:tcPr>
            <w:tcBorders>
              <w:bottom w:val="single" w:sz="8" w:space="0" w:color="000000"/>
              <w:right w:val="single" w:sz="8" w:space="0" w:color="000000"/>
            </w:tcBorders>
            <w:vAlign w:val="center"/>
          </w:tcPr>
          <w:p>
            <w:pPr>
              <w:spacing w:lineRule="auto"/>
              <w:jc w:val="right"/>
            </w:pPr>
            <w:r>
              <w:rPr/>
              <w:t xml:space="preserve">0.79%</w:t>
            </w:r>
          </w:p>
        </w:tc>
        <w:tc>
          <w:tcPr>
            <w:tcBorders>
              <w:bottom w:val="single" w:sz="8" w:space="0" w:color="000000"/>
              <w:right w:val="single" w:sz="8" w:space="0" w:color="000000"/>
            </w:tcBorders>
            <w:vAlign w:val="center"/>
          </w:tcPr>
          <w:p>
            <w:pPr>
              <w:spacing w:lineRule="auto"/>
              <w:jc w:val="right"/>
            </w:pPr>
            <w:r>
              <w:rPr/>
              <w:t xml:space="preserve">0.89%</w:t>
            </w:r>
          </w:p>
        </w:tc>
        <w:tc>
          <w:tcPr>
            <w:tcBorders>
              <w:bottom w:val="single" w:sz="8" w:space="0" w:color="000000"/>
              <w:right w:val="single" w:sz="8" w:space="0" w:color="000000"/>
            </w:tcBorders>
            <w:vAlign w:val="center"/>
          </w:tcPr>
          <w:p>
            <w:pPr>
              <w:spacing w:lineRule="auto"/>
              <w:jc w:val="right"/>
            </w:pPr>
            <w:r>
              <w:rPr/>
              <w:t xml:space="preserve">1.54%</w:t>
            </w:r>
          </w:p>
        </w:tc>
        <w:tc>
          <w:tcPr>
            <w:tcBorders>
              <w:bottom w:val="single" w:sz="8" w:space="0" w:color="000000"/>
              <w:right w:val="single" w:sz="8" w:space="0" w:color="000000"/>
            </w:tcBorders>
            <w:vAlign w:val="center"/>
          </w:tcPr>
          <w:p>
            <w:pPr>
              <w:spacing w:lineRule="auto"/>
              <w:jc w:val="right"/>
            </w:pPr>
            <w:r>
              <w:rPr/>
              <w:t xml:space="preserve">1.87%</w:t>
            </w:r>
          </w:p>
        </w:tc>
        <w:tc>
          <w:tcPr>
            <w:tcBorders>
              <w:bottom w:val="single" w:sz="8" w:space="0" w:color="000000"/>
              <w:right w:val="single" w:sz="8" w:space="0" w:color="000000"/>
            </w:tcBorders>
            <w:vAlign w:val="center"/>
          </w:tcPr>
          <w:p>
            <w:pPr>
              <w:spacing w:lineRule="auto"/>
              <w:jc w:val="right"/>
            </w:pPr>
            <w:r>
              <w:rPr/>
              <w:t xml:space="preserve">2.50%</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CURRENT ASSETS TO SALES (%)</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Assets (₹ Cr)</w:t>
            </w:r>
          </w:p>
        </w:tc>
        <w:tc>
          <w:tcPr>
            <w:tcBorders>
              <w:right w:val="single" w:sz="8" w:space="0" w:color="000000"/>
            </w:tcBorders>
            <w:vAlign w:val="center"/>
          </w:tcPr>
          <w:p>
            <w:pPr>
              <w:spacing w:lineRule="auto"/>
              <w:jc w:val="right"/>
            </w:pPr>
            <w:r>
              <w:rPr/>
              <w:t xml:space="preserve">6600</w:t>
            </w:r>
          </w:p>
        </w:tc>
        <w:tc>
          <w:tcPr>
            <w:tcBorders>
              <w:right w:val="single" w:sz="8" w:space="0" w:color="000000"/>
            </w:tcBorders>
            <w:vAlign w:val="center"/>
          </w:tcPr>
          <w:p>
            <w:pPr>
              <w:spacing w:lineRule="auto"/>
              <w:jc w:val="right"/>
            </w:pPr>
            <w:r>
              <w:rPr/>
              <w:t xml:space="preserve">7070</w:t>
            </w:r>
          </w:p>
        </w:tc>
        <w:tc>
          <w:tcPr>
            <w:tcBorders>
              <w:right w:val="single" w:sz="8" w:space="0" w:color="000000"/>
            </w:tcBorders>
            <w:vAlign w:val="center"/>
          </w:tcPr>
          <w:p>
            <w:pPr>
              <w:spacing w:lineRule="auto"/>
              <w:jc w:val="right"/>
            </w:pPr>
            <w:r>
              <w:rPr/>
              <w:t xml:space="preserve">7880</w:t>
            </w:r>
          </w:p>
        </w:tc>
        <w:tc>
          <w:tcPr>
            <w:tcBorders>
              <w:right w:val="single" w:sz="8" w:space="0" w:color="000000"/>
            </w:tcBorders>
            <w:vAlign w:val="center"/>
          </w:tcPr>
          <w:p>
            <w:pPr>
              <w:spacing w:lineRule="auto"/>
              <w:jc w:val="right"/>
            </w:pPr>
            <w:r>
              <w:rPr/>
              <w:t xml:space="preserve">8500</w:t>
            </w:r>
          </w:p>
        </w:tc>
        <w:tc>
          <w:tcPr>
            <w:tcBorders>
              <w:right w:val="single" w:sz="8" w:space="0" w:color="000000"/>
            </w:tcBorders>
            <w:vAlign w:val="center"/>
          </w:tcPr>
          <w:p>
            <w:pPr>
              <w:spacing w:lineRule="auto"/>
              <w:jc w:val="right"/>
            </w:pPr>
            <w:r>
              <w:rPr/>
              <w:t xml:space="preserve">9250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bottom w:val="single" w:sz="8" w:space="0" w:color="000000"/>
              <w:right w:val="single" w:sz="8" w:space="0" w:color="000000"/>
            </w:tcBorders>
            <w:vAlign w:val="center"/>
          </w:tcPr>
          <w:p>
            <w:pPr>
              <w:spacing w:lineRule="auto"/>
              <w:jc w:val="right"/>
            </w:pPr>
            <w:r>
              <w:rPr/>
              <w:t xml:space="preserve">38000</w:t>
            </w:r>
          </w:p>
        </w:tc>
        <w:tc>
          <w:tcPr>
            <w:tcBorders>
              <w:bottom w:val="single" w:sz="8" w:space="0" w:color="000000"/>
              <w:right w:val="single" w:sz="8" w:space="0" w:color="000000"/>
            </w:tcBorders>
            <w:vAlign w:val="center"/>
          </w:tcPr>
          <w:p>
            <w:pPr>
              <w:spacing w:lineRule="auto"/>
              <w:jc w:val="right"/>
            </w:pPr>
            <w:r>
              <w:rPr/>
              <w:t xml:space="preserve">41500</w:t>
            </w:r>
          </w:p>
        </w:tc>
        <w:tc>
          <w:tcPr>
            <w:tcBorders>
              <w:bottom w:val="single" w:sz="8" w:space="0" w:color="000000"/>
              <w:right w:val="single" w:sz="8" w:space="0" w:color="000000"/>
            </w:tcBorders>
            <w:vAlign w:val="center"/>
          </w:tcPr>
          <w:p>
            <w:pPr>
              <w:spacing w:lineRule="auto"/>
              <w:jc w:val="right"/>
            </w:pPr>
            <w:r>
              <w:rPr/>
              <w:t xml:space="preserve">44200</w:t>
            </w:r>
          </w:p>
        </w:tc>
        <w:tc>
          <w:tcPr>
            <w:tcBorders>
              <w:bottom w:val="single" w:sz="8" w:space="0" w:color="000000"/>
              <w:right w:val="single" w:sz="8" w:space="0" w:color="000000"/>
            </w:tcBorders>
            <w:vAlign w:val="center"/>
          </w:tcPr>
          <w:p>
            <w:pPr>
              <w:spacing w:lineRule="auto"/>
              <w:jc w:val="right"/>
            </w:pPr>
            <w:r>
              <w:rPr/>
              <w:t xml:space="preserve">46500</w:t>
            </w:r>
          </w:p>
        </w:tc>
        <w:tc>
          <w:tcPr>
            <w:tcBorders>
              <w:bottom w:val="single" w:sz="8" w:space="0" w:color="000000"/>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CA to Sales (%)</w:t>
            </w:r>
          </w:p>
        </w:tc>
        <w:tc>
          <w:tcPr>
            <w:tcBorders>
              <w:bottom w:val="single" w:sz="8" w:space="0" w:color="000000"/>
              <w:right w:val="single" w:sz="8" w:space="0" w:color="000000"/>
            </w:tcBorders>
            <w:vAlign w:val="center"/>
          </w:tcPr>
          <w:p>
            <w:pPr>
              <w:spacing w:lineRule="auto"/>
              <w:jc w:val="right"/>
            </w:pPr>
            <w:r>
              <w:rPr/>
              <w:t xml:space="preserve">17.37%</w:t>
            </w:r>
          </w:p>
        </w:tc>
        <w:tc>
          <w:tcPr>
            <w:tcBorders>
              <w:bottom w:val="single" w:sz="8" w:space="0" w:color="000000"/>
              <w:right w:val="single" w:sz="8" w:space="0" w:color="000000"/>
            </w:tcBorders>
            <w:vAlign w:val="center"/>
          </w:tcPr>
          <w:p>
            <w:pPr>
              <w:spacing w:lineRule="auto"/>
              <w:jc w:val="right"/>
            </w:pPr>
            <w:r>
              <w:rPr/>
              <w:t xml:space="preserve">17.05%</w:t>
            </w:r>
          </w:p>
        </w:tc>
        <w:tc>
          <w:tcPr>
            <w:tcBorders>
              <w:bottom w:val="single" w:sz="8" w:space="0" w:color="000000"/>
              <w:right w:val="single" w:sz="8" w:space="0" w:color="000000"/>
            </w:tcBorders>
            <w:vAlign w:val="center"/>
          </w:tcPr>
          <w:p>
            <w:pPr>
              <w:spacing w:lineRule="auto"/>
              <w:jc w:val="right"/>
            </w:pPr>
            <w:r>
              <w:rPr/>
              <w:t xml:space="preserve">17.83%</w:t>
            </w:r>
          </w:p>
        </w:tc>
        <w:tc>
          <w:tcPr>
            <w:tcBorders>
              <w:bottom w:val="single" w:sz="8" w:space="0" w:color="000000"/>
              <w:right w:val="single" w:sz="8" w:space="0" w:color="000000"/>
            </w:tcBorders>
            <w:vAlign w:val="center"/>
          </w:tcPr>
          <w:p>
            <w:pPr>
              <w:spacing w:lineRule="auto"/>
              <w:jc w:val="right"/>
            </w:pPr>
            <w:r>
              <w:rPr/>
              <w:t xml:space="preserve">18.28%</w:t>
            </w:r>
          </w:p>
        </w:tc>
        <w:tc>
          <w:tcPr>
            <w:tcBorders>
              <w:bottom w:val="single" w:sz="8" w:space="0" w:color="000000"/>
              <w:right w:val="single" w:sz="8" w:space="0" w:color="000000"/>
            </w:tcBorders>
            <w:vAlign w:val="center"/>
          </w:tcPr>
          <w:p>
            <w:pPr>
              <w:spacing w:lineRule="auto"/>
              <w:jc w:val="right"/>
            </w:pPr>
            <w:r>
              <w:rPr/>
              <w:t xml:space="preserve">19.27%</w:t>
            </w:r>
          </w:p>
        </w:tc>
      </w:tr>
    </w:tbl>
    <w:p>
      <w:pPr>
        <w:spacing w:lineRule="auto"/>
      </w:pPr>
    </w:p>
    <w:tbl>
      <w:tblPr>
        <w:tblStyle w:val="TableGrid"/>
        <w:jc w:val="center"/>
        <w:tblCellSpacing w:w="0" w:type="dxa"/>
        <w:tblBorders/>
        <w:tblCellMar>
          <w:top w:type="dxa" w:w="80"/>
          <w:left w:type="dxa" w:w="160"/>
          <w:bottom w:type="dxa" w:w="80"/>
          <w:right w:type="dxa" w:w="160"/>
        </w:tblCellMar>
      </w:tblPr>
      <w:tblGrid>
        <w:gridCol w:w="1448"/>
        <w:gridCol w:w="1448"/>
        <w:gridCol w:w="1448"/>
        <w:gridCol w:w="1448"/>
        <w:gridCol w:w="1448"/>
        <w:gridCol w:w="144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CURRENT LIABILITIES TO SALES (%)</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FY21</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FY22</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FY23</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FY24</w:t>
            </w:r>
          </w:p>
        </w:tc>
        <w:tc>
          <w:tcPr>
            <w:tcBorders>
              <w:top w:val="single" w:sz="8" w:space="0" w:color="000000"/>
              <w:bottom w:val="single" w:sz="8" w:space="0" w:color="000000"/>
              <w:right w:val="single" w:sz="8" w:space="0" w:color="000000"/>
            </w:tcBorders>
            <w:vAlign w:val="center"/>
          </w:tcPr>
          <w:p>
            <w:pPr>
              <w:spacing w:lineRule="auto"/>
              <w:jc w:val="right"/>
            </w:pPr>
            <w:r>
              <w:rPr>
                <w:b/>
              </w:rPr>
              <w:t xml:space="preserve">FY25</w:t>
            </w:r>
          </w:p>
        </w:tc>
      </w:tr>
      <w:tr>
        <w:trPr>
          <w:cantSplit/>
        </w:trPr>
        <w:tc>
          <w:tcPr>
            <w:tcBorders>
              <w:left w:val="single" w:sz="8" w:space="0" w:color="000000"/>
              <w:right w:val="single" w:sz="8" w:space="0" w:color="000000"/>
            </w:tcBorders>
            <w:vAlign w:val="center"/>
          </w:tcPr>
          <w:p>
            <w:pPr>
              <w:spacing w:lineRule="auto"/>
              <w:jc w:val="left"/>
            </w:pPr>
            <w:r>
              <w:rPr>
                <w:rFonts w:eastAsia="Georgia" w:cs="Georgia" w:ascii="Georgia" w:hAnsi="Georgia"/>
              </w:rPr>
              <w:t xml:space="preserve">Current Liabilities (₹ Cr)</w:t>
            </w:r>
          </w:p>
        </w:tc>
        <w:tc>
          <w:tcPr>
            <w:tcBorders>
              <w:right w:val="single" w:sz="8" w:space="0" w:color="000000"/>
            </w:tcBorders>
            <w:vAlign w:val="center"/>
          </w:tcPr>
          <w:p>
            <w:pPr>
              <w:spacing w:lineRule="auto"/>
              <w:jc w:val="right"/>
            </w:pPr>
            <w:r>
              <w:rPr/>
              <w:t xml:space="preserve">6300</w:t>
            </w:r>
          </w:p>
        </w:tc>
        <w:tc>
          <w:tcPr>
            <w:tcBorders>
              <w:right w:val="single" w:sz="8" w:space="0" w:color="000000"/>
            </w:tcBorders>
            <w:vAlign w:val="center"/>
          </w:tcPr>
          <w:p>
            <w:pPr>
              <w:spacing w:lineRule="auto"/>
              <w:jc w:val="right"/>
            </w:pPr>
            <w:r>
              <w:rPr/>
              <w:t xml:space="preserve">6700</w:t>
            </w:r>
          </w:p>
        </w:tc>
        <w:tc>
          <w:tcPr>
            <w:tcBorders>
              <w:right w:val="single" w:sz="8" w:space="0" w:color="000000"/>
            </w:tcBorders>
            <w:vAlign w:val="center"/>
          </w:tcPr>
          <w:p>
            <w:pPr>
              <w:spacing w:lineRule="auto"/>
              <w:jc w:val="right"/>
            </w:pPr>
            <w:r>
              <w:rPr/>
              <w:t xml:space="preserve">7200</w:t>
            </w:r>
          </w:p>
        </w:tc>
        <w:tc>
          <w:tcPr>
            <w:tcBorders>
              <w:right w:val="single" w:sz="8" w:space="0" w:color="000000"/>
            </w:tcBorders>
            <w:vAlign w:val="center"/>
          </w:tcPr>
          <w:p>
            <w:pPr>
              <w:spacing w:lineRule="auto"/>
              <w:jc w:val="right"/>
            </w:pPr>
            <w:r>
              <w:rPr/>
              <w:t xml:space="preserve">7630</w:t>
            </w:r>
          </w:p>
        </w:tc>
        <w:tc>
          <w:tcPr>
            <w:tcBorders>
              <w:right w:val="single" w:sz="8" w:space="0" w:color="000000"/>
            </w:tcBorders>
            <w:vAlign w:val="center"/>
          </w:tcPr>
          <w:p>
            <w:pPr>
              <w:spacing w:lineRule="auto"/>
              <w:jc w:val="right"/>
            </w:pPr>
            <w:r>
              <w:rPr/>
              <w:t xml:space="preserve">8050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Net Sales (₹ Cr)</w:t>
            </w:r>
          </w:p>
        </w:tc>
        <w:tc>
          <w:tcPr>
            <w:tcBorders>
              <w:bottom w:val="single" w:sz="8" w:space="0" w:color="000000"/>
              <w:right w:val="single" w:sz="8" w:space="0" w:color="000000"/>
            </w:tcBorders>
            <w:vAlign w:val="center"/>
          </w:tcPr>
          <w:p>
            <w:pPr>
              <w:spacing w:lineRule="auto"/>
              <w:jc w:val="right"/>
            </w:pPr>
            <w:r>
              <w:rPr/>
              <w:t xml:space="preserve">38000</w:t>
            </w:r>
          </w:p>
        </w:tc>
        <w:tc>
          <w:tcPr>
            <w:tcBorders>
              <w:bottom w:val="single" w:sz="8" w:space="0" w:color="000000"/>
              <w:right w:val="single" w:sz="8" w:space="0" w:color="000000"/>
            </w:tcBorders>
            <w:vAlign w:val="center"/>
          </w:tcPr>
          <w:p>
            <w:pPr>
              <w:spacing w:lineRule="auto"/>
              <w:jc w:val="right"/>
            </w:pPr>
            <w:r>
              <w:rPr/>
              <w:t xml:space="preserve">41500</w:t>
            </w:r>
          </w:p>
        </w:tc>
        <w:tc>
          <w:tcPr>
            <w:tcBorders>
              <w:bottom w:val="single" w:sz="8" w:space="0" w:color="000000"/>
              <w:right w:val="single" w:sz="8" w:space="0" w:color="000000"/>
            </w:tcBorders>
            <w:vAlign w:val="center"/>
          </w:tcPr>
          <w:p>
            <w:pPr>
              <w:spacing w:lineRule="auto"/>
              <w:jc w:val="right"/>
            </w:pPr>
            <w:r>
              <w:rPr/>
              <w:t xml:space="preserve">44200</w:t>
            </w:r>
          </w:p>
        </w:tc>
        <w:tc>
          <w:tcPr>
            <w:tcBorders>
              <w:bottom w:val="single" w:sz="8" w:space="0" w:color="000000"/>
              <w:right w:val="single" w:sz="8" w:space="0" w:color="000000"/>
            </w:tcBorders>
            <w:vAlign w:val="center"/>
          </w:tcPr>
          <w:p>
            <w:pPr>
              <w:spacing w:lineRule="auto"/>
              <w:jc w:val="right"/>
            </w:pPr>
            <w:r>
              <w:rPr/>
              <w:t xml:space="preserve">46500</w:t>
            </w:r>
          </w:p>
        </w:tc>
        <w:tc>
          <w:tcPr>
            <w:tcBorders>
              <w:bottom w:val="single" w:sz="8" w:space="0" w:color="000000"/>
              <w:right w:val="single" w:sz="8" w:space="0" w:color="000000"/>
            </w:tcBorders>
            <w:vAlign w:val="center"/>
          </w:tcPr>
          <w:p>
            <w:pPr>
              <w:spacing w:lineRule="auto"/>
              <w:jc w:val="right"/>
            </w:pPr>
            <w:r>
              <w:rPr/>
              <w:t xml:space="preserve">48000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CL to Sales (%)</w:t>
            </w:r>
          </w:p>
        </w:tc>
        <w:tc>
          <w:tcPr>
            <w:tcBorders>
              <w:bottom w:val="single" w:sz="8" w:space="0" w:color="000000"/>
              <w:right w:val="single" w:sz="8" w:space="0" w:color="000000"/>
            </w:tcBorders>
            <w:vAlign w:val="center"/>
          </w:tcPr>
          <w:p>
            <w:pPr>
              <w:spacing w:lineRule="auto"/>
              <w:jc w:val="right"/>
            </w:pPr>
            <w:r>
              <w:rPr/>
              <w:t xml:space="preserve">16.58%</w:t>
            </w:r>
          </w:p>
        </w:tc>
        <w:tc>
          <w:tcPr>
            <w:tcBorders>
              <w:bottom w:val="single" w:sz="8" w:space="0" w:color="000000"/>
              <w:right w:val="single" w:sz="8" w:space="0" w:color="000000"/>
            </w:tcBorders>
            <w:vAlign w:val="center"/>
          </w:tcPr>
          <w:p>
            <w:pPr>
              <w:spacing w:lineRule="auto"/>
              <w:jc w:val="right"/>
            </w:pPr>
            <w:r>
              <w:rPr/>
              <w:t xml:space="preserve">16.14%</w:t>
            </w:r>
          </w:p>
        </w:tc>
        <w:tc>
          <w:tcPr>
            <w:tcBorders>
              <w:bottom w:val="single" w:sz="8" w:space="0" w:color="000000"/>
              <w:right w:val="single" w:sz="8" w:space="0" w:color="000000"/>
            </w:tcBorders>
            <w:vAlign w:val="center"/>
          </w:tcPr>
          <w:p>
            <w:pPr>
              <w:spacing w:lineRule="auto"/>
              <w:jc w:val="right"/>
            </w:pPr>
            <w:r>
              <w:rPr/>
              <w:t xml:space="preserve">16.29%</w:t>
            </w:r>
          </w:p>
        </w:tc>
        <w:tc>
          <w:tcPr>
            <w:tcBorders>
              <w:bottom w:val="single" w:sz="8" w:space="0" w:color="000000"/>
              <w:right w:val="single" w:sz="8" w:space="0" w:color="000000"/>
            </w:tcBorders>
            <w:vAlign w:val="center"/>
          </w:tcPr>
          <w:p>
            <w:pPr>
              <w:spacing w:lineRule="auto"/>
              <w:jc w:val="right"/>
            </w:pPr>
            <w:r>
              <w:rPr/>
              <w:t xml:space="preserve">16.40%</w:t>
            </w:r>
          </w:p>
        </w:tc>
        <w:tc>
          <w:tcPr>
            <w:tcBorders>
              <w:bottom w:val="single" w:sz="8" w:space="0" w:color="000000"/>
              <w:right w:val="single" w:sz="8" w:space="0" w:color="000000"/>
            </w:tcBorders>
            <w:vAlign w:val="center"/>
          </w:tcPr>
          <w:p>
            <w:pPr>
              <w:spacing w:lineRule="auto"/>
              <w:jc w:val="right"/>
            </w:pPr>
            <w:r>
              <w:rPr/>
              <w:t xml:space="preserve">16.77%</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END OF REPORT</w:t>
      </w:r>
    </w:p>
    <w:p>
      <w:pPr>
        <w:spacing w:after="210" w:lineRule="auto"/>
      </w:pPr>
      <w:r>
        <w:rPr>
          <w:i/>
        </w:rPr>
        <w:t xml:space="preserve">Word Count: Approximately 12,500 words of content + detailed Excel calculations and tables</w:t>
      </w:r>
    </w:p>
    <w:p>
      <w:pPr>
        <w:spacing w:after="210" w:lineRule="auto"/>
      </w:pPr>
      <w:r>
        <w:rPr>
          <w:i/>
        </w:rPr>
        <w:t xml:space="preserve">Note: This report uses illustrative financial figures based on typical HUL financial patterns. For actual academic or professional use, please refer to HUL's official Integrated Annual Reports (2024–25, 2023–24, 2022–23, 2021–22, 2020–21) available at </w:t>
      </w:r>
      <w:hyperlink r:id="rId5">
        <w:r>
          <w:rPr>
            <w:i/>
            <w:color w:val="4472C4"/>
          </w:rPr>
          <w:t xml:space="preserve">https://www.hul.co.in/investors/annual-reports</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decimal"/>
      <w:lvlText w:val="%1."/>
      <w:lvlJc w:val="left"/>
      <w:pPr>
        <w:tabs>
          <w:tab w:val="num" w:pos="1080"/>
        </w:tabs>
        <w:ind w:left="720" w:hanging="360"/>
      </w:pPr>
    </w:lvl>
  </w:abstractNum>
  <w:abstractNum w:abstractNumId="6">
    <w:multiLevelType w:val="hybridMultilevel"/>
    <w:lvl w:ilvl="0">
      <w:start w:val="1"/>
      <w:numFmt w:val="decimal"/>
      <w:lvlText w:val="%1."/>
      <w:lvlJc w:val="left"/>
      <w:pPr>
        <w:tabs>
          <w:tab w:val="num" w:pos="1080"/>
        </w:tabs>
        <w:ind w:left="720" w:hanging="360"/>
      </w:p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decimal"/>
      <w:lvlText w:val="%1."/>
      <w:lvlJc w:val="left"/>
      <w:pPr>
        <w:tabs>
          <w:tab w:val="num" w:pos="1080"/>
        </w:tabs>
        <w:ind w:left="720" w:hanging="360"/>
      </w:p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decimal"/>
      <w:lvlText w:val="%1."/>
      <w:lvlJc w:val="left"/>
      <w:pPr>
        <w:tabs>
          <w:tab w:val="num" w:pos="1080"/>
        </w:tabs>
        <w:ind w:left="720" w:hanging="360"/>
      </w:p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decimal"/>
      <w:lvlText w:val="%1."/>
      <w:lvlJc w:val="left"/>
      <w:pPr>
        <w:tabs>
          <w:tab w:val="num" w:pos="1080"/>
        </w:tabs>
        <w:ind w:left="720" w:hanging="360"/>
      </w:pPr>
    </w:lvl>
  </w:abstractNum>
  <w:abstractNum w:abstractNumId="38">
    <w:multiLevelType w:val="hybridMultilevel"/>
    <w:lvl w:ilvl="0">
      <w:start w:val="1"/>
      <w:numFmt w:val="decimal"/>
      <w:lvlText w:val="%1."/>
      <w:lvlJc w:val="left"/>
      <w:pPr>
        <w:tabs>
          <w:tab w:val="num" w:pos="1080"/>
        </w:tabs>
        <w:ind w:left="720" w:hanging="360"/>
      </w:pPr>
    </w:lvl>
  </w:abstractNum>
  <w:abstractNum w:abstractNumId="3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0">
    <w:multiLevelType w:val="hybridMultilevel"/>
    <w:lvl w:ilvl="0">
      <w:start w:val="1"/>
      <w:numFmt w:val="decimal"/>
      <w:lvlText w:val="%1."/>
      <w:lvlJc w:val="left"/>
      <w:pPr>
        <w:tabs>
          <w:tab w:val="num" w:pos="1080"/>
        </w:tabs>
        <w:ind w:left="720" w:hanging="360"/>
      </w:pPr>
    </w:lvl>
  </w:abstractNum>
  <w:abstractNum w:abstractNumId="41">
    <w:multiLevelType w:val="hybridMultilevel"/>
    <w:lvl w:ilvl="0">
      <w:start w:val="1"/>
      <w:numFmt w:val="decimal"/>
      <w:lvlText w:val="%1."/>
      <w:lvlJc w:val="left"/>
      <w:pPr>
        <w:tabs>
          <w:tab w:val="num" w:pos="1080"/>
        </w:tabs>
        <w:ind w:left="720" w:hanging="360"/>
      </w:pPr>
    </w:lvl>
  </w:abstractNum>
  <w:abstractNum w:abstractNumId="4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3">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4">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5">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abstractNum w:abstractNumId="4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8">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lvl w:ilvl="2">
      <w:start w:val="1"/>
      <w:numFmt w:val="bullet"/>
      <w:lvlText w:val=""/>
      <w:lvlJc w:val="left"/>
      <w:pPr>
        <w:tabs>
          <w:tab w:val="num" w:pos="2520"/>
        </w:tabs>
        <w:ind w:left="2160" w:hanging="360"/>
      </w:pPr>
      <w:rPr>
        <w:rFonts w:ascii="Wingdings" w:hAnsi="Wingdings" w:hint="default"/>
      </w:rPr>
    </w:lvl>
  </w:abstractNum>
  <w:abstractNum w:abstractNumId="4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2">
    <w:multiLevelType w:val="hybridMultilevel"/>
    <w:lvl w:ilvl="0">
      <w:start w:val="1"/>
      <w:numFmt w:val="decimal"/>
      <w:lvlText w:val="%1."/>
      <w:lvlJc w:val="left"/>
      <w:pPr>
        <w:tabs>
          <w:tab w:val="num" w:pos="1080"/>
        </w:tabs>
        <w:ind w:left="720" w:hanging="360"/>
      </w:pPr>
    </w:lvl>
    <w:lvl w:ilvl="1">
      <w:start w:val="1"/>
      <w:numFmt w:val="bullet"/>
      <w:lvlText w:val="o"/>
      <w:lvlJc w:val="left"/>
      <w:pPr>
        <w:tabs>
          <w:tab w:val="num" w:pos="1800"/>
        </w:tabs>
        <w:ind w:left="1440" w:hanging="360"/>
      </w:pPr>
      <w:rPr>
        <w:rFonts w:ascii="Courier New" w:hAnsi="Courier New" w:cs="Courier New"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www.hul.co.in/investors/annual-report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2026-01-05T16:57:01.636Z</dcterms:created>
  <dcterms:modified xsi:type="dcterms:W3CDTF">2026-01-05T16:57:01.636Z</dcterms:modified>
</cp:coreProperties>
</file>