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9620" w14:textId="77777777" w:rsidR="00D00265" w:rsidRDefault="00D00265" w:rsidP="00D00265">
      <w:pPr>
        <w:rPr>
          <w:b/>
          <w:bCs/>
          <w:sz w:val="36"/>
          <w:szCs w:val="36"/>
        </w:rPr>
      </w:pPr>
      <w:r w:rsidRPr="00D00265">
        <w:rPr>
          <w:b/>
          <w:bCs/>
          <w:sz w:val="36"/>
          <w:szCs w:val="36"/>
        </w:rPr>
        <w:t>Lab 3: Architectural Pattern Selection &amp; Justification</w:t>
      </w:r>
    </w:p>
    <w:p w14:paraId="7BB52A1D" w14:textId="5BC78076" w:rsidR="00D00265" w:rsidRPr="00D00265" w:rsidRDefault="00D00265" w:rsidP="002C1355">
      <w:pPr>
        <w:jc w:val="center"/>
        <w:rPr>
          <w:sz w:val="22"/>
          <w:szCs w:val="22"/>
        </w:rPr>
      </w:pPr>
      <w:r>
        <w:rPr>
          <w:sz w:val="22"/>
          <w:szCs w:val="22"/>
        </w:rPr>
        <w:t>SAIKAVIN S – PES1UG24CS402</w:t>
      </w:r>
    </w:p>
    <w:p w14:paraId="5B32F4C8" w14:textId="77777777" w:rsidR="00D00265" w:rsidRPr="00D00265" w:rsidRDefault="00D00265" w:rsidP="002C1355">
      <w:pPr>
        <w:jc w:val="center"/>
      </w:pPr>
      <w:r w:rsidRPr="00D00265">
        <w:t>Problem Statement — Digital Gift Card &amp; Loyalty Point Exchange System</w:t>
      </w:r>
    </w:p>
    <w:p w14:paraId="4CE58E79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Architecture Selection: We chose the Layered Architecture for the Digital Gift Card &amp; Loyalty Point Exchange System.</w:t>
      </w:r>
    </w:p>
    <w:p w14:paraId="1D978E6D" w14:textId="77777777" w:rsidR="00D00265" w:rsidRPr="00D00265" w:rsidRDefault="00D00265" w:rsidP="00D00265">
      <w:pPr>
        <w:rPr>
          <w:b/>
          <w:bCs/>
          <w:sz w:val="20"/>
          <w:szCs w:val="20"/>
        </w:rPr>
      </w:pPr>
      <w:r w:rsidRPr="00D00265">
        <w:rPr>
          <w:b/>
          <w:bCs/>
          <w:sz w:val="20"/>
          <w:szCs w:val="20"/>
        </w:rPr>
        <w:t>ARCHITECTURAL CHOICE</w:t>
      </w:r>
    </w:p>
    <w:p w14:paraId="5A3FB699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The system is divided into three layers with clear separation of responsibilities — the Presentation Layer (User Interface Component), the Business Layer (Exchange Manager, Fraud Screening, and Merchant Integration Components), and the Data Layer (Ledger Database Component).</w:t>
      </w:r>
    </w:p>
    <w:p w14:paraId="594D04F7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The Exchange Manager is the central business component. It provides </w:t>
      </w:r>
      <w:proofErr w:type="spellStart"/>
      <w:r w:rsidRPr="00D00265">
        <w:rPr>
          <w:sz w:val="18"/>
          <w:szCs w:val="18"/>
        </w:rPr>
        <w:t>IExchangeRequest</w:t>
      </w:r>
      <w:proofErr w:type="spellEnd"/>
      <w:r w:rsidRPr="00D00265">
        <w:rPr>
          <w:sz w:val="18"/>
          <w:szCs w:val="18"/>
        </w:rPr>
        <w:t xml:space="preserve"> to the User Interface and requires </w:t>
      </w:r>
      <w:proofErr w:type="spellStart"/>
      <w:r w:rsidRPr="00D00265">
        <w:rPr>
          <w:sz w:val="18"/>
          <w:szCs w:val="18"/>
        </w:rPr>
        <w:t>IMerchantSync</w:t>
      </w:r>
      <w:proofErr w:type="spellEnd"/>
      <w:r w:rsidRPr="00D00265">
        <w:rPr>
          <w:sz w:val="18"/>
          <w:szCs w:val="18"/>
        </w:rPr>
        <w:t xml:space="preserve"> from Merchant Integration, </w:t>
      </w:r>
      <w:proofErr w:type="spellStart"/>
      <w:r w:rsidRPr="00D00265">
        <w:rPr>
          <w:sz w:val="18"/>
          <w:szCs w:val="18"/>
        </w:rPr>
        <w:t>IFraudCheck</w:t>
      </w:r>
      <w:proofErr w:type="spellEnd"/>
      <w:r w:rsidRPr="00D00265">
        <w:rPr>
          <w:sz w:val="18"/>
          <w:szCs w:val="18"/>
        </w:rPr>
        <w:t xml:space="preserve"> from Fraud Screening, and </w:t>
      </w:r>
      <w:proofErr w:type="spellStart"/>
      <w:r w:rsidRPr="00D00265">
        <w:rPr>
          <w:sz w:val="18"/>
          <w:szCs w:val="18"/>
        </w:rPr>
        <w:t>ILedgerStore</w:t>
      </w:r>
      <w:proofErr w:type="spellEnd"/>
      <w:r w:rsidRPr="00D00265">
        <w:rPr>
          <w:sz w:val="18"/>
          <w:szCs w:val="18"/>
        </w:rPr>
        <w:t xml:space="preserve"> from the Ledger Database. The providing component shows the ball and the consuming component shows the socket.</w:t>
      </w:r>
    </w:p>
    <w:p w14:paraId="7AC45B75" w14:textId="77777777" w:rsidR="00D00265" w:rsidRPr="00D00265" w:rsidRDefault="00D00265" w:rsidP="00D00265">
      <w:pPr>
        <w:rPr>
          <w:b/>
          <w:bCs/>
          <w:color w:val="000000" w:themeColor="text1"/>
          <w:sz w:val="20"/>
          <w:szCs w:val="20"/>
        </w:rPr>
      </w:pPr>
      <w:r w:rsidRPr="00D00265">
        <w:rPr>
          <w:b/>
          <w:bCs/>
          <w:color w:val="000000" w:themeColor="text1"/>
          <w:sz w:val="20"/>
          <w:szCs w:val="20"/>
        </w:rPr>
        <w:t>TWO REASONS FOR THIS CHOICE</w:t>
      </w:r>
    </w:p>
    <w:p w14:paraId="59F58EA3" w14:textId="77777777" w:rsidR="00D00265" w:rsidRPr="00D00265" w:rsidRDefault="00D00265" w:rsidP="00D00265">
      <w:pPr>
        <w:numPr>
          <w:ilvl w:val="0"/>
          <w:numId w:val="7"/>
        </w:numPr>
        <w:rPr>
          <w:sz w:val="18"/>
          <w:szCs w:val="18"/>
        </w:rPr>
      </w:pPr>
      <w:r w:rsidRPr="00D00265">
        <w:rPr>
          <w:sz w:val="18"/>
          <w:szCs w:val="18"/>
        </w:rPr>
        <w:t>Separation of Concerns</w:t>
      </w:r>
    </w:p>
    <w:p w14:paraId="3C6DFC39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The layered structure separates user interaction, business processing, and data management into clearly defined responsibilities. The User Interface handles user interaction, including browsing the </w:t>
      </w:r>
      <w:proofErr w:type="spellStart"/>
      <w:r w:rsidRPr="00D00265">
        <w:rPr>
          <w:sz w:val="18"/>
          <w:szCs w:val="18"/>
        </w:rPr>
        <w:t>catalog</w:t>
      </w:r>
      <w:proofErr w:type="spellEnd"/>
      <w:r w:rsidRPr="00D00265">
        <w:rPr>
          <w:sz w:val="18"/>
          <w:szCs w:val="18"/>
        </w:rPr>
        <w:t xml:space="preserve"> (FR-004), displaying aggregated balances, and submitting conversion, redemption, and rate-update requests.</w:t>
      </w:r>
    </w:p>
    <w:p w14:paraId="6271FDF5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The Business Layer handles aggregation of merchant balances (FR-002), conversion using current merchant-specific rates (FR-003), gift-card redemption (UC-04), voucher generation (UC-05, FR-001), voucher locking (FR-005), fraud screening (UC-06), and merchant integration.</w:t>
      </w:r>
    </w:p>
    <w:p w14:paraId="4A288562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The Data Layer is responsible for persistent ledger, voucher, </w:t>
      </w:r>
      <w:proofErr w:type="spellStart"/>
      <w:r w:rsidRPr="00D00265">
        <w:rPr>
          <w:sz w:val="18"/>
          <w:szCs w:val="18"/>
        </w:rPr>
        <w:t>catalog</w:t>
      </w:r>
      <w:proofErr w:type="spellEnd"/>
      <w:r w:rsidRPr="00D00265">
        <w:rPr>
          <w:sz w:val="18"/>
          <w:szCs w:val="18"/>
        </w:rPr>
        <w:t>, rate, and linked-account data. This separation prevents responsibilities from being mixed across the system and makes the architecture easier to understand and manage.</w:t>
      </w:r>
    </w:p>
    <w:p w14:paraId="0F91D13A" w14:textId="77777777" w:rsidR="00D00265" w:rsidRPr="00D00265" w:rsidRDefault="00D00265" w:rsidP="00D00265">
      <w:pPr>
        <w:numPr>
          <w:ilvl w:val="0"/>
          <w:numId w:val="8"/>
        </w:numPr>
        <w:rPr>
          <w:sz w:val="18"/>
          <w:szCs w:val="18"/>
        </w:rPr>
      </w:pPr>
      <w:r w:rsidRPr="00D00265">
        <w:rPr>
          <w:sz w:val="18"/>
          <w:szCs w:val="18"/>
        </w:rPr>
        <w:t>Maintainability and Modularity</w:t>
      </w:r>
    </w:p>
    <w:p w14:paraId="681462A1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Because responsibilities are separated and components communicate through defined interfaces, individual components can be modified or replaced without changing the entire system.</w:t>
      </w:r>
    </w:p>
    <w:p w14:paraId="71189C0B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For example, the Merchant Integration component can change how it connects to Merchant Partners, and fraud-screening rules for UC-06 can evolve without affecting the User Interface or Ledger Database, provided the defined interfaces remain compatible. Similarly, the database technology can be replaced behind </w:t>
      </w:r>
      <w:proofErr w:type="spellStart"/>
      <w:r w:rsidRPr="00D00265">
        <w:rPr>
          <w:sz w:val="18"/>
          <w:szCs w:val="18"/>
        </w:rPr>
        <w:t>ILedgerStore</w:t>
      </w:r>
      <w:proofErr w:type="spellEnd"/>
      <w:r w:rsidRPr="00D00265">
        <w:rPr>
          <w:sz w:val="18"/>
          <w:szCs w:val="18"/>
        </w:rPr>
        <w:t xml:space="preserve"> without requiring major changes to the Business or Presentation Layers.</w:t>
      </w:r>
    </w:p>
    <w:p w14:paraId="58273EDE" w14:textId="77777777" w:rsidR="00D00265" w:rsidRPr="00D00265" w:rsidRDefault="00D00265" w:rsidP="00D00265">
      <w:pPr>
        <w:rPr>
          <w:b/>
          <w:bCs/>
          <w:sz w:val="20"/>
          <w:szCs w:val="20"/>
        </w:rPr>
      </w:pPr>
      <w:r w:rsidRPr="00D00265">
        <w:rPr>
          <w:b/>
          <w:bCs/>
          <w:sz w:val="20"/>
          <w:szCs w:val="20"/>
        </w:rPr>
        <w:t>SECURITY ADVANTAGE</w:t>
      </w:r>
    </w:p>
    <w:p w14:paraId="74A3A1A3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Sensitive operations such as redemption, voucher generation, fraud screening, and ledger updates are handled within the Business and Data Layers rather than directly by the Presentation Layer.</w:t>
      </w:r>
    </w:p>
    <w:p w14:paraId="447CE5FF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The User Interface accesses business functionality through </w:t>
      </w:r>
      <w:proofErr w:type="spellStart"/>
      <w:r w:rsidRPr="00D00265">
        <w:rPr>
          <w:sz w:val="18"/>
          <w:szCs w:val="18"/>
        </w:rPr>
        <w:t>IExchangeRequest</w:t>
      </w:r>
      <w:proofErr w:type="spellEnd"/>
      <w:r w:rsidRPr="00D00265">
        <w:rPr>
          <w:sz w:val="18"/>
          <w:szCs w:val="18"/>
        </w:rPr>
        <w:t xml:space="preserve">, while the Exchange Manager controls the business operations. Suspicious redemptions are checked through </w:t>
      </w:r>
      <w:proofErr w:type="spellStart"/>
      <w:r w:rsidRPr="00D00265">
        <w:rPr>
          <w:sz w:val="18"/>
          <w:szCs w:val="18"/>
        </w:rPr>
        <w:t>IFraudCheck</w:t>
      </w:r>
      <w:proofErr w:type="spellEnd"/>
      <w:r w:rsidRPr="00D00265">
        <w:rPr>
          <w:sz w:val="18"/>
          <w:szCs w:val="18"/>
        </w:rPr>
        <w:t xml:space="preserve"> and can be placed on HOLD before credits are finally deducted, as specified by UC-06 extending UC-04.</w:t>
      </w:r>
    </w:p>
    <w:p w14:paraId="0690442D" w14:textId="77777777" w:rsidR="00D00265" w:rsidRP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This separation limits direct access to sensitive operations and ensures that critical business and data operations are controlled by the appropriate layers.</w:t>
      </w:r>
    </w:p>
    <w:p w14:paraId="67943256" w14:textId="77777777" w:rsidR="00D00265" w:rsidRPr="00D00265" w:rsidRDefault="00D00265" w:rsidP="00D00265">
      <w:pPr>
        <w:rPr>
          <w:b/>
          <w:bCs/>
          <w:sz w:val="20"/>
          <w:szCs w:val="20"/>
        </w:rPr>
      </w:pPr>
      <w:r w:rsidRPr="00D00265">
        <w:rPr>
          <w:b/>
          <w:bCs/>
          <w:sz w:val="20"/>
          <w:szCs w:val="20"/>
        </w:rPr>
        <w:t>PERFORMANCE BENEFIT</w:t>
      </w:r>
    </w:p>
    <w:p w14:paraId="128B6A1F" w14:textId="77777777" w:rsidR="00D00265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>The layered structure keeps business processing centralized in the Exchange Manager and allows direct service-to-service communication between Business Layer components and the Ledger Database.</w:t>
      </w:r>
    </w:p>
    <w:p w14:paraId="79F7AAEF" w14:textId="69AC5024" w:rsidR="00401AE4" w:rsidRDefault="00D00265" w:rsidP="00D00265">
      <w:pPr>
        <w:rPr>
          <w:sz w:val="18"/>
          <w:szCs w:val="18"/>
        </w:rPr>
      </w:pPr>
      <w:r w:rsidRPr="00D00265">
        <w:rPr>
          <w:sz w:val="18"/>
          <w:szCs w:val="18"/>
        </w:rPr>
        <w:t xml:space="preserve">Merchant balances and current rates can be retrieved through </w:t>
      </w:r>
      <w:proofErr w:type="spellStart"/>
      <w:r w:rsidRPr="00D00265">
        <w:rPr>
          <w:sz w:val="18"/>
          <w:szCs w:val="18"/>
        </w:rPr>
        <w:t>IMerchantSync</w:t>
      </w:r>
      <w:proofErr w:type="spellEnd"/>
      <w:r w:rsidRPr="00D00265">
        <w:rPr>
          <w:sz w:val="18"/>
          <w:szCs w:val="18"/>
        </w:rPr>
        <w:t xml:space="preserve">, while ledger operations use </w:t>
      </w:r>
      <w:proofErr w:type="spellStart"/>
      <w:r w:rsidRPr="00D00265">
        <w:rPr>
          <w:sz w:val="18"/>
          <w:szCs w:val="18"/>
        </w:rPr>
        <w:t>ILedgerStore</w:t>
      </w:r>
      <w:proofErr w:type="spellEnd"/>
      <w:r w:rsidRPr="00D00265">
        <w:rPr>
          <w:sz w:val="18"/>
          <w:szCs w:val="18"/>
        </w:rPr>
        <w:t>, avoiding unnecessary interaction with the Presentation Layer.</w:t>
      </w:r>
      <w:r>
        <w:rPr>
          <w:sz w:val="18"/>
          <w:szCs w:val="18"/>
        </w:rPr>
        <w:t xml:space="preserve"> </w:t>
      </w:r>
      <w:r w:rsidRPr="00D00265">
        <w:rPr>
          <w:sz w:val="18"/>
          <w:szCs w:val="18"/>
        </w:rPr>
        <w:t xml:space="preserve">This supports efficient conversion and redemption processing and helps the system meet the 250 </w:t>
      </w:r>
      <w:proofErr w:type="spellStart"/>
      <w:r w:rsidRPr="00D00265">
        <w:rPr>
          <w:sz w:val="18"/>
          <w:szCs w:val="18"/>
        </w:rPr>
        <w:t>ms</w:t>
      </w:r>
      <w:proofErr w:type="spellEnd"/>
      <w:r w:rsidRPr="00D00265">
        <w:rPr>
          <w:sz w:val="18"/>
          <w:szCs w:val="18"/>
        </w:rPr>
        <w:t xml:space="preserve"> performance target specified in NFR-001.</w:t>
      </w:r>
    </w:p>
    <w:p w14:paraId="3BCC8A76" w14:textId="77777777" w:rsidR="002C1355" w:rsidRDefault="002C1355" w:rsidP="00D00265">
      <w:pPr>
        <w:rPr>
          <w:sz w:val="18"/>
          <w:szCs w:val="18"/>
        </w:rPr>
      </w:pPr>
    </w:p>
    <w:p w14:paraId="67DE5F73" w14:textId="77777777" w:rsidR="002C1355" w:rsidRDefault="002C1355" w:rsidP="00D00265">
      <w:pPr>
        <w:rPr>
          <w:sz w:val="18"/>
          <w:szCs w:val="18"/>
        </w:rPr>
      </w:pPr>
    </w:p>
    <w:p w14:paraId="0C8BD648" w14:textId="30FE9C46" w:rsidR="002C1355" w:rsidRPr="00D00265" w:rsidRDefault="002C1355" w:rsidP="00D00265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32BDF5A2" wp14:editId="26DE16EA">
            <wp:extent cx="6645910" cy="4096385"/>
            <wp:effectExtent l="0" t="0" r="2540" b="0"/>
            <wp:docPr id="18189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2975" name="Picture 1818912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355" w:rsidRPr="00D00265" w:rsidSect="00D002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C4F"/>
    <w:multiLevelType w:val="multilevel"/>
    <w:tmpl w:val="2C9C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53F8"/>
    <w:multiLevelType w:val="multilevel"/>
    <w:tmpl w:val="1910C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968CB"/>
    <w:multiLevelType w:val="multilevel"/>
    <w:tmpl w:val="FDEE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66B6A"/>
    <w:multiLevelType w:val="multilevel"/>
    <w:tmpl w:val="3CFE4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0555F"/>
    <w:multiLevelType w:val="multilevel"/>
    <w:tmpl w:val="CE88C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45CC4"/>
    <w:multiLevelType w:val="multilevel"/>
    <w:tmpl w:val="19EE4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01BA7"/>
    <w:multiLevelType w:val="multilevel"/>
    <w:tmpl w:val="325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C0CA7"/>
    <w:multiLevelType w:val="multilevel"/>
    <w:tmpl w:val="447CB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566479">
    <w:abstractNumId w:val="0"/>
  </w:num>
  <w:num w:numId="2" w16cid:durableId="1833451323">
    <w:abstractNumId w:val="6"/>
  </w:num>
  <w:num w:numId="3" w16cid:durableId="1989632698">
    <w:abstractNumId w:val="7"/>
  </w:num>
  <w:num w:numId="4" w16cid:durableId="1405255223">
    <w:abstractNumId w:val="5"/>
  </w:num>
  <w:num w:numId="5" w16cid:durableId="687559729">
    <w:abstractNumId w:val="4"/>
  </w:num>
  <w:num w:numId="6" w16cid:durableId="2141259067">
    <w:abstractNumId w:val="3"/>
  </w:num>
  <w:num w:numId="7" w16cid:durableId="63921538">
    <w:abstractNumId w:val="2"/>
  </w:num>
  <w:num w:numId="8" w16cid:durableId="28508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33"/>
    <w:rsid w:val="0001202A"/>
    <w:rsid w:val="002C1355"/>
    <w:rsid w:val="00401AE4"/>
    <w:rsid w:val="004407AE"/>
    <w:rsid w:val="00652D33"/>
    <w:rsid w:val="00D0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2DCA"/>
  <w15:chartTrackingRefBased/>
  <w15:docId w15:val="{07D5063D-8DCE-4382-92E8-2EE2B1D4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Saikavin S</dc:creator>
  <cp:keywords/>
  <dc:description/>
  <cp:lastModifiedBy>Saikavin S</cp:lastModifiedBy>
  <cp:revision>3</cp:revision>
  <dcterms:created xsi:type="dcterms:W3CDTF">2026-09-28T17:46:00Z</dcterms:created>
  <dcterms:modified xsi:type="dcterms:W3CDTF">2026-09-28T17:56:00Z</dcterms:modified>
</cp:coreProperties>
</file>