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6C84" w14:textId="2DBDC69F" w:rsidR="004B7A8B" w:rsidRDefault="004B7A8B">
      <w:pPr>
        <w:pStyle w:val="Heading1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PES1UG24CS402</w:t>
      </w:r>
    </w:p>
    <w:p w14:paraId="242BA478" w14:textId="1CA7AF2A" w:rsidR="004B7A8B" w:rsidRDefault="004B7A8B">
      <w:pPr>
        <w:pStyle w:val="Heading1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SAIKAVIN S</w:t>
      </w:r>
    </w:p>
    <w:p w14:paraId="243C15D1" w14:textId="77777777" w:rsidR="004B7A8B" w:rsidRDefault="004B7A8B">
      <w:pPr>
        <w:pStyle w:val="Heading1"/>
        <w:rPr>
          <w:rFonts w:asciiTheme="majorHAnsi" w:hAnsiTheme="majorHAnsi" w:cstheme="majorHAnsi"/>
          <w:color w:val="000000" w:themeColor="text1"/>
        </w:rPr>
      </w:pPr>
    </w:p>
    <w:p w14:paraId="62B4AA33" w14:textId="7D1679B1" w:rsidR="00E16276" w:rsidRPr="004B7A8B" w:rsidRDefault="00000000">
      <w:pPr>
        <w:pStyle w:val="Heading1"/>
        <w:rPr>
          <w:rFonts w:asciiTheme="majorHAnsi" w:hAnsiTheme="majorHAnsi" w:cstheme="majorHAnsi"/>
          <w:color w:val="000000" w:themeColor="text1"/>
        </w:rPr>
      </w:pPr>
      <w:r w:rsidRPr="004B7A8B">
        <w:rPr>
          <w:rFonts w:asciiTheme="majorHAnsi" w:hAnsiTheme="majorHAnsi" w:cstheme="majorHAnsi"/>
          <w:color w:val="000000" w:themeColor="text1"/>
        </w:rPr>
        <w:t>Lab 1 – Requirements Table</w:t>
      </w:r>
    </w:p>
    <w:p w14:paraId="47F2568C" w14:textId="22C866A4" w:rsidR="00E16276" w:rsidRPr="004B7A8B" w:rsidRDefault="00000000">
      <w:pPr>
        <w:spacing w:after="200"/>
        <w:rPr>
          <w:rFonts w:asciiTheme="majorHAnsi" w:hAnsiTheme="majorHAnsi" w:cstheme="majorHAnsi"/>
        </w:rPr>
      </w:pPr>
      <w:r w:rsidRPr="004B7A8B">
        <w:rPr>
          <w:rFonts w:asciiTheme="majorHAnsi" w:hAnsiTheme="majorHAnsi" w:cstheme="majorHAnsi"/>
          <w:color w:val="555555"/>
        </w:rPr>
        <w:t>Problem Statement #34: Digital Gift Card &amp; Loyalty Point Exchange | Actors: Account Holder, Merchant Partner, Fraud Monitoring System</w:t>
      </w:r>
    </w:p>
    <w:tbl>
      <w:tblPr>
        <w:tblStyle w:val="TableGrid"/>
        <w:tblW w:w="14447" w:type="dxa"/>
        <w:tblLook w:val="0000" w:firstRow="0" w:lastRow="0" w:firstColumn="0" w:lastColumn="0" w:noHBand="0" w:noVBand="0"/>
      </w:tblPr>
      <w:tblGrid>
        <w:gridCol w:w="903"/>
        <w:gridCol w:w="1304"/>
        <w:gridCol w:w="4314"/>
        <w:gridCol w:w="903"/>
        <w:gridCol w:w="4214"/>
        <w:gridCol w:w="2809"/>
      </w:tblGrid>
      <w:tr w:rsidR="00E16276" w:rsidRPr="004B7A8B" w14:paraId="09CC685C" w14:textId="77777777" w:rsidTr="004B7A8B">
        <w:trPr>
          <w:trHeight w:val="247"/>
        </w:trPr>
        <w:tc>
          <w:tcPr>
            <w:tcW w:w="903" w:type="dxa"/>
          </w:tcPr>
          <w:p w14:paraId="36EF018A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Req</w:t>
            </w:r>
            <w:proofErr w:type="spellEnd"/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 xml:space="preserve"> ID</w:t>
            </w:r>
          </w:p>
        </w:tc>
        <w:tc>
          <w:tcPr>
            <w:tcW w:w="1304" w:type="dxa"/>
          </w:tcPr>
          <w:p w14:paraId="0A1AEC52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Type</w:t>
            </w:r>
          </w:p>
        </w:tc>
        <w:tc>
          <w:tcPr>
            <w:tcW w:w="4314" w:type="dxa"/>
          </w:tcPr>
          <w:p w14:paraId="45E8A974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903" w:type="dxa"/>
          </w:tcPr>
          <w:p w14:paraId="09B9B2AB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Priority</w:t>
            </w:r>
          </w:p>
        </w:tc>
        <w:tc>
          <w:tcPr>
            <w:tcW w:w="4214" w:type="dxa"/>
          </w:tcPr>
          <w:p w14:paraId="3407F056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Acceptance Criteria</w:t>
            </w:r>
          </w:p>
        </w:tc>
        <w:tc>
          <w:tcPr>
            <w:tcW w:w="2809" w:type="dxa"/>
          </w:tcPr>
          <w:p w14:paraId="2F9BDF25" w14:textId="77777777" w:rsidR="00E16276" w:rsidRPr="004B7A8B" w:rsidRDefault="00000000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4B7A8B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18"/>
                <w:szCs w:val="18"/>
              </w:rPr>
              <w:t>Rationale</w:t>
            </w:r>
          </w:p>
        </w:tc>
      </w:tr>
      <w:tr w:rsidR="00E16276" w:rsidRPr="004B7A8B" w14:paraId="2776CE7D" w14:textId="77777777" w:rsidTr="004B7A8B">
        <w:trPr>
          <w:trHeight w:val="742"/>
        </w:trPr>
        <w:tc>
          <w:tcPr>
            <w:tcW w:w="903" w:type="dxa"/>
          </w:tcPr>
          <w:p w14:paraId="01CC43B4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1304" w:type="dxa"/>
          </w:tcPr>
          <w:p w14:paraId="144DFF4C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0F47D537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validate merchant loyalty points, convert them into universal exchange tokens, and generate single-use digital voucher codes.</w:t>
            </w:r>
          </w:p>
        </w:tc>
        <w:tc>
          <w:tcPr>
            <w:tcW w:w="903" w:type="dxa"/>
          </w:tcPr>
          <w:p w14:paraId="51CB57DA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00F61ADE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Voucher code generated with cryptographic checksum. Fail: Expired or duplicate voucher redeemed.</w:t>
            </w:r>
          </w:p>
        </w:tc>
        <w:tc>
          <w:tcPr>
            <w:tcW w:w="2809" w:type="dxa"/>
          </w:tcPr>
          <w:p w14:paraId="7C7173DD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Core exchange + anti-fraud mechanism; foundation of the platform's value proposition.</w:t>
            </w:r>
          </w:p>
        </w:tc>
      </w:tr>
      <w:tr w:rsidR="00E16276" w:rsidRPr="004B7A8B" w14:paraId="11B1CC0E" w14:textId="77777777" w:rsidTr="004B7A8B">
        <w:trPr>
          <w:trHeight w:val="989"/>
        </w:trPr>
        <w:tc>
          <w:tcPr>
            <w:tcW w:w="903" w:type="dxa"/>
          </w:tcPr>
          <w:p w14:paraId="13DC5154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1304" w:type="dxa"/>
          </w:tcPr>
          <w:p w14:paraId="0628B4AC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62A7E3F4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allow an Account Holder to link and aggregate loyalty point balances from multiple registered Merchant Partners into a single dashboard view.</w:t>
            </w:r>
          </w:p>
        </w:tc>
        <w:tc>
          <w:tcPr>
            <w:tcW w:w="903" w:type="dxa"/>
          </w:tcPr>
          <w:p w14:paraId="5DE0EDB1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190B8847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All linked merchant balances display within one sync cycle and match source values exactly. Fail: Any linked balance is missing or mismatched.</w:t>
            </w:r>
          </w:p>
        </w:tc>
        <w:tc>
          <w:tcPr>
            <w:tcW w:w="2809" w:type="dxa"/>
          </w:tcPr>
          <w:p w14:paraId="6A77D1A0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Aggregation across merchants is the entry point of the user journey and a stated platform capability.</w:t>
            </w:r>
          </w:p>
        </w:tc>
      </w:tr>
      <w:tr w:rsidR="00E16276" w:rsidRPr="004B7A8B" w14:paraId="5CB3072A" w14:textId="77777777" w:rsidTr="004B7A8B">
        <w:trPr>
          <w:trHeight w:val="989"/>
        </w:trPr>
        <w:tc>
          <w:tcPr>
            <w:tcW w:w="903" w:type="dxa"/>
          </w:tcPr>
          <w:p w14:paraId="6CEE0242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1304" w:type="dxa"/>
          </w:tcPr>
          <w:p w14:paraId="01D9A1A1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151A5683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allow an Account Holder to convert aggregated loyalty points into universal exchange credits using the current merchant-specific dynamic conversion rate.</w:t>
            </w:r>
          </w:p>
        </w:tc>
        <w:tc>
          <w:tcPr>
            <w:tcW w:w="903" w:type="dxa"/>
          </w:tcPr>
          <w:p w14:paraId="2E759BD6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70E82CB8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Credited amount equals points × published rate at time of conversion, within ±0.01 credit rounding. Fail: Any mismatch or use of a stale rate.</w:t>
            </w:r>
          </w:p>
        </w:tc>
        <w:tc>
          <w:tcPr>
            <w:tcW w:w="2809" w:type="dxa"/>
          </w:tcPr>
          <w:p w14:paraId="16086FBB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Directly implements the 'dynamic rate conversion' requirement stated in the problem brief.</w:t>
            </w:r>
          </w:p>
        </w:tc>
      </w:tr>
      <w:tr w:rsidR="00E16276" w:rsidRPr="004B7A8B" w14:paraId="3B43F0E2" w14:textId="77777777" w:rsidTr="004B7A8B">
        <w:trPr>
          <w:trHeight w:val="989"/>
        </w:trPr>
        <w:tc>
          <w:tcPr>
            <w:tcW w:w="903" w:type="dxa"/>
          </w:tcPr>
          <w:p w14:paraId="5B26B2DE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1304" w:type="dxa"/>
          </w:tcPr>
          <w:p w14:paraId="76A8DBF7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470B9375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The system shall allow an Account Holder to browse and filter the digital gift card </w:t>
            </w:r>
            <w:proofErr w:type="spellStart"/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catalog</w:t>
            </w:r>
            <w:proofErr w:type="spellEnd"/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 by merchant, denomination, and category before redemption.</w:t>
            </w:r>
          </w:p>
        </w:tc>
        <w:tc>
          <w:tcPr>
            <w:tcW w:w="903" w:type="dxa"/>
          </w:tcPr>
          <w:p w14:paraId="2224CBBE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214" w:type="dxa"/>
          </w:tcPr>
          <w:p w14:paraId="78A90280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Filtered results contain only cards matching all selected criteria. Fail: Any non-matching card appears in filtered results.</w:t>
            </w:r>
          </w:p>
        </w:tc>
        <w:tc>
          <w:tcPr>
            <w:tcW w:w="2809" w:type="dxa"/>
          </w:tcPr>
          <w:p w14:paraId="06D1D779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Supports informed redemption decisions and reduces failed/abandoned redemption attempts.</w:t>
            </w:r>
          </w:p>
        </w:tc>
      </w:tr>
      <w:tr w:rsidR="00E16276" w:rsidRPr="004B7A8B" w14:paraId="6E93351F" w14:textId="77777777" w:rsidTr="004B7A8B">
        <w:trPr>
          <w:trHeight w:val="978"/>
        </w:trPr>
        <w:tc>
          <w:tcPr>
            <w:tcW w:w="903" w:type="dxa"/>
          </w:tcPr>
          <w:p w14:paraId="387CE339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FR-005</w:t>
            </w:r>
          </w:p>
        </w:tc>
        <w:tc>
          <w:tcPr>
            <w:tcW w:w="1304" w:type="dxa"/>
          </w:tcPr>
          <w:p w14:paraId="2A25C25F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Functional</w:t>
            </w:r>
          </w:p>
        </w:tc>
        <w:tc>
          <w:tcPr>
            <w:tcW w:w="4314" w:type="dxa"/>
          </w:tcPr>
          <w:p w14:paraId="059E86FD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lock each generated voucher code to the redeeming Account Holder and invalidate it immediately after first successful redemption or upon expiry, whichever occurs first.</w:t>
            </w:r>
          </w:p>
        </w:tc>
        <w:tc>
          <w:tcPr>
            <w:tcW w:w="903" w:type="dxa"/>
          </w:tcPr>
          <w:p w14:paraId="2DAD4E89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6CAAA134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A second redemption attempt using the same voucher code is rejected with an error. Fail: A redeemed or expired voucher is accepted.</w:t>
            </w:r>
          </w:p>
        </w:tc>
        <w:tc>
          <w:tcPr>
            <w:tcW w:w="2809" w:type="dxa"/>
          </w:tcPr>
          <w:p w14:paraId="68F73403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Directly implements the 'anti-fraud voucher locking' requirement stated in the problem brief.</w:t>
            </w:r>
          </w:p>
        </w:tc>
      </w:tr>
      <w:tr w:rsidR="00E16276" w:rsidRPr="004B7A8B" w14:paraId="6956FC6F" w14:textId="77777777" w:rsidTr="004B7A8B">
        <w:trPr>
          <w:trHeight w:val="742"/>
        </w:trPr>
        <w:tc>
          <w:tcPr>
            <w:tcW w:w="903" w:type="dxa"/>
          </w:tcPr>
          <w:p w14:paraId="2069E4E5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1304" w:type="dxa"/>
          </w:tcPr>
          <w:p w14:paraId="197ED7C5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Nonfunctional – Performance &amp; Security</w:t>
            </w:r>
          </w:p>
        </w:tc>
        <w:tc>
          <w:tcPr>
            <w:tcW w:w="4314" w:type="dxa"/>
          </w:tcPr>
          <w:p w14:paraId="32286B59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Point conversion and gift card redemption operations must process within 250 </w:t>
            </w:r>
            <w:proofErr w:type="spellStart"/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ms</w:t>
            </w:r>
            <w:proofErr w:type="spellEnd"/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 with zero ledger balance drift.</w:t>
            </w:r>
          </w:p>
        </w:tc>
        <w:tc>
          <w:tcPr>
            <w:tcW w:w="903" w:type="dxa"/>
          </w:tcPr>
          <w:p w14:paraId="53AAF372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604A4C81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Pass: Benchmark tests confirm ≤250 </w:t>
            </w:r>
            <w:proofErr w:type="spellStart"/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ms</w:t>
            </w:r>
            <w:proofErr w:type="spellEnd"/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 latency and zero balance drift under simulated peak load. Fail: Latency exceeds 250 </w:t>
            </w:r>
            <w:proofErr w:type="spellStart"/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ms</w:t>
            </w:r>
            <w:proofErr w:type="spellEnd"/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 xml:space="preserve"> or any drift is detected.</w:t>
            </w:r>
          </w:p>
        </w:tc>
        <w:tc>
          <w:tcPr>
            <w:tcW w:w="2809" w:type="dxa"/>
          </w:tcPr>
          <w:p w14:paraId="1D65E6E1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Financial-grade responsiveness and ledger integrity are essential to user trust in a points/credit system.</w:t>
            </w:r>
          </w:p>
        </w:tc>
      </w:tr>
      <w:tr w:rsidR="00E16276" w:rsidRPr="004B7A8B" w14:paraId="5B1CA39C" w14:textId="77777777" w:rsidTr="004B7A8B">
        <w:trPr>
          <w:trHeight w:val="989"/>
        </w:trPr>
        <w:tc>
          <w:tcPr>
            <w:tcW w:w="903" w:type="dxa"/>
          </w:tcPr>
          <w:p w14:paraId="491F1F17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1304" w:type="dxa"/>
          </w:tcPr>
          <w:p w14:paraId="49F89D5B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Nonfunctional – Reliability &amp; Availability</w:t>
            </w:r>
          </w:p>
        </w:tc>
        <w:tc>
          <w:tcPr>
            <w:tcW w:w="4314" w:type="dxa"/>
          </w:tcPr>
          <w:p w14:paraId="61B98A64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The system shall maintain at least 99.9% monthly uptime for point conversion and gift card redemption services.</w:t>
            </w:r>
          </w:p>
        </w:tc>
        <w:tc>
          <w:tcPr>
            <w:tcW w:w="903" w:type="dxa"/>
          </w:tcPr>
          <w:p w14:paraId="25FF1278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4214" w:type="dxa"/>
          </w:tcPr>
          <w:p w14:paraId="45744DE6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Pass: Monthly uptime logs show ≥99.9% availability. Fail: Downtime exceeds 0.1% of the monthly measurement window.</w:t>
            </w:r>
          </w:p>
        </w:tc>
        <w:tc>
          <w:tcPr>
            <w:tcW w:w="2809" w:type="dxa"/>
          </w:tcPr>
          <w:p w14:paraId="19DD5543" w14:textId="77777777" w:rsidR="00E16276" w:rsidRPr="004B7A8B" w:rsidRDefault="00000000">
            <w:pPr>
              <w:rPr>
                <w:rFonts w:asciiTheme="majorHAnsi" w:hAnsiTheme="majorHAnsi" w:cstheme="majorHAnsi"/>
              </w:rPr>
            </w:pPr>
            <w:r w:rsidRPr="004B7A8B">
              <w:rPr>
                <w:rFonts w:asciiTheme="majorHAnsi" w:eastAsia="Calibri" w:hAnsiTheme="majorHAnsi" w:cstheme="majorHAnsi"/>
                <w:color w:val="000000"/>
                <w:sz w:val="18"/>
                <w:szCs w:val="18"/>
              </w:rPr>
              <w:t>Redemption is a financial-adjacent, time-sensitive action; extended downtime directly causes user-facing transaction failure.</w:t>
            </w:r>
          </w:p>
        </w:tc>
      </w:tr>
    </w:tbl>
    <w:p w14:paraId="74BD8151" w14:textId="77777777" w:rsidR="00F9069A" w:rsidRPr="004B7A8B" w:rsidRDefault="00F9069A">
      <w:pPr>
        <w:rPr>
          <w:rFonts w:asciiTheme="majorHAnsi" w:hAnsiTheme="majorHAnsi" w:cstheme="majorHAnsi"/>
        </w:rPr>
      </w:pPr>
    </w:p>
    <w:sectPr w:rsidR="00F9069A" w:rsidRPr="004B7A8B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01A6"/>
    <w:multiLevelType w:val="hybridMultilevel"/>
    <w:tmpl w:val="FFA4EA0E"/>
    <w:lvl w:ilvl="0" w:tplc="BC70B84E">
      <w:start w:val="1"/>
      <w:numFmt w:val="bullet"/>
      <w:lvlText w:val="●"/>
      <w:lvlJc w:val="left"/>
      <w:pPr>
        <w:ind w:left="720" w:hanging="360"/>
      </w:pPr>
    </w:lvl>
    <w:lvl w:ilvl="1" w:tplc="19680C28">
      <w:start w:val="1"/>
      <w:numFmt w:val="bullet"/>
      <w:lvlText w:val="○"/>
      <w:lvlJc w:val="left"/>
      <w:pPr>
        <w:ind w:left="1440" w:hanging="360"/>
      </w:pPr>
    </w:lvl>
    <w:lvl w:ilvl="2" w:tplc="CC1289F2">
      <w:start w:val="1"/>
      <w:numFmt w:val="bullet"/>
      <w:lvlText w:val="■"/>
      <w:lvlJc w:val="left"/>
      <w:pPr>
        <w:ind w:left="2160" w:hanging="360"/>
      </w:pPr>
    </w:lvl>
    <w:lvl w:ilvl="3" w:tplc="6E52E090">
      <w:start w:val="1"/>
      <w:numFmt w:val="bullet"/>
      <w:lvlText w:val="●"/>
      <w:lvlJc w:val="left"/>
      <w:pPr>
        <w:ind w:left="2880" w:hanging="360"/>
      </w:pPr>
    </w:lvl>
    <w:lvl w:ilvl="4" w:tplc="989E4CE2">
      <w:start w:val="1"/>
      <w:numFmt w:val="bullet"/>
      <w:lvlText w:val="○"/>
      <w:lvlJc w:val="left"/>
      <w:pPr>
        <w:ind w:left="3600" w:hanging="360"/>
      </w:pPr>
    </w:lvl>
    <w:lvl w:ilvl="5" w:tplc="D58E6568">
      <w:start w:val="1"/>
      <w:numFmt w:val="bullet"/>
      <w:lvlText w:val="■"/>
      <w:lvlJc w:val="left"/>
      <w:pPr>
        <w:ind w:left="4320" w:hanging="360"/>
      </w:pPr>
    </w:lvl>
    <w:lvl w:ilvl="6" w:tplc="DAC08902">
      <w:start w:val="1"/>
      <w:numFmt w:val="bullet"/>
      <w:lvlText w:val="●"/>
      <w:lvlJc w:val="left"/>
      <w:pPr>
        <w:ind w:left="5040" w:hanging="360"/>
      </w:pPr>
    </w:lvl>
    <w:lvl w:ilvl="7" w:tplc="92E4AEE4">
      <w:start w:val="1"/>
      <w:numFmt w:val="bullet"/>
      <w:lvlText w:val="●"/>
      <w:lvlJc w:val="left"/>
      <w:pPr>
        <w:ind w:left="5760" w:hanging="360"/>
      </w:pPr>
    </w:lvl>
    <w:lvl w:ilvl="8" w:tplc="CE3C819A">
      <w:start w:val="1"/>
      <w:numFmt w:val="bullet"/>
      <w:lvlText w:val="●"/>
      <w:lvlJc w:val="left"/>
      <w:pPr>
        <w:ind w:left="6480" w:hanging="360"/>
      </w:pPr>
    </w:lvl>
  </w:abstractNum>
  <w:num w:numId="1" w16cid:durableId="955021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276"/>
    <w:rsid w:val="004B7A8B"/>
    <w:rsid w:val="00633389"/>
    <w:rsid w:val="00E16276"/>
    <w:rsid w:val="00F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7C5FF"/>
  <w15:docId w15:val="{15E306AB-06A8-46DC-9DCA-E2FF785C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4B7A8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B7A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7ADBC-929A-4B2B-A56E-8F94B475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Saikavin S</cp:lastModifiedBy>
  <cp:revision>2</cp:revision>
  <dcterms:created xsi:type="dcterms:W3CDTF">2026-08-25T05:47:00Z</dcterms:created>
  <dcterms:modified xsi:type="dcterms:W3CDTF">2026-08-25T06:36:00Z</dcterms:modified>
</cp:coreProperties>
</file>