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manual (DOCX)</w:t>
      </w:r>
    </w:p>
    <w:p>
      <w:r>
        <w:t>Intro paragraph for Phase 28 DOCX extraction.</w:t>
      </w:r>
    </w:p>
    <w:p>
      <w:pPr>
        <w:pStyle w:val="Heading2"/>
      </w:pPr>
      <w:r>
        <w:t>Tables and metrics</w:t>
      </w:r>
    </w:p>
    <w:p>
      <w:r>
        <w:t>p99 latency must stay under 400 ms when measured at the edge.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p99 latency</w:t>
            </w:r>
          </w:p>
        </w:tc>
        <w:tc>
          <w:tcPr>
            <w:tcW w:type="dxa" w:w="4320"/>
          </w:tcPr>
          <w:p>
            <w:r>
              <w:t>400ms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SRE on-call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