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socket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requests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Create a TCP/IP socket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sock = socket.socket(socket.AF_INET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socket.SOCK_STREAM)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Bind the socket to the port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server_address = 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f'starting up on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server_address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sock.bind(server_address)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Replace YOUR_API_KEY with your actual ThingSpeak API key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API_KEY =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'74TGOQPXXN3NGXQ1'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Listen for incoming connections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sock.listen(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Wait for a connection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'waiting for a connection'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connection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client_address = sock.accept()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f'connection from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client_address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'VLSI Project Team Rostock'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'message from esp32 connected to microblaze'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Receive the data in small chunks and retransmit it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data = connection.recv(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Convert the received data to a string and remove control characters and non-printable characters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str_data = data.decode().replace(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\x00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).replace(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Print the received data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f'Received data: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str_data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Send the received data to Field 2 of a ThingSpeak channel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 = requests.post(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f'https://api.thingspeak.com/update?api_key=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&amp;field2=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str_data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Check the status code of the response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response.status_code 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'send to cloud ok'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If there is no more data to be received, break out of the loop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data: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'no more data from'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client_address)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break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finally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Clean up the connection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connection.close()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