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160"/>
        <w:jc w:val="center"/>
      </w:pPr>
      <w:r>
        <w:rPr>
          <w:rFonts w:ascii="Arial" w:cs="Arial" w:eastAsia="Arial" w:hAnsi="Arial"/>
          <w:b/>
          <w:bCs/>
          <w:color w:val="E8590C"/>
          <w:sz w:val="72"/>
          <w:szCs w:val="72"/>
        </w:rPr>
        <w:t xml:space="preserve">SolarSite-India</w:t>
      </w:r>
    </w:p>
    <w:p>
      <w:pPr>
        <w:spacing w:after="120"/>
        <w:jc w:val="center"/>
      </w:pPr>
      <w:r>
        <w:rPr>
          <w:rFonts w:ascii="Arial" w:cs="Arial" w:eastAsia="Arial" w:hAnsi="Arial"/>
          <w:color w:val="1E293B"/>
          <w:sz w:val="36"/>
          <w:szCs w:val="36"/>
        </w:rPr>
        <w:t xml:space="preserve">Complete Project Documentation</w:t>
      </w:r>
    </w:p>
    <w:p>
      <w:pPr>
        <w:spacing w:after="800"/>
        <w:jc w:val="center"/>
      </w:pPr>
      <w:r>
        <w:rPr>
          <w:rFonts w:ascii="Arial" w:cs="Arial" w:eastAsia="Arial" w:hAnsi="Arial"/>
          <w:i/>
          <w:iCs/>
          <w:color w:val="0E7490"/>
          <w:sz w:val="22"/>
          <w:szCs w:val="22"/>
        </w:rPr>
        <w:t xml:space="preserve">A Multi-Scale ML Framework for Nationwide Solar Farm &amp; Rooftop Suitability Assessment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BD5E1" w:sz="1"/>
              <w:left w:val="single" w:color="CBD5E1" w:sz="1"/>
              <w:bottom w:val="single" w:color="CBD5E1" w:sz="1"/>
              <w:right w:val="single" w:color="CBD5E1" w:sz="1"/>
            </w:tcBorders>
            <w:shd w:fill="0F172A"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Field</w:t>
            </w:r>
          </w:p>
        </w:tc>
        <w:tc>
          <w:tcPr>
            <w:tcW w:type="dxa" w:w="6360"/>
            <w:tcBorders>
              <w:top w:val="single" w:color="CBD5E1" w:sz="1"/>
              <w:left w:val="single" w:color="CBD5E1" w:sz="1"/>
              <w:bottom w:val="single" w:color="CBD5E1" w:sz="1"/>
              <w:right w:val="single" w:color="CBD5E1" w:sz="1"/>
            </w:tcBorders>
            <w:shd w:fill="0F172A"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Value</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Version</w:t>
            </w:r>
          </w:p>
        </w:tc>
        <w:tc>
          <w:tcPr>
            <w:tcW w:type="dxa" w:w="63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3.0 — Post Mentor Review</w:t>
            </w:r>
          </w:p>
        </w:tc>
      </w:tr>
      <w:tr>
        <w:tc>
          <w:tcPr>
            <w:tcW w:type="dxa" w:w="30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Date</w:t>
            </w:r>
          </w:p>
        </w:tc>
        <w:tc>
          <w:tcPr>
            <w:tcW w:type="dxa" w:w="63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March 2026</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Status</w:t>
            </w:r>
          </w:p>
        </w:tc>
        <w:tc>
          <w:tcPr>
            <w:tcW w:type="dxa" w:w="63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Stages 0–2 Complete | Stage 3 In Progress</w:t>
            </w:r>
          </w:p>
        </w:tc>
      </w:tr>
      <w:tr>
        <w:tc>
          <w:tcPr>
            <w:tcW w:type="dxa" w:w="30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Team</w:t>
            </w:r>
          </w:p>
        </w:tc>
        <w:tc>
          <w:tcPr>
            <w:tcW w:type="dxa" w:w="63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5 Members (Research, Data, ML, Backend, Frontend)</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Primary State</w:t>
            </w:r>
          </w:p>
        </w:tc>
        <w:tc>
          <w:tcPr>
            <w:tcW w:type="dxa" w:w="63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Telangana (33 districts) + Andhra Pradesh (28 districts)</w:t>
            </w:r>
          </w:p>
        </w:tc>
      </w:tr>
      <w:tr>
        <w:tc>
          <w:tcPr>
            <w:tcW w:type="dxa" w:w="30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Target Journal</w:t>
            </w:r>
          </w:p>
        </w:tc>
        <w:tc>
          <w:tcPr>
            <w:tcW w:type="dxa" w:w="63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Applied Energy (IF ~11, Q1) or Renewable Energy (IF ~9)</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Project Duration</w:t>
            </w:r>
          </w:p>
        </w:tc>
        <w:tc>
          <w:tcPr>
            <w:tcW w:type="dxa" w:w="63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16 Weeks + 2 Months Paper Writing</w:t>
            </w:r>
          </w:p>
        </w:tc>
      </w:tr>
    </w:tbl>
    <w:p>
      <w:r>
        <w:br w:type="page"/>
      </w:r>
    </w:p>
    <w:p>
      <w:pPr>
        <w:pStyle w:val="Heading1"/>
        <w:pBdr>
          <w:bottom w:val="single" w:color="E8590C" w:sz="8" w:space="1"/>
        </w:pBdr>
        <w:spacing w:before="480" w:after="200"/>
      </w:pPr>
      <w:r>
        <w:rPr>
          <w:rFonts w:ascii="Arial" w:cs="Arial" w:eastAsia="Arial" w:hAnsi="Arial"/>
          <w:b/>
          <w:bCs/>
          <w:color w:val="E8590C"/>
          <w:sz w:val="36"/>
          <w:szCs w:val="36"/>
        </w:rPr>
        <w:t xml:space="preserve">PART 1 — EXECUTIVE SUMMARY &amp; PROBLEM STATEMENT</w:t>
      </w:r>
    </w:p>
    <w:p>
      <w:pPr>
        <w:pStyle w:val="Heading2"/>
        <w:spacing w:before="360" w:after="160"/>
      </w:pPr>
      <w:r>
        <w:rPr>
          <w:rFonts w:ascii="Arial" w:cs="Arial" w:eastAsia="Arial" w:hAnsi="Arial"/>
          <w:b/>
          <w:bCs/>
          <w:color w:val="1E293B"/>
          <w:sz w:val="28"/>
          <w:szCs w:val="28"/>
        </w:rPr>
        <w:t xml:space="preserve">1.1  What SolarSite-India Is</w:t>
      </w:r>
    </w:p>
    <w:p>
      <w:pPr>
        <w:spacing w:after="120"/>
      </w:pPr>
      <w:r>
        <w:rPr>
          <w:rFonts w:ascii="Arial" w:cs="Arial" w:eastAsia="Arial" w:hAnsi="Arial"/>
          <w:color w:val="1E293B"/>
          <w:sz w:val="20"/>
          <w:szCs w:val="20"/>
        </w:rPr>
        <w:t xml:space="preserve">SolarSite-India is an open-source, AI-powered platform that answers a single critical question for India's clean energy transition: where exactly should the next solar farm be built? The platform combines machine learning, geographic information systems (GIS), and verified energy data to rank 30,000+ candidate sites across India and assess solar potential at both utility-scale (50–500 MW farms) and rooftop (1–100 kW residential/commercial) levels.</w:t>
      </w:r>
    </w:p>
    <w:p>
      <w:pPr>
        <w:spacing w:after="120"/>
      </w:pPr>
      <w:r>
        <w:rPr>
          <w:rFonts w:ascii="Arial" w:cs="Arial" w:eastAsia="Arial" w:hAnsi="Arial"/>
          <w:color w:val="1E293B"/>
          <w:sz w:val="20"/>
          <w:szCs w:val="20"/>
        </w:rPr>
        <w:t xml:space="preserve">The one-sentence pitch: India needs 4,000+ solar farms to reach its 500 GW renewable energy target by 2030 — SolarSite-India uses 42 features and an ML ensemble to tell developers, governments, and researchers exactly where to build them, reducing prospecting time from 12 months to 2 weeks.</w:t>
      </w:r>
    </w:p>
    <w:p/>
    <w:p>
      <w:pPr>
        <w:pStyle w:val="Heading2"/>
        <w:spacing w:before="360" w:after="160"/>
      </w:pPr>
      <w:r>
        <w:rPr>
          <w:rFonts w:ascii="Arial" w:cs="Arial" w:eastAsia="Arial" w:hAnsi="Arial"/>
          <w:b/>
          <w:bCs/>
          <w:color w:val="1E293B"/>
          <w:sz w:val="28"/>
          <w:szCs w:val="28"/>
        </w:rPr>
        <w:t xml:space="preserve">1.2  Why This Matters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680"/>
        <w:gridCol w:w="3480"/>
      </w:tblGrid>
      <w:tr>
        <w:tc>
          <w:tcPr>
            <w:tcW w:type="dxa" w:w="2200"/>
            <w:tcBorders>
              <w:top w:val="single" w:color="CBD5E1" w:sz="1"/>
              <w:left w:val="single" w:color="CBD5E1" w:sz="1"/>
              <w:bottom w:val="single" w:color="CBD5E1" w:sz="1"/>
              <w:right w:val="single" w:color="CBD5E1" w:sz="1"/>
            </w:tcBorders>
            <w:shd w:fill="0F172A"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Stakeholder</w:t>
            </w:r>
          </w:p>
        </w:tc>
        <w:tc>
          <w:tcPr>
            <w:tcW w:type="dxa" w:w="3680"/>
            <w:tcBorders>
              <w:top w:val="single" w:color="CBD5E1" w:sz="1"/>
              <w:left w:val="single" w:color="CBD5E1" w:sz="1"/>
              <w:bottom w:val="single" w:color="CBD5E1" w:sz="1"/>
              <w:right w:val="single" w:color="CBD5E1" w:sz="1"/>
            </w:tcBorders>
            <w:shd w:fill="0F172A"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Current Pain</w:t>
            </w:r>
          </w:p>
        </w:tc>
        <w:tc>
          <w:tcPr>
            <w:tcW w:type="dxa" w:w="3480"/>
            <w:tcBorders>
              <w:top w:val="single" w:color="CBD5E1" w:sz="1"/>
              <w:left w:val="single" w:color="CBD5E1" w:sz="1"/>
              <w:bottom w:val="single" w:color="CBD5E1" w:sz="1"/>
              <w:right w:val="single" w:color="CBD5E1" w:sz="1"/>
            </w:tcBorders>
            <w:shd w:fill="0F172A"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What We Solve</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Solar Developers</w:t>
            </w:r>
          </w:p>
        </w:tc>
        <w:tc>
          <w:tcPr>
            <w:tcW w:type="dxa" w:w="368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6–12 months, ₹50–100L per site; 70% don't proceed</w:t>
            </w:r>
          </w:p>
        </w:tc>
        <w:tc>
          <w:tcPr>
            <w:tcW w:type="dxa" w:w="348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2-week initial screening; prioritise only viable sites</w:t>
            </w:r>
          </w:p>
        </w:tc>
      </w:tr>
      <w:tr>
        <w:tc>
          <w:tcPr>
            <w:tcW w:type="dxa" w:w="22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Government / MNRE</w:t>
            </w:r>
          </w:p>
        </w:tc>
        <w:tc>
          <w:tcPr>
            <w:tcW w:type="dxa" w:w="368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Reactive approvals; no optimal-zone database</w:t>
            </w:r>
          </w:p>
        </w:tc>
        <w:tc>
          <w:tcPr>
            <w:tcW w:type="dxa" w:w="348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Evidence-based deployment planning; proactive grid planning</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Researchers</w:t>
            </w:r>
          </w:p>
        </w:tc>
        <w:tc>
          <w:tcPr>
            <w:tcW w:type="dxa" w:w="368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No reproducible open framework; no validation</w:t>
            </w:r>
          </w:p>
        </w:tc>
        <w:tc>
          <w:tcPr>
            <w:tcW w:type="dxa" w:w="348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Open-source, validated (R²=0.88), citable methodology</w:t>
            </w:r>
          </w:p>
        </w:tc>
      </w:tr>
      <w:tr>
        <w:tc>
          <w:tcPr>
            <w:tcW w:type="dxa" w:w="22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Homeowners</w:t>
            </w:r>
          </w:p>
        </w:tc>
        <w:tc>
          <w:tcPr>
            <w:tcW w:type="dxa" w:w="368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Wildly varying quotes; no independent assessment</w:t>
            </w:r>
          </w:p>
        </w:tc>
        <w:tc>
          <w:tcPr>
            <w:tcW w:type="dxa" w:w="348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Instant rooftop suitability + payback estimate</w:t>
            </w:r>
          </w:p>
        </w:tc>
      </w:tr>
    </w:tbl>
    <w:p/>
    <w:p>
      <w:pPr>
        <w:pStyle w:val="Heading2"/>
        <w:spacing w:before="360" w:after="160"/>
      </w:pPr>
      <w:r>
        <w:rPr>
          <w:rFonts w:ascii="Arial" w:cs="Arial" w:eastAsia="Arial" w:hAnsi="Arial"/>
          <w:b/>
          <w:bCs/>
          <w:color w:val="1E293B"/>
          <w:sz w:val="28"/>
          <w:szCs w:val="28"/>
        </w:rPr>
        <w:t xml:space="preserve">1.3  Core Statistics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500"/>
        <w:gridCol w:w="4060"/>
      </w:tblGrid>
      <w:tr>
        <w:tc>
          <w:tcPr>
            <w:tcW w:type="dxa" w:w="2800"/>
            <w:tcBorders>
              <w:top w:val="single" w:color="CBD5E1" w:sz="1"/>
              <w:left w:val="single" w:color="CBD5E1" w:sz="1"/>
              <w:bottom w:val="single" w:color="CBD5E1" w:sz="1"/>
              <w:right w:val="single" w:color="CBD5E1" w:sz="1"/>
            </w:tcBorders>
            <w:shd w:fill="0F172A"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Metric</w:t>
            </w:r>
          </w:p>
        </w:tc>
        <w:tc>
          <w:tcPr>
            <w:tcW w:type="dxa" w:w="2500"/>
            <w:tcBorders>
              <w:top w:val="single" w:color="CBD5E1" w:sz="1"/>
              <w:left w:val="single" w:color="CBD5E1" w:sz="1"/>
              <w:bottom w:val="single" w:color="CBD5E1" w:sz="1"/>
              <w:right w:val="single" w:color="CBD5E1" w:sz="1"/>
            </w:tcBorders>
            <w:shd w:fill="0F172A"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Value</w:t>
            </w:r>
          </w:p>
        </w:tc>
        <w:tc>
          <w:tcPr>
            <w:tcW w:type="dxa" w:w="4060"/>
            <w:tcBorders>
              <w:top w:val="single" w:color="CBD5E1" w:sz="1"/>
              <w:left w:val="single" w:color="CBD5E1" w:sz="1"/>
              <w:bottom w:val="single" w:color="CBD5E1" w:sz="1"/>
              <w:right w:val="single" w:color="CBD5E1" w:sz="1"/>
            </w:tcBorders>
            <w:shd w:fill="0F172A"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Notes</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India's Solar Target</w:t>
            </w:r>
          </w:p>
        </w:tc>
        <w:tc>
          <w:tcPr>
            <w:tcW w:type="dxa" w:w="25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280 GW by 2030</w:t>
            </w:r>
          </w:p>
        </w:tc>
        <w:tc>
          <w:tcPr>
            <w:tcW w:type="dxa" w:w="40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Part of 500 GW total renewable target</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Current Solar Installed</w:t>
            </w:r>
          </w:p>
        </w:tc>
        <w:tc>
          <w:tcPr>
            <w:tcW w:type="dxa" w:w="25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~90 GW (2025)</w:t>
            </w:r>
          </w:p>
        </w:tc>
        <w:tc>
          <w:tcPr>
            <w:tcW w:type="dxa" w:w="40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Up from 70 GW; accelerating</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Gap to Fill</w:t>
            </w:r>
          </w:p>
        </w:tc>
        <w:tc>
          <w:tcPr>
            <w:tcW w:type="dxa" w:w="25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~190 GW</w:t>
            </w:r>
          </w:p>
        </w:tc>
        <w:tc>
          <w:tcPr>
            <w:tcW w:type="dxa" w:w="40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Equivalent to 1,900 × 100 MW farms</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Sites Analysed</w:t>
            </w:r>
          </w:p>
        </w:tc>
        <w:tc>
          <w:tcPr>
            <w:tcW w:type="dxa" w:w="25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30,000+ utility-scale</w:t>
            </w:r>
          </w:p>
        </w:tc>
        <w:tc>
          <w:tcPr>
            <w:tcW w:type="dxa" w:w="40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5 km grid across India</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Features per Site</w:t>
            </w:r>
          </w:p>
        </w:tc>
        <w:tc>
          <w:tcPr>
            <w:tcW w:type="dxa" w:w="25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42 parameters</w:t>
            </w:r>
          </w:p>
        </w:tc>
        <w:tc>
          <w:tcPr>
            <w:tcW w:type="dxa" w:w="40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Solar, terrain, land, infra, climate, economic</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ML Ensemble Accuracy</w:t>
            </w:r>
          </w:p>
        </w:tc>
        <w:tc>
          <w:tcPr>
            <w:tcW w:type="dxa" w:w="25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R² = 0.88, MAPE = 11.5%</w:t>
            </w:r>
          </w:p>
        </w:tc>
        <w:tc>
          <w:tcPr>
            <w:tcW w:type="dxa" w:w="40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Validated on 127 existing plants</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District Dataset</w:t>
            </w:r>
          </w:p>
        </w:tc>
        <w:tc>
          <w:tcPr>
            <w:tcW w:type="dxa" w:w="25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61 districts (TG 33 + AP 28)</w:t>
            </w:r>
          </w:p>
        </w:tc>
        <w:tc>
          <w:tcPr>
            <w:tcW w:type="dxa" w:w="40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Demand + solar capacity, FY2023-24 / FY2022-23</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Budget</w:t>
            </w:r>
          </w:p>
        </w:tc>
        <w:tc>
          <w:tcPr>
            <w:tcW w:type="dxa" w:w="25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₹0–15,000</w:t>
            </w:r>
          </w:p>
        </w:tc>
        <w:tc>
          <w:tcPr>
            <w:tcW w:type="dxa" w:w="40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All open-source data and tools</w:t>
            </w:r>
          </w:p>
        </w:tc>
      </w:tr>
    </w:tbl>
    <w:p>
      <w:r>
        <w:br w:type="page"/>
      </w:r>
    </w:p>
    <w:p>
      <w:pPr>
        <w:pStyle w:val="Heading1"/>
        <w:pBdr>
          <w:bottom w:val="single" w:color="E8590C" w:sz="8" w:space="1"/>
        </w:pBdr>
        <w:spacing w:before="480" w:after="200"/>
      </w:pPr>
      <w:r>
        <w:rPr>
          <w:rFonts w:ascii="Arial" w:cs="Arial" w:eastAsia="Arial" w:hAnsi="Arial"/>
          <w:b/>
          <w:bCs/>
          <w:color w:val="E8590C"/>
          <w:sz w:val="36"/>
          <w:szCs w:val="36"/>
        </w:rPr>
        <w:t xml:space="preserve">PART 2 — WHAT WE HAVE DONE (Stages 0–2 Complete)</w:t>
      </w:r>
    </w:p>
    <w:p>
      <w:pPr>
        <w:pStyle w:val="Heading2"/>
        <w:spacing w:before="360" w:after="160"/>
      </w:pPr>
      <w:r>
        <w:rPr>
          <w:rFonts w:ascii="Arial" w:cs="Arial" w:eastAsia="Arial" w:hAnsi="Arial"/>
          <w:b/>
          <w:bCs/>
          <w:color w:val="1E293B"/>
          <w:sz w:val="28"/>
          <w:szCs w:val="28"/>
        </w:rPr>
        <w:t xml:space="preserve">2.1  Stage 0 — Foundation (Week 0) ✅</w:t>
      </w:r>
    </w:p>
    <w:p>
      <w:pPr>
        <w:spacing w:after="120"/>
      </w:pPr>
      <w:r>
        <w:rPr>
          <w:rFonts w:ascii="Arial" w:cs="Arial" w:eastAsia="Arial" w:hAnsi="Arial"/>
          <w:color w:val="1E293B"/>
          <w:sz w:val="20"/>
          <w:szCs w:val="20"/>
        </w:rPr>
        <w:t xml:space="preserve">All five team members completed environment setup, literature review, and repository structure before the official start date.</w:t>
      </w:r>
    </w:p>
    <w:p>
      <w:pPr>
        <w:pStyle w:val="ListParagraph"/>
        <w:numPr>
          <w:ilvl w:val="0"/>
          <w:numId w:val="2"/>
        </w:numPr>
        <w:spacing w:after="80"/>
      </w:pPr>
      <w:r>
        <w:rPr>
          <w:rFonts w:ascii="Arial" w:cs="Arial" w:eastAsia="Arial" w:hAnsi="Arial"/>
          <w:color w:val="1E293B"/>
          <w:sz w:val="20"/>
          <w:szCs w:val="20"/>
        </w:rPr>
        <w:t xml:space="preserve">Python 3.11 environment configured with: pandas, geopandas, rasterio, scikit-learn, xgboost, shap, fastapi, leaflet</w:t>
      </w:r>
    </w:p>
    <w:p>
      <w:pPr>
        <w:pStyle w:val="ListParagraph"/>
        <w:numPr>
          <w:ilvl w:val="0"/>
          <w:numId w:val="2"/>
        </w:numPr>
        <w:spacing w:after="80"/>
      </w:pPr>
      <w:r>
        <w:rPr>
          <w:rFonts w:ascii="Arial" w:cs="Arial" w:eastAsia="Arial" w:hAnsi="Arial"/>
          <w:color w:val="1E293B"/>
          <w:sz w:val="20"/>
          <w:szCs w:val="20"/>
        </w:rPr>
        <w:t xml:space="preserve">GitHub repository created with full directory structure: data/, src/, frontend/, notebooks/, tests/, results/</w:t>
      </w:r>
    </w:p>
    <w:p>
      <w:pPr>
        <w:pStyle w:val="ListParagraph"/>
        <w:numPr>
          <w:ilvl w:val="0"/>
          <w:numId w:val="2"/>
        </w:numPr>
        <w:spacing w:after="80"/>
      </w:pPr>
      <w:r>
        <w:rPr>
          <w:rFonts w:ascii="Arial" w:cs="Arial" w:eastAsia="Arial" w:hAnsi="Arial"/>
          <w:color w:val="1E293B"/>
          <w:sz w:val="20"/>
          <w:szCs w:val="20"/>
        </w:rPr>
        <w:t xml:space="preserve">20+ key papers reviewed; research gaps documented</w:t>
      </w:r>
    </w:p>
    <w:p>
      <w:pPr>
        <w:pStyle w:val="ListParagraph"/>
        <w:numPr>
          <w:ilvl w:val="0"/>
          <w:numId w:val="2"/>
        </w:numPr>
        <w:spacing w:after="80"/>
      </w:pPr>
      <w:r>
        <w:rPr>
          <w:rFonts w:ascii="Arial" w:cs="Arial" w:eastAsia="Arial" w:hAnsi="Arial"/>
          <w:color w:val="1E293B"/>
          <w:sz w:val="20"/>
          <w:szCs w:val="20"/>
        </w:rPr>
        <w:t xml:space="preserve">All 15 data sources identified and documented with URLs, licences, and access methods</w:t>
      </w:r>
    </w:p>
    <w:p>
      <w:pPr>
        <w:pStyle w:val="ListParagraph"/>
        <w:numPr>
          <w:ilvl w:val="0"/>
          <w:numId w:val="2"/>
        </w:numPr>
        <w:spacing w:after="80"/>
      </w:pPr>
      <w:r>
        <w:rPr>
          <w:rFonts w:ascii="Arial" w:cs="Arial" w:eastAsia="Arial" w:hAnsi="Arial"/>
          <w:color w:val="1E293B"/>
          <w:sz w:val="20"/>
          <w:szCs w:val="20"/>
        </w:rPr>
        <w:t xml:space="preserve">PostgreSQL + PostGIS installed; database schema designed (6 tables, 4 materialized views)</w:t>
      </w:r>
    </w:p>
    <w:p/>
    <w:p>
      <w:pPr>
        <w:pStyle w:val="Heading2"/>
        <w:spacing w:before="360" w:after="160"/>
      </w:pPr>
      <w:r>
        <w:rPr>
          <w:rFonts w:ascii="Arial" w:cs="Arial" w:eastAsia="Arial" w:hAnsi="Arial"/>
          <w:b/>
          <w:bCs/>
          <w:color w:val="1E293B"/>
          <w:sz w:val="28"/>
          <w:szCs w:val="28"/>
        </w:rPr>
        <w:t xml:space="preserve">2.2  Stage 1 — Data Acquisition (Week 1) ✅</w:t>
      </w:r>
    </w:p>
    <w:p>
      <w:pPr>
        <w:spacing w:after="120"/>
      </w:pPr>
      <w:r>
        <w:rPr>
          <w:rFonts w:ascii="Arial" w:cs="Arial" w:eastAsia="Arial" w:hAnsi="Arial"/>
          <w:color w:val="1E293B"/>
          <w:sz w:val="20"/>
          <w:szCs w:val="20"/>
        </w:rPr>
        <w:t xml:space="preserve">All primary datasets downloaded and validated:</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3200"/>
        <w:gridCol w:w="2400"/>
        <w:gridCol w:w="1000"/>
        <w:gridCol w:w="1760"/>
      </w:tblGrid>
      <w:tr>
        <w:tc>
          <w:tcPr>
            <w:tcW w:type="dxa" w:w="3200"/>
            <w:tcBorders>
              <w:top w:val="single" w:color="CBD5E1" w:sz="1"/>
              <w:left w:val="single" w:color="CBD5E1" w:sz="1"/>
              <w:bottom w:val="single" w:color="CBD5E1" w:sz="1"/>
              <w:right w:val="single" w:color="CBD5E1" w:sz="1"/>
            </w:tcBorders>
            <w:shd w:fill="0F172A"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Dataset</w:t>
            </w:r>
          </w:p>
        </w:tc>
        <w:tc>
          <w:tcPr>
            <w:tcW w:type="dxa" w:w="2400"/>
            <w:tcBorders>
              <w:top w:val="single" w:color="CBD5E1" w:sz="1"/>
              <w:left w:val="single" w:color="CBD5E1" w:sz="1"/>
              <w:bottom w:val="single" w:color="CBD5E1" w:sz="1"/>
              <w:right w:val="single" w:color="CBD5E1" w:sz="1"/>
            </w:tcBorders>
            <w:shd w:fill="0F172A"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Source</w:t>
            </w:r>
          </w:p>
        </w:tc>
        <w:tc>
          <w:tcPr>
            <w:tcW w:type="dxa" w:w="1000"/>
            <w:tcBorders>
              <w:top w:val="single" w:color="CBD5E1" w:sz="1"/>
              <w:left w:val="single" w:color="CBD5E1" w:sz="1"/>
              <w:bottom w:val="single" w:color="CBD5E1" w:sz="1"/>
              <w:right w:val="single" w:color="CBD5E1" w:sz="1"/>
            </w:tcBorders>
            <w:shd w:fill="0F172A"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Size</w:t>
            </w:r>
          </w:p>
        </w:tc>
        <w:tc>
          <w:tcPr>
            <w:tcW w:type="dxa" w:w="1760"/>
            <w:tcBorders>
              <w:top w:val="single" w:color="CBD5E1" w:sz="1"/>
              <w:left w:val="single" w:color="CBD5E1" w:sz="1"/>
              <w:bottom w:val="single" w:color="CBD5E1" w:sz="1"/>
              <w:right w:val="single" w:color="CBD5E1" w:sz="1"/>
            </w:tcBorders>
            <w:shd w:fill="0F172A"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Status</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NASA POWER solar + climate (2015–2024)</w:t>
            </w:r>
          </w:p>
        </w:tc>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power.larc.nasa.gov</w:t>
            </w:r>
          </w:p>
        </w:tc>
        <w:tc>
          <w:tcPr>
            <w:tcW w:type="dxa" w:w="1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5 GB</w:t>
            </w:r>
          </w:p>
        </w:tc>
        <w:tc>
          <w:tcPr>
            <w:tcW w:type="dxa" w:w="1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 Downloaded</w:t>
            </w:r>
          </w:p>
        </w:tc>
      </w:tr>
      <w:tr>
        <w:tc>
          <w:tcPr>
            <w:tcW w:type="dxa" w:w="32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SRTM 30m DEM + slope + aspect</w:t>
            </w:r>
          </w:p>
        </w:tc>
        <w:tc>
          <w:tcPr>
            <w:tcW w:type="dxa" w:w="24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USGS Earth Explorer</w:t>
            </w:r>
          </w:p>
        </w:tc>
        <w:tc>
          <w:tcPr>
            <w:tcW w:type="dxa" w:w="10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24 GB</w:t>
            </w:r>
          </w:p>
        </w:tc>
        <w:tc>
          <w:tcPr>
            <w:tcW w:type="dxa" w:w="17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 Processed</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ISRO Bhuvan LULC 2021-22 (56m)</w:t>
            </w:r>
          </w:p>
        </w:tc>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bhuvan.nrsc.gov.in</w:t>
            </w:r>
          </w:p>
        </w:tc>
        <w:tc>
          <w:tcPr>
            <w:tcW w:type="dxa" w:w="1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40 GB</w:t>
            </w:r>
          </w:p>
        </w:tc>
        <w:tc>
          <w:tcPr>
            <w:tcW w:type="dxa" w:w="1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 Downloaded</w:t>
            </w:r>
          </w:p>
        </w:tc>
      </w:tr>
      <w:tr>
        <w:tc>
          <w:tcPr>
            <w:tcW w:type="dxa" w:w="32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OpenStreetMap India roads</w:t>
            </w:r>
          </w:p>
        </w:tc>
        <w:tc>
          <w:tcPr>
            <w:tcW w:type="dxa" w:w="24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geofabrik.de</w:t>
            </w:r>
          </w:p>
        </w:tc>
        <w:tc>
          <w:tcPr>
            <w:tcW w:type="dxa" w:w="10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2 GB</w:t>
            </w:r>
          </w:p>
        </w:tc>
        <w:tc>
          <w:tcPr>
            <w:tcW w:type="dxa" w:w="17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 Downloaded</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GADM v4.1 district boundaries</w:t>
            </w:r>
          </w:p>
        </w:tc>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gadm.org</w:t>
            </w:r>
          </w:p>
        </w:tc>
        <w:tc>
          <w:tcPr>
            <w:tcW w:type="dxa" w:w="1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50 MB</w:t>
            </w:r>
          </w:p>
        </w:tc>
        <w:tc>
          <w:tcPr>
            <w:tcW w:type="dxa" w:w="1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 Downloaded</w:t>
            </w:r>
          </w:p>
        </w:tc>
      </w:tr>
      <w:tr>
        <w:tc>
          <w:tcPr>
            <w:tcW w:type="dxa" w:w="32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Existing plants database (127 plants)</w:t>
            </w:r>
          </w:p>
        </w:tc>
        <w:tc>
          <w:tcPr>
            <w:tcW w:type="dxa" w:w="24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CEA + MNRE + state agencies</w:t>
            </w:r>
          </w:p>
        </w:tc>
        <w:tc>
          <w:tcPr>
            <w:tcW w:type="dxa" w:w="10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5 MB</w:t>
            </w:r>
          </w:p>
        </w:tc>
        <w:tc>
          <w:tcPr>
            <w:tcW w:type="dxa" w:w="17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 Compiled</w:t>
            </w:r>
          </w:p>
        </w:tc>
      </w:tr>
    </w:tbl>
    <w:p/>
    <w:p>
      <w:pPr>
        <w:pStyle w:val="Heading2"/>
        <w:spacing w:before="360" w:after="160"/>
      </w:pPr>
      <w:r>
        <w:rPr>
          <w:rFonts w:ascii="Arial" w:cs="Arial" w:eastAsia="Arial" w:hAnsi="Arial"/>
          <w:b/>
          <w:bCs/>
          <w:color w:val="1E293B"/>
          <w:sz w:val="28"/>
          <w:szCs w:val="28"/>
        </w:rPr>
        <w:t xml:space="preserve">2.3  Stage 2 — Feature Engineering (Week 2) ✅</w:t>
      </w:r>
    </w:p>
    <w:p>
      <w:pPr>
        <w:spacing w:after="120"/>
      </w:pPr>
      <w:r>
        <w:rPr>
          <w:rFonts w:ascii="Arial" w:cs="Arial" w:eastAsia="Arial" w:hAnsi="Arial"/>
          <w:color w:val="1E293B"/>
          <w:sz w:val="20"/>
          <w:szCs w:val="20"/>
        </w:rPr>
        <w:t xml:space="preserve">The full 42-feature pipeline was built and applied to Telangana as the primary case study, producing 2,856 viable candidate sites from an initial ~10,000 grid points. The key exclusion filters applied were:</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4000"/>
        <w:gridCol w:w="2000"/>
        <w:gridCol w:w="2360"/>
      </w:tblGrid>
      <w:tr>
        <w:tc>
          <w:tcPr>
            <w:tcW w:type="dxa" w:w="4000"/>
            <w:tcBorders>
              <w:top w:val="single" w:color="CBD5E1" w:sz="1"/>
              <w:left w:val="single" w:color="CBD5E1" w:sz="1"/>
              <w:bottom w:val="single" w:color="CBD5E1" w:sz="1"/>
              <w:right w:val="single" w:color="CBD5E1" w:sz="1"/>
            </w:tcBorders>
            <w:shd w:fill="0F172A"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Exclusion Criterion</w:t>
            </w:r>
          </w:p>
        </w:tc>
        <w:tc>
          <w:tcPr>
            <w:tcW w:type="dxa" w:w="2000"/>
            <w:tcBorders>
              <w:top w:val="single" w:color="CBD5E1" w:sz="1"/>
              <w:left w:val="single" w:color="CBD5E1" w:sz="1"/>
              <w:bottom w:val="single" w:color="CBD5E1" w:sz="1"/>
              <w:right w:val="single" w:color="CBD5E1" w:sz="1"/>
            </w:tcBorders>
            <w:shd w:fill="0F172A"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Sites Removed</w:t>
            </w:r>
          </w:p>
        </w:tc>
        <w:tc>
          <w:tcPr>
            <w:tcW w:type="dxa" w:w="2360"/>
            <w:tcBorders>
              <w:top w:val="single" w:color="CBD5E1" w:sz="1"/>
              <w:left w:val="single" w:color="CBD5E1" w:sz="1"/>
              <w:bottom w:val="single" w:color="CBD5E1" w:sz="1"/>
              <w:right w:val="single" w:color="CBD5E1" w:sz="1"/>
            </w:tcBorders>
            <w:shd w:fill="0F172A"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 of Total</w:t>
            </w:r>
          </w:p>
        </w:tc>
      </w:tr>
      <w:tr>
        <w:tc>
          <w:tcPr>
            <w:tcW w:type="dxa" w:w="4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Slope &gt; 5°</w:t>
            </w:r>
          </w:p>
        </w:tc>
        <w:tc>
          <w:tcPr>
            <w:tcW w:type="dxa" w:w="2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1,420</w:t>
            </w:r>
          </w:p>
        </w:tc>
        <w:tc>
          <w:tcPr>
            <w:tcW w:type="dxa" w:w="23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14.2%</w:t>
            </w:r>
          </w:p>
        </w:tc>
      </w:tr>
      <w:tr>
        <w:tc>
          <w:tcPr>
            <w:tcW w:type="dxa" w:w="40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Forest (LULC codes 3, 4)</w:t>
            </w:r>
          </w:p>
        </w:tc>
        <w:tc>
          <w:tcPr>
            <w:tcW w:type="dxa" w:w="20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2,840</w:t>
            </w:r>
          </w:p>
        </w:tc>
        <w:tc>
          <w:tcPr>
            <w:tcW w:type="dxa" w:w="23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28.4%</w:t>
            </w:r>
          </w:p>
        </w:tc>
      </w:tr>
      <w:tr>
        <w:tc>
          <w:tcPr>
            <w:tcW w:type="dxa" w:w="4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Water bodies (LULC codes 6, 7)</w:t>
            </w:r>
          </w:p>
        </w:tc>
        <w:tc>
          <w:tcPr>
            <w:tcW w:type="dxa" w:w="2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680</w:t>
            </w:r>
          </w:p>
        </w:tc>
        <w:tc>
          <w:tcPr>
            <w:tcW w:type="dxa" w:w="23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6.8%</w:t>
            </w:r>
          </w:p>
        </w:tc>
      </w:tr>
      <w:tr>
        <w:tc>
          <w:tcPr>
            <w:tcW w:type="dxa" w:w="40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Urban area (LULC code 1)</w:t>
            </w:r>
          </w:p>
        </w:tc>
        <w:tc>
          <w:tcPr>
            <w:tcW w:type="dxa" w:w="20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320</w:t>
            </w:r>
          </w:p>
        </w:tc>
        <w:tc>
          <w:tcPr>
            <w:tcW w:type="dxa" w:w="23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3.2%</w:t>
            </w:r>
          </w:p>
        </w:tc>
      </w:tr>
      <w:tr>
        <w:tc>
          <w:tcPr>
            <w:tcW w:type="dxa" w:w="4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Low GHI (&lt; 10th percentile)</w:t>
            </w:r>
          </w:p>
        </w:tc>
        <w:tc>
          <w:tcPr>
            <w:tcW w:type="dxa" w:w="2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884</w:t>
            </w:r>
          </w:p>
        </w:tc>
        <w:tc>
          <w:tcPr>
            <w:tcW w:type="dxa" w:w="23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8.8%</w:t>
            </w:r>
          </w:p>
        </w:tc>
      </w:tr>
      <w:tr>
        <w:tc>
          <w:tcPr>
            <w:tcW w:type="dxa" w:w="40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Total excluded</w:t>
            </w:r>
          </w:p>
        </w:tc>
        <w:tc>
          <w:tcPr>
            <w:tcW w:type="dxa" w:w="20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6,144</w:t>
            </w:r>
          </w:p>
        </w:tc>
        <w:tc>
          <w:tcPr>
            <w:tcW w:type="dxa" w:w="23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61.4%</w:t>
            </w:r>
          </w:p>
        </w:tc>
      </w:tr>
      <w:tr>
        <w:tc>
          <w:tcPr>
            <w:tcW w:type="dxa" w:w="4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VIABLE SITES REMAINING</w:t>
            </w:r>
          </w:p>
        </w:tc>
        <w:tc>
          <w:tcPr>
            <w:tcW w:type="dxa" w:w="2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2,856</w:t>
            </w:r>
          </w:p>
        </w:tc>
        <w:tc>
          <w:tcPr>
            <w:tcW w:type="dxa" w:w="23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38.6%</w:t>
            </w:r>
          </w:p>
        </w:tc>
      </w:tr>
    </w:tbl>
    <w:p/>
    <w:p>
      <w:pPr>
        <w:pStyle w:val="Heading2"/>
        <w:spacing w:before="360" w:after="160"/>
      </w:pPr>
      <w:r>
        <w:rPr>
          <w:rFonts w:ascii="Arial" w:cs="Arial" w:eastAsia="Arial" w:hAnsi="Arial"/>
          <w:b/>
          <w:bCs/>
          <w:color w:val="1E293B"/>
          <w:sz w:val="28"/>
          <w:szCs w:val="28"/>
        </w:rPr>
        <w:t xml:space="preserve">2.4  The District-Level Dataset — Our Original Contribution</w:t>
      </w:r>
    </w:p>
    <w:p>
      <w:pPr>
        <w:spacing w:after="120"/>
      </w:pPr>
      <w:r>
        <w:rPr>
          <w:rFonts w:ascii="Arial" w:cs="Arial" w:eastAsia="Arial" w:hAnsi="Arial"/>
          <w:color w:val="1E293B"/>
          <w:sz w:val="20"/>
          <w:szCs w:val="20"/>
        </w:rPr>
        <w:t xml:space="preserve">This is the most significant original work done in this project so far. No public dataset existed with district-level electricity demand and solar capacity for Telangana and Andhra Pradesh. We built one from scratch.</w:t>
      </w:r>
    </w:p>
    <w:p>
      <w:pPr>
        <w:pStyle w:val="Heading3"/>
        <w:spacing w:before="280" w:after="120"/>
      </w:pPr>
      <w:r>
        <w:rPr>
          <w:rFonts w:ascii="Arial" w:cs="Arial" w:eastAsia="Arial" w:hAnsi="Arial"/>
          <w:b/>
          <w:bCs/>
          <w:color w:val="0E7490"/>
          <w:sz w:val="24"/>
          <w:szCs w:val="24"/>
        </w:rPr>
        <w:t xml:space="preserve">What We Built</w:t>
      </w:r>
    </w:p>
    <w:p>
      <w:pPr>
        <w:spacing w:after="120"/>
      </w:pPr>
      <w:r>
        <w:rPr>
          <w:rFonts w:ascii="Arial" w:cs="Arial" w:eastAsia="Arial" w:hAnsi="Arial"/>
          <w:color w:val="1E293B"/>
          <w:sz w:val="20"/>
          <w:szCs w:val="20"/>
        </w:rPr>
        <w:t xml:space="preserve">A verified Excel dataset (SolarSite_District_Dataset_v2.xlsx) with 8 key fields for all 61 districts across both states. Every state-level total is traceable to a primary government source document.</w:t>
      </w:r>
    </w:p>
    <w:p>
      <w:pPr>
        <w:pStyle w:val="Heading3"/>
        <w:spacing w:before="280" w:after="120"/>
      </w:pPr>
      <w:r>
        <w:rPr>
          <w:rFonts w:ascii="Arial" w:cs="Arial" w:eastAsia="Arial" w:hAnsi="Arial"/>
          <w:b/>
          <w:bCs/>
          <w:color w:val="0E7490"/>
          <w:sz w:val="24"/>
          <w:szCs w:val="24"/>
        </w:rPr>
        <w:t xml:space="preserve">How We Got the State Totals (Primary Sources)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1400"/>
        <w:gridCol w:w="4560"/>
      </w:tblGrid>
      <w:tr>
        <w:tc>
          <w:tcPr>
            <w:tcW w:type="dxa" w:w="2000"/>
            <w:tcBorders>
              <w:top w:val="single" w:color="CBD5E1" w:sz="1"/>
              <w:left w:val="single" w:color="CBD5E1" w:sz="1"/>
              <w:bottom w:val="single" w:color="CBD5E1" w:sz="1"/>
              <w:right w:val="single" w:color="CBD5E1" w:sz="1"/>
            </w:tcBorders>
            <w:shd w:fill="0F172A"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Field</w:t>
            </w:r>
          </w:p>
        </w:tc>
        <w:tc>
          <w:tcPr>
            <w:tcW w:type="dxa" w:w="1400"/>
            <w:tcBorders>
              <w:top w:val="single" w:color="CBD5E1" w:sz="1"/>
              <w:left w:val="single" w:color="CBD5E1" w:sz="1"/>
              <w:bottom w:val="single" w:color="CBD5E1" w:sz="1"/>
              <w:right w:val="single" w:color="CBD5E1" w:sz="1"/>
            </w:tcBorders>
            <w:shd w:fill="0F172A"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State</w:t>
            </w:r>
          </w:p>
        </w:tc>
        <w:tc>
          <w:tcPr>
            <w:tcW w:type="dxa" w:w="1400"/>
            <w:tcBorders>
              <w:top w:val="single" w:color="CBD5E1" w:sz="1"/>
              <w:left w:val="single" w:color="CBD5E1" w:sz="1"/>
              <w:bottom w:val="single" w:color="CBD5E1" w:sz="1"/>
              <w:right w:val="single" w:color="CBD5E1" w:sz="1"/>
            </w:tcBorders>
            <w:shd w:fill="0F172A"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Authoritative Value</w:t>
            </w:r>
          </w:p>
        </w:tc>
        <w:tc>
          <w:tcPr>
            <w:tcW w:type="dxa" w:w="4560"/>
            <w:tcBorders>
              <w:top w:val="single" w:color="CBD5E1" w:sz="1"/>
              <w:left w:val="single" w:color="CBD5E1" w:sz="1"/>
              <w:bottom w:val="single" w:color="CBD5E1" w:sz="1"/>
              <w:right w:val="single" w:color="CBD5E1" w:sz="1"/>
            </w:tcBorders>
            <w:shd w:fill="0F172A"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Source Document</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annual_demand_mu</w:t>
            </w:r>
          </w:p>
        </w:tc>
        <w:tc>
          <w:tcPr>
            <w:tcW w:type="dxa" w:w="1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Telangana</w:t>
            </w:r>
          </w:p>
        </w:tc>
        <w:tc>
          <w:tcPr>
            <w:tcW w:type="dxa" w:w="1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73,618 MU</w:t>
            </w:r>
          </w:p>
        </w:tc>
        <w:tc>
          <w:tcPr>
            <w:tcW w:type="dxa" w:w="4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TGERC RST Order FY2023-24 (O.P. 80-88/2022, dated 24-03-2023) — approved energy sales</w:t>
            </w:r>
          </w:p>
        </w:tc>
      </w:tr>
      <w:tr>
        <w:tc>
          <w:tcPr>
            <w:tcW w:type="dxa" w:w="20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annual_demand_mu</w:t>
            </w:r>
          </w:p>
        </w:tc>
        <w:tc>
          <w:tcPr>
            <w:tcW w:type="dxa" w:w="14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Andhra Pradesh</w:t>
            </w:r>
          </w:p>
        </w:tc>
        <w:tc>
          <w:tcPr>
            <w:tcW w:type="dxa" w:w="14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72,400 MU</w:t>
            </w:r>
          </w:p>
        </w:tc>
        <w:tc>
          <w:tcPr>
            <w:tcW w:type="dxa" w:w="45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APERC State Electricity Plan May 2023, Section 1.3 — FY2022-23 actual consumption</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current_utility_solar_mw</w:t>
            </w:r>
          </w:p>
        </w:tc>
        <w:tc>
          <w:tcPr>
            <w:tcW w:type="dxa" w:w="1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Telangana</w:t>
            </w:r>
          </w:p>
        </w:tc>
        <w:tc>
          <w:tcPr>
            <w:tcW w:type="dxa" w:w="1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4,360.49 MW</w:t>
            </w:r>
          </w:p>
        </w:tc>
        <w:tc>
          <w:tcPr>
            <w:tcW w:type="dxa" w:w="4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CEA State-wise Installed Capacity of Renewable Power as on 31.03.2024 — Ground Mounted Solar column</w:t>
            </w:r>
          </w:p>
        </w:tc>
      </w:tr>
      <w:tr>
        <w:tc>
          <w:tcPr>
            <w:tcW w:type="dxa" w:w="20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current_utility_solar_mw</w:t>
            </w:r>
          </w:p>
        </w:tc>
        <w:tc>
          <w:tcPr>
            <w:tcW w:type="dxa" w:w="14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Andhra Pradesh</w:t>
            </w:r>
          </w:p>
        </w:tc>
        <w:tc>
          <w:tcPr>
            <w:tcW w:type="dxa" w:w="14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4,298.52 MW</w:t>
            </w:r>
          </w:p>
        </w:tc>
        <w:tc>
          <w:tcPr>
            <w:tcW w:type="dxa" w:w="45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Same CEA document</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current_rooftop_solar_mw</w:t>
            </w:r>
          </w:p>
        </w:tc>
        <w:tc>
          <w:tcPr>
            <w:tcW w:type="dxa" w:w="1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Telangana</w:t>
            </w:r>
          </w:p>
        </w:tc>
        <w:tc>
          <w:tcPr>
            <w:tcW w:type="dxa" w:w="1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388.96 MW</w:t>
            </w:r>
          </w:p>
        </w:tc>
        <w:tc>
          <w:tcPr>
            <w:tcW w:type="dxa" w:w="4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Same CEA document — Rooftop Solar column (all net-metered; broader than TSREDCO scheme figure of 202.84 MW)</w:t>
            </w:r>
          </w:p>
        </w:tc>
      </w:tr>
      <w:tr>
        <w:tc>
          <w:tcPr>
            <w:tcW w:type="dxa" w:w="20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current_rooftop_solar_mw</w:t>
            </w:r>
          </w:p>
        </w:tc>
        <w:tc>
          <w:tcPr>
            <w:tcW w:type="dxa" w:w="14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Andhra Pradesh</w:t>
            </w:r>
          </w:p>
        </w:tc>
        <w:tc>
          <w:tcPr>
            <w:tcW w:type="dxa" w:w="14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198.12 MW</w:t>
            </w:r>
          </w:p>
        </w:tc>
        <w:tc>
          <w:tcPr>
            <w:tcW w:type="dxa" w:w="45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Same CEA document (actual commissioned; APERC SEP 490 MW was a planning estimate, not actuals)</w:t>
            </w:r>
          </w:p>
        </w:tc>
      </w:tr>
    </w:tbl>
    <w:p/>
    <w:p>
      <w:pPr>
        <w:pStyle w:val="Heading3"/>
        <w:spacing w:before="280" w:after="120"/>
      </w:pPr>
      <w:r>
        <w:rPr>
          <w:rFonts w:ascii="Arial" w:cs="Arial" w:eastAsia="Arial" w:hAnsi="Arial"/>
          <w:b/>
          <w:bCs/>
          <w:color w:val="0E7490"/>
          <w:sz w:val="24"/>
          <w:szCs w:val="24"/>
        </w:rPr>
        <w:t xml:space="preserve">How District Values Are Derived</w:t>
      </w:r>
    </w:p>
    <w:p>
      <w:pPr>
        <w:spacing w:after="120"/>
      </w:pPr>
      <w:r>
        <w:rPr>
          <w:rFonts w:ascii="Arial" w:cs="Arial" w:eastAsia="Arial" w:hAnsi="Arial"/>
          <w:color w:val="1E293B"/>
          <w:sz w:val="20"/>
          <w:szCs w:val="20"/>
        </w:rPr>
        <w:t xml:space="preserve">Each district value = (district Census 2011 population ÷ state total population) × authoritative state total. The MWh values are further derived: MWh = MW × 8,760 hours × capacity factor (0.23 for utility, 0.18 for rooftop, both from APERC SEP 2023 and CEA South India data).</w:t>
      </w:r>
    </w:p>
    <w:p>
      <w:pPr>
        <w:pStyle w:val="Heading3"/>
        <w:spacing w:before="280" w:after="120"/>
      </w:pPr>
      <w:r>
        <w:rPr>
          <w:rFonts w:ascii="Arial" w:cs="Arial" w:eastAsia="Arial" w:hAnsi="Arial"/>
          <w:b/>
          <w:bCs/>
          <w:color w:val="0E7490"/>
          <w:sz w:val="24"/>
          <w:szCs w:val="24"/>
        </w:rPr>
        <w:t xml:space="preserve">Colour Coding in the Excel</w:t>
      </w:r>
    </w:p>
    <w:p>
      <w:pPr>
        <w:pBdr>
          <w:left w:val="single" w:color="166534" w:sz="14" w:space="2"/>
        </w:pBdr>
        <w:shd w:fill="DCFCE7" w:val="clear"/>
        <w:spacing w:before="80" w:after="80"/>
        <w:ind w:left="240" w:right="240"/>
      </w:pPr>
      <w:r>
        <w:rPr>
          <w:rFonts w:ascii="Arial" w:cs="Arial" w:eastAsia="Arial" w:hAnsi="Arial"/>
          <w:b/>
          <w:bCs/>
          <w:color w:val="166534"/>
          <w:sz w:val="19"/>
          <w:szCs w:val="19"/>
        </w:rPr>
        <w:t xml:space="preserve">  GREEN cells = authoritative state total, population-weighted to district level  </w:t>
      </w:r>
    </w:p>
    <w:p>
      <w:pPr>
        <w:pBdr>
          <w:left w:val="single" w:color="92400E" w:sz="14" w:space="2"/>
        </w:pBdr>
        <w:shd w:fill="FEF3C7" w:val="clear"/>
        <w:spacing w:before="80" w:after="80"/>
        <w:ind w:left="240" w:right="240"/>
      </w:pPr>
      <w:r>
        <w:rPr>
          <w:rFonts w:ascii="Arial" w:cs="Arial" w:eastAsia="Arial" w:hAnsi="Arial"/>
          <w:b/>
          <w:bCs/>
          <w:color w:val="92400E"/>
          <w:sz w:val="19"/>
          <w:szCs w:val="19"/>
        </w:rPr>
        <w:t xml:space="preserve">  YELLOW cells = derived values (MWh = MW × 8,760 × CF)  </w:t>
      </w:r>
    </w:p>
    <w:p>
      <w:pPr>
        <w:pBdr>
          <w:left w:val="single" w:color="7B2D00" w:sz="14" w:space="2"/>
        </w:pBdr>
        <w:shd w:fill="FFE0B2" w:val="clear"/>
        <w:spacing w:before="80" w:after="80"/>
        <w:ind w:left="240" w:right="240"/>
      </w:pPr>
      <w:r>
        <w:rPr>
          <w:rFonts w:ascii="Arial" w:cs="Arial" w:eastAsia="Arial" w:hAnsi="Arial"/>
          <w:b/>
          <w:bCs/>
          <w:color w:val="7B2D00"/>
          <w:sz w:val="19"/>
          <w:szCs w:val="19"/>
        </w:rPr>
        <w:t xml:space="preserve">  ORANGE cells = estimated proxy values (previous v1 — now superseded by v2)  </w:t>
      </w:r>
    </w:p>
    <w:p/>
    <w:p>
      <w:pPr>
        <w:pStyle w:val="Heading3"/>
        <w:spacing w:before="280" w:after="120"/>
      </w:pPr>
      <w:r>
        <w:rPr>
          <w:rFonts w:ascii="Arial" w:cs="Arial" w:eastAsia="Arial" w:hAnsi="Arial"/>
          <w:b/>
          <w:bCs/>
          <w:color w:val="0E7490"/>
          <w:sz w:val="24"/>
          <w:szCs w:val="24"/>
        </w:rPr>
        <w:t xml:space="preserve">Known Limitation — AP Year Mismatch</w:t>
      </w:r>
    </w:p>
    <w:p>
      <w:pPr>
        <w:pBdr>
          <w:left w:val="single" w:color="92400E" w:sz="14" w:space="2"/>
        </w:pBdr>
        <w:shd w:fill="FEF3C7" w:val="clear"/>
        <w:spacing w:before="80" w:after="80"/>
        <w:ind w:left="240" w:right="240"/>
      </w:pPr>
      <w:r>
        <w:rPr>
          <w:rFonts w:ascii="Arial" w:cs="Arial" w:eastAsia="Arial" w:hAnsi="Arial"/>
          <w:b/>
          <w:bCs/>
          <w:color w:val="92400E"/>
          <w:sz w:val="19"/>
          <w:szCs w:val="19"/>
        </w:rPr>
        <w:t xml:space="preserve">  AP demand data is FY2022-23 but solar capacity is 31.03.2024 — a 1-year mismatch. This is disclosed in the dataset notes and will be disclosed in the paper's methodology section.  </w:t>
      </w:r>
    </w:p>
    <w:p>
      <w:r>
        <w:br w:type="page"/>
      </w:r>
    </w:p>
    <w:p>
      <w:pPr>
        <w:pStyle w:val="Heading1"/>
        <w:pBdr>
          <w:bottom w:val="single" w:color="E8590C" w:sz="8" w:space="1"/>
        </w:pBdr>
        <w:spacing w:before="480" w:after="200"/>
      </w:pPr>
      <w:r>
        <w:rPr>
          <w:rFonts w:ascii="Arial" w:cs="Arial" w:eastAsia="Arial" w:hAnsi="Arial"/>
          <w:b/>
          <w:bCs/>
          <w:color w:val="E8590C"/>
          <w:sz w:val="36"/>
          <w:szCs w:val="36"/>
        </w:rPr>
        <w:t xml:space="preserve">PART 3 — THE 42 FEATURES IN DETAIL</w:t>
      </w:r>
    </w:p>
    <w:p>
      <w:pPr>
        <w:pStyle w:val="Heading2"/>
        <w:spacing w:before="360" w:after="160"/>
      </w:pPr>
      <w:r>
        <w:rPr>
          <w:rFonts w:ascii="Arial" w:cs="Arial" w:eastAsia="Arial" w:hAnsi="Arial"/>
          <w:b/>
          <w:bCs/>
          <w:color w:val="1E293B"/>
          <w:sz w:val="28"/>
          <w:szCs w:val="28"/>
        </w:rPr>
        <w:t xml:space="preserve">3.1  Overview and Philosophy</w:t>
      </w:r>
    </w:p>
    <w:p>
      <w:pPr>
        <w:spacing w:after="120"/>
      </w:pPr>
      <w:r>
        <w:rPr>
          <w:rFonts w:ascii="Arial" w:cs="Arial" w:eastAsia="Arial" w:hAnsi="Arial"/>
          <w:color w:val="1E293B"/>
          <w:sz w:val="20"/>
          <w:szCs w:val="20"/>
        </w:rPr>
        <w:t xml:space="preserve">Every feature has a clear engineering justification rooted in how solar farms actually perform. The 42 features span 9 categories. SHAP analysis on the trained model confirms GHI is the top driver (30%), followed by temperature (12%), with infrastructure and land use making up the rest.</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2600"/>
        <w:gridCol w:w="2160"/>
      </w:tblGrid>
      <w:tr>
        <w:tc>
          <w:tcPr>
            <w:tcW w:type="dxa" w:w="2400"/>
            <w:tcBorders>
              <w:top w:val="single" w:color="CBD5E1" w:sz="1"/>
              <w:left w:val="single" w:color="CBD5E1" w:sz="1"/>
              <w:bottom w:val="single" w:color="CBD5E1" w:sz="1"/>
              <w:right w:val="single" w:color="CBD5E1" w:sz="1"/>
            </w:tcBorders>
            <w:shd w:fill="0F172A"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Category</w:t>
            </w:r>
          </w:p>
        </w:tc>
        <w:tc>
          <w:tcPr>
            <w:tcW w:type="dxa" w:w="1200"/>
            <w:tcBorders>
              <w:top w:val="single" w:color="CBD5E1" w:sz="1"/>
              <w:left w:val="single" w:color="CBD5E1" w:sz="1"/>
              <w:bottom w:val="single" w:color="CBD5E1" w:sz="1"/>
              <w:right w:val="single" w:color="CBD5E1" w:sz="1"/>
            </w:tcBorders>
            <w:shd w:fill="0F172A"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 Features</w:t>
            </w:r>
          </w:p>
        </w:tc>
        <w:tc>
          <w:tcPr>
            <w:tcW w:type="dxa" w:w="2600"/>
            <w:tcBorders>
              <w:top w:val="single" w:color="CBD5E1" w:sz="1"/>
              <w:left w:val="single" w:color="CBD5E1" w:sz="1"/>
              <w:bottom w:val="single" w:color="CBD5E1" w:sz="1"/>
              <w:right w:val="single" w:color="CBD5E1" w:sz="1"/>
            </w:tcBorders>
            <w:shd w:fill="0F172A"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Top Feature</w:t>
            </w:r>
          </w:p>
        </w:tc>
        <w:tc>
          <w:tcPr>
            <w:tcW w:type="dxa" w:w="2160"/>
            <w:tcBorders>
              <w:top w:val="single" w:color="CBD5E1" w:sz="1"/>
              <w:left w:val="single" w:color="CBD5E1" w:sz="1"/>
              <w:bottom w:val="single" w:color="CBD5E1" w:sz="1"/>
              <w:right w:val="single" w:color="CBD5E1" w:sz="1"/>
            </w:tcBorders>
            <w:shd w:fill="0F172A"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SHAP Importance</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Solar Resource</w:t>
            </w:r>
          </w:p>
        </w:tc>
        <w:tc>
          <w:tcPr>
            <w:tcW w:type="dxa" w:w="1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5</w:t>
            </w:r>
          </w:p>
        </w:tc>
        <w:tc>
          <w:tcPr>
            <w:tcW w:type="dxa" w:w="2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ghi_annual</w:t>
            </w:r>
          </w:p>
        </w:tc>
        <w:tc>
          <w:tcPr>
            <w:tcW w:type="dxa" w:w="2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~52% combined (top 3)</w:t>
            </w:r>
          </w:p>
        </w:tc>
      </w:tr>
      <w:tr>
        <w:tc>
          <w:tcPr>
            <w:tcW w:type="dxa" w:w="24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Terrain</w:t>
            </w:r>
          </w:p>
        </w:tc>
        <w:tc>
          <w:tcPr>
            <w:tcW w:type="dxa" w:w="12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6</w:t>
            </w:r>
          </w:p>
        </w:tc>
        <w:tc>
          <w:tcPr>
            <w:tcW w:type="dxa" w:w="2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slope_deg</w:t>
            </w:r>
          </w:p>
        </w:tc>
        <w:tc>
          <w:tcPr>
            <w:tcW w:type="dxa" w:w="21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~17% combined</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Land Use</w:t>
            </w:r>
          </w:p>
        </w:tc>
        <w:tc>
          <w:tcPr>
            <w:tcW w:type="dxa" w:w="1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7</w:t>
            </w:r>
          </w:p>
        </w:tc>
        <w:tc>
          <w:tcPr>
            <w:tcW w:type="dxa" w:w="2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land_suitability</w:t>
            </w:r>
          </w:p>
        </w:tc>
        <w:tc>
          <w:tcPr>
            <w:tcW w:type="dxa" w:w="2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6.3%</w:t>
            </w:r>
          </w:p>
        </w:tc>
      </w:tr>
      <w:tr>
        <w:tc>
          <w:tcPr>
            <w:tcW w:type="dxa" w:w="24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Infrastructure</w:t>
            </w:r>
          </w:p>
        </w:tc>
        <w:tc>
          <w:tcPr>
            <w:tcW w:type="dxa" w:w="12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6</w:t>
            </w:r>
          </w:p>
        </w:tc>
        <w:tc>
          <w:tcPr>
            <w:tcW w:type="dxa" w:w="2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accessibility_score + dist_grid_km</w:t>
            </w:r>
          </w:p>
        </w:tc>
        <w:tc>
          <w:tcPr>
            <w:tcW w:type="dxa" w:w="21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~14% combined</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Climate</w:t>
            </w:r>
          </w:p>
        </w:tc>
        <w:tc>
          <w:tcPr>
            <w:tcW w:type="dxa" w:w="1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6</w:t>
            </w:r>
          </w:p>
        </w:tc>
        <w:tc>
          <w:tcPr>
            <w:tcW w:type="dxa" w:w="2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aerosol_optical_depth</w:t>
            </w:r>
          </w:p>
        </w:tc>
        <w:tc>
          <w:tcPr>
            <w:tcW w:type="dxa" w:w="2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2.3%</w:t>
            </w:r>
          </w:p>
        </w:tc>
      </w:tr>
      <w:tr>
        <w:tc>
          <w:tcPr>
            <w:tcW w:type="dxa" w:w="24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Environmental</w:t>
            </w:r>
          </w:p>
        </w:tc>
        <w:tc>
          <w:tcPr>
            <w:tcW w:type="dxa" w:w="12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4</w:t>
            </w:r>
          </w:p>
        </w:tc>
        <w:tc>
          <w:tcPr>
            <w:tcW w:type="dxa" w:w="2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dist_protected_km</w:t>
            </w:r>
          </w:p>
        </w:tc>
        <w:tc>
          <w:tcPr>
            <w:tcW w:type="dxa" w:w="21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included in exclusions</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Grid &amp; Energy</w:t>
            </w:r>
          </w:p>
        </w:tc>
        <w:tc>
          <w:tcPr>
            <w:tcW w:type="dxa" w:w="1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3</w:t>
            </w:r>
          </w:p>
        </w:tc>
        <w:tc>
          <w:tcPr>
            <w:tcW w:type="dxa" w:w="2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grid_congestion_index</w:t>
            </w:r>
          </w:p>
        </w:tc>
        <w:tc>
          <w:tcPr>
            <w:tcW w:type="dxa" w:w="2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Phase 2</w:t>
            </w:r>
          </w:p>
        </w:tc>
      </w:tr>
      <w:tr>
        <w:tc>
          <w:tcPr>
            <w:tcW w:type="dxa" w:w="24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Economic</w:t>
            </w:r>
          </w:p>
        </w:tc>
        <w:tc>
          <w:tcPr>
            <w:tcW w:type="dxa" w:w="12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3</w:t>
            </w:r>
          </w:p>
        </w:tc>
        <w:tc>
          <w:tcPr>
            <w:tcW w:type="dxa" w:w="2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land_cost_index</w:t>
            </w:r>
          </w:p>
        </w:tc>
        <w:tc>
          <w:tcPr>
            <w:tcW w:type="dxa" w:w="21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Phase 2</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Derived Interactions</w:t>
            </w:r>
          </w:p>
        </w:tc>
        <w:tc>
          <w:tcPr>
            <w:tcW w:type="dxa" w:w="1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2</w:t>
            </w:r>
          </w:p>
        </w:tc>
        <w:tc>
          <w:tcPr>
            <w:tcW w:type="dxa" w:w="2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ghi_x_accessibility</w:t>
            </w:r>
          </w:p>
        </w:tc>
        <w:tc>
          <w:tcPr>
            <w:tcW w:type="dxa" w:w="2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4.7%</w:t>
            </w:r>
          </w:p>
        </w:tc>
      </w:tr>
    </w:tbl>
    <w:p/>
    <w:p>
      <w:pPr>
        <w:pStyle w:val="Heading2"/>
        <w:spacing w:before="360" w:after="160"/>
      </w:pPr>
      <w:r>
        <w:rPr>
          <w:rFonts w:ascii="Arial" w:cs="Arial" w:eastAsia="Arial" w:hAnsi="Arial"/>
          <w:b/>
          <w:bCs/>
          <w:color w:val="1E293B"/>
          <w:sz w:val="28"/>
          <w:szCs w:val="28"/>
        </w:rPr>
        <w:t xml:space="preserve">3.2  Category 1 — Solar Resource (5 Features)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1800"/>
        <w:gridCol w:w="4160"/>
      </w:tblGrid>
      <w:tr>
        <w:tc>
          <w:tcPr>
            <w:tcW w:type="dxa" w:w="1800"/>
            <w:tcBorders>
              <w:top w:val="single" w:color="CBD5E1" w:sz="1"/>
              <w:left w:val="single" w:color="CBD5E1" w:sz="1"/>
              <w:bottom w:val="single" w:color="CBD5E1" w:sz="1"/>
              <w:right w:val="single" w:color="CBD5E1" w:sz="1"/>
            </w:tcBorders>
            <w:shd w:fill="0F172A"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Feature</w:t>
            </w:r>
          </w:p>
        </w:tc>
        <w:tc>
          <w:tcPr>
            <w:tcW w:type="dxa" w:w="1600"/>
            <w:tcBorders>
              <w:top w:val="single" w:color="CBD5E1" w:sz="1"/>
              <w:left w:val="single" w:color="CBD5E1" w:sz="1"/>
              <w:bottom w:val="single" w:color="CBD5E1" w:sz="1"/>
              <w:right w:val="single" w:color="CBD5E1" w:sz="1"/>
            </w:tcBorders>
            <w:shd w:fill="0F172A"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Units</w:t>
            </w:r>
          </w:p>
        </w:tc>
        <w:tc>
          <w:tcPr>
            <w:tcW w:type="dxa" w:w="1800"/>
            <w:tcBorders>
              <w:top w:val="single" w:color="CBD5E1" w:sz="1"/>
              <w:left w:val="single" w:color="CBD5E1" w:sz="1"/>
              <w:bottom w:val="single" w:color="CBD5E1" w:sz="1"/>
              <w:right w:val="single" w:color="CBD5E1" w:sz="1"/>
            </w:tcBorders>
            <w:shd w:fill="0F172A"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Source</w:t>
            </w:r>
          </w:p>
        </w:tc>
        <w:tc>
          <w:tcPr>
            <w:tcW w:type="dxa" w:w="4160"/>
            <w:tcBorders>
              <w:top w:val="single" w:color="CBD5E1" w:sz="1"/>
              <w:left w:val="single" w:color="CBD5E1" w:sz="1"/>
              <w:bottom w:val="single" w:color="CBD5E1" w:sz="1"/>
              <w:right w:val="single" w:color="CBD5E1" w:sz="1"/>
            </w:tcBorders>
            <w:shd w:fill="0F172A"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Why It Matters</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ghi_annual</w:t>
            </w:r>
          </w:p>
        </w:tc>
        <w:tc>
          <w:tcPr>
            <w:tcW w:type="dxa" w:w="1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kWh/m²/yr (1600–2400)</w:t>
            </w:r>
          </w:p>
        </w:tc>
        <w:tc>
          <w:tcPr>
            <w:tcW w:type="dxa" w:w="1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NASA POWER API</w:t>
            </w:r>
          </w:p>
        </w:tc>
        <w:tc>
          <w:tcPr>
            <w:tcW w:type="dxa" w:w="4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30% SHAP — primary energy input; higher GHI = more generation directly</w:t>
            </w:r>
          </w:p>
        </w:tc>
      </w:tr>
      <w:tr>
        <w:tc>
          <w:tcPr>
            <w:tcW w:type="dxa" w:w="18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dni_annual</w:t>
            </w:r>
          </w:p>
        </w:tc>
        <w:tc>
          <w:tcPr>
            <w:tcW w:type="dxa" w:w="1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kWh/m²/yr (1200–2000)</w:t>
            </w:r>
          </w:p>
        </w:tc>
        <w:tc>
          <w:tcPr>
            <w:tcW w:type="dxa" w:w="18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NASA POWER API</w:t>
            </w:r>
          </w:p>
        </w:tc>
        <w:tc>
          <w:tcPr>
            <w:tcW w:type="dxa" w:w="41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Important for CSP; for flat-plate PV (our focus) GHI dominates</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temp_avg</w:t>
            </w:r>
          </w:p>
        </w:tc>
        <w:tc>
          <w:tcPr>
            <w:tcW w:type="dxa" w:w="1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°C (20–40)</w:t>
            </w:r>
          </w:p>
        </w:tc>
        <w:tc>
          <w:tcPr>
            <w:tcW w:type="dxa" w:w="1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NASA POWER T2M</w:t>
            </w:r>
          </w:p>
        </w:tc>
        <w:tc>
          <w:tcPr>
            <w:tcW w:type="dxa" w:w="4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12% SHAP — panels lose 0.4–0.5% efficiency per °C above 25°C</w:t>
            </w:r>
          </w:p>
        </w:tc>
      </w:tr>
      <w:tr>
        <w:tc>
          <w:tcPr>
            <w:tcW w:type="dxa" w:w="18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ghi_monthly_std</w:t>
            </w:r>
          </w:p>
        </w:tc>
        <w:tc>
          <w:tcPr>
            <w:tcW w:type="dxa" w:w="1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kWh/m²/month</w:t>
            </w:r>
          </w:p>
        </w:tc>
        <w:tc>
          <w:tcPr>
            <w:tcW w:type="dxa" w:w="18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NASA POWER (calculated)</w:t>
            </w:r>
          </w:p>
        </w:tc>
        <w:tc>
          <w:tcPr>
            <w:tcW w:type="dxa" w:w="41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Seasonality proxy — high std means monsoon-heavy site; affects revenue reliability</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effective_ghi</w:t>
            </w:r>
          </w:p>
        </w:tc>
        <w:tc>
          <w:tcPr>
            <w:tcW w:type="dxa" w:w="1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kWh/m²/yr</w:t>
            </w:r>
          </w:p>
        </w:tc>
        <w:tc>
          <w:tcPr>
            <w:tcW w:type="dxa" w:w="1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Derived: GHI × temp_loss_factor</w:t>
            </w:r>
          </w:p>
        </w:tc>
        <w:tc>
          <w:tcPr>
            <w:tcW w:type="dxa" w:w="4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10% SHAP — temperature-adjusted resource; the 'real' usable irradiance</w:t>
            </w:r>
          </w:p>
        </w:tc>
      </w:tr>
    </w:tbl>
    <w:p/>
    <w:p>
      <w:pPr>
        <w:pStyle w:val="Heading2"/>
        <w:spacing w:before="360" w:after="160"/>
      </w:pPr>
      <w:r>
        <w:rPr>
          <w:rFonts w:ascii="Arial" w:cs="Arial" w:eastAsia="Arial" w:hAnsi="Arial"/>
          <w:b/>
          <w:bCs/>
          <w:color w:val="1E293B"/>
          <w:sz w:val="28"/>
          <w:szCs w:val="28"/>
        </w:rPr>
        <w:t xml:space="preserve">3.3  Category 2 — Terrain (6 Features)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1800"/>
        <w:gridCol w:w="4000"/>
      </w:tblGrid>
      <w:tr>
        <w:tc>
          <w:tcPr>
            <w:tcW w:type="dxa" w:w="2000"/>
            <w:tcBorders>
              <w:top w:val="single" w:color="CBD5E1" w:sz="1"/>
              <w:left w:val="single" w:color="CBD5E1" w:sz="1"/>
              <w:bottom w:val="single" w:color="CBD5E1" w:sz="1"/>
              <w:right w:val="single" w:color="CBD5E1" w:sz="1"/>
            </w:tcBorders>
            <w:shd w:fill="0F172A"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Feature</w:t>
            </w:r>
          </w:p>
        </w:tc>
        <w:tc>
          <w:tcPr>
            <w:tcW w:type="dxa" w:w="1600"/>
            <w:tcBorders>
              <w:top w:val="single" w:color="CBD5E1" w:sz="1"/>
              <w:left w:val="single" w:color="CBD5E1" w:sz="1"/>
              <w:bottom w:val="single" w:color="CBD5E1" w:sz="1"/>
              <w:right w:val="single" w:color="CBD5E1" w:sz="1"/>
            </w:tcBorders>
            <w:shd w:fill="0F172A"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Units</w:t>
            </w:r>
          </w:p>
        </w:tc>
        <w:tc>
          <w:tcPr>
            <w:tcW w:type="dxa" w:w="1800"/>
            <w:tcBorders>
              <w:top w:val="single" w:color="CBD5E1" w:sz="1"/>
              <w:left w:val="single" w:color="CBD5E1" w:sz="1"/>
              <w:bottom w:val="single" w:color="CBD5E1" w:sz="1"/>
              <w:right w:val="single" w:color="CBD5E1" w:sz="1"/>
            </w:tcBorders>
            <w:shd w:fill="0F172A"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Threshold</w:t>
            </w:r>
          </w:p>
        </w:tc>
        <w:tc>
          <w:tcPr>
            <w:tcW w:type="dxa" w:w="4000"/>
            <w:tcBorders>
              <w:top w:val="single" w:color="CBD5E1" w:sz="1"/>
              <w:left w:val="single" w:color="CBD5E1" w:sz="1"/>
              <w:bottom w:val="single" w:color="CBD5E1" w:sz="1"/>
              <w:right w:val="single" w:color="CBD5E1" w:sz="1"/>
            </w:tcBorders>
            <w:shd w:fill="0F172A"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Why It Matters</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elevation_m</w:t>
            </w:r>
          </w:p>
        </w:tc>
        <w:tc>
          <w:tcPr>
            <w:tcW w:type="dxa" w:w="1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metres (0–3000)</w:t>
            </w:r>
          </w:p>
        </w:tc>
        <w:tc>
          <w:tcPr>
            <w:tcW w:type="dxa" w:w="1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&lt; 2000m preferred</w:t>
            </w:r>
          </w:p>
        </w:tc>
        <w:tc>
          <w:tcPr>
            <w:tcW w:type="dxa" w:w="4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Higher = cooler = slight efficiency gain; extreme elevation = inaccessible</w:t>
            </w:r>
          </w:p>
        </w:tc>
      </w:tr>
      <w:tr>
        <w:tc>
          <w:tcPr>
            <w:tcW w:type="dxa" w:w="20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slope_deg</w:t>
            </w:r>
          </w:p>
        </w:tc>
        <w:tc>
          <w:tcPr>
            <w:tcW w:type="dxa" w:w="1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degrees (0–90)</w:t>
            </w:r>
          </w:p>
        </w:tc>
        <w:tc>
          <w:tcPr>
            <w:tcW w:type="dxa" w:w="18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&lt; 5° mandatory</w:t>
            </w:r>
          </w:p>
        </w:tc>
        <w:tc>
          <w:tcPr>
            <w:tcW w:type="dxa" w:w="40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6% SHAP — steep sites need expensive civil works; &gt; 5° excluded entirely</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aspect_deg</w:t>
            </w:r>
          </w:p>
        </w:tc>
        <w:tc>
          <w:tcPr>
            <w:tcW w:type="dxa" w:w="1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degrees (0–360)</w:t>
            </w:r>
          </w:p>
        </w:tc>
        <w:tc>
          <w:tcPr>
            <w:tcW w:type="dxa" w:w="1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South (180°) optimal</w:t>
            </w:r>
          </w:p>
        </w:tc>
        <w:tc>
          <w:tcPr>
            <w:tcW w:type="dxa" w:w="4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South-facing slopes receive most irradiance in Northern Hemisphere</w:t>
            </w:r>
          </w:p>
        </w:tc>
      </w:tr>
      <w:tr>
        <w:tc>
          <w:tcPr>
            <w:tcW w:type="dxa" w:w="20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slope_deviation</w:t>
            </w:r>
          </w:p>
        </w:tc>
        <w:tc>
          <w:tcPr>
            <w:tcW w:type="dxa" w:w="1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degrees</w:t>
            </w:r>
          </w:p>
        </w:tc>
        <w:tc>
          <w:tcPr>
            <w:tcW w:type="dxa" w:w="18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&lt; 15° preferred</w:t>
            </w:r>
          </w:p>
        </w:tc>
        <w:tc>
          <w:tcPr>
            <w:tcW w:type="dxa" w:w="40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How much terrain slope deviates from optimal panel tilt (≈ latitude)</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terrain_ruggedness</w:t>
            </w:r>
          </w:p>
        </w:tc>
        <w:tc>
          <w:tcPr>
            <w:tcW w:type="dxa" w:w="1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metres</w:t>
            </w:r>
          </w:p>
        </w:tc>
        <w:tc>
          <w:tcPr>
            <w:tcW w:type="dxa" w:w="1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&lt; 10m ideal</w:t>
            </w:r>
          </w:p>
        </w:tc>
        <w:tc>
          <w:tcPr>
            <w:tcW w:type="dxa" w:w="4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3.2% SHAP — higher ruggedness = complex civil works = higher cost</w:t>
            </w:r>
          </w:p>
        </w:tc>
      </w:tr>
      <w:tr>
        <w:tc>
          <w:tcPr>
            <w:tcW w:type="dxa" w:w="20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elevation_range_1km</w:t>
            </w:r>
          </w:p>
        </w:tc>
        <w:tc>
          <w:tcPr>
            <w:tcW w:type="dxa" w:w="1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metres</w:t>
            </w:r>
          </w:p>
        </w:tc>
        <w:tc>
          <w:tcPr>
            <w:tcW w:type="dxa" w:w="18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&lt; 20m ideal</w:t>
            </w:r>
          </w:p>
        </w:tc>
        <w:tc>
          <w:tcPr>
            <w:tcW w:type="dxa" w:w="40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Terrain complexity at project scale; high range = extensive grading needed</w:t>
            </w:r>
          </w:p>
        </w:tc>
      </w:tr>
    </w:tbl>
    <w:p/>
    <w:p>
      <w:pPr>
        <w:pStyle w:val="Heading2"/>
        <w:spacing w:before="360" w:after="160"/>
      </w:pPr>
      <w:r>
        <w:rPr>
          <w:rFonts w:ascii="Arial" w:cs="Arial" w:eastAsia="Arial" w:hAnsi="Arial"/>
          <w:b/>
          <w:bCs/>
          <w:color w:val="1E293B"/>
          <w:sz w:val="28"/>
          <w:szCs w:val="28"/>
        </w:rPr>
        <w:t xml:space="preserve">3.4  Category 3 — Land Use (7 Features)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5160"/>
      </w:tblGrid>
      <w:tr>
        <w:tc>
          <w:tcPr>
            <w:tcW w:type="dxa" w:w="2000"/>
            <w:tcBorders>
              <w:top w:val="single" w:color="CBD5E1" w:sz="1"/>
              <w:left w:val="single" w:color="CBD5E1" w:sz="1"/>
              <w:bottom w:val="single" w:color="CBD5E1" w:sz="1"/>
              <w:right w:val="single" w:color="CBD5E1" w:sz="1"/>
            </w:tcBorders>
            <w:shd w:fill="0F172A"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Feature</w:t>
            </w:r>
          </w:p>
        </w:tc>
        <w:tc>
          <w:tcPr>
            <w:tcW w:type="dxa" w:w="2200"/>
            <w:tcBorders>
              <w:top w:val="single" w:color="CBD5E1" w:sz="1"/>
              <w:left w:val="single" w:color="CBD5E1" w:sz="1"/>
              <w:bottom w:val="single" w:color="CBD5E1" w:sz="1"/>
              <w:right w:val="single" w:color="CBD5E1" w:sz="1"/>
            </w:tcBorders>
            <w:shd w:fill="0F172A"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Source</w:t>
            </w:r>
          </w:p>
        </w:tc>
        <w:tc>
          <w:tcPr>
            <w:tcW w:type="dxa" w:w="5160"/>
            <w:tcBorders>
              <w:top w:val="single" w:color="CBD5E1" w:sz="1"/>
              <w:left w:val="single" w:color="CBD5E1" w:sz="1"/>
              <w:bottom w:val="single" w:color="CBD5E1" w:sz="1"/>
              <w:right w:val="single" w:color="CBD5E1" w:sz="1"/>
            </w:tcBorders>
            <w:shd w:fill="0F172A"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Suitability</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landuse_code</w:t>
            </w:r>
          </w:p>
        </w:tc>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ISRO Bhuvan LULC 56m</w:t>
            </w:r>
          </w:p>
        </w:tc>
        <w:tc>
          <w:tcPr>
            <w:tcW w:type="dxa" w:w="5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Wasteland=0.9 (best), Agriculture=0.5 (flagged), Forest=0.0 (excluded), Urban=0.0 (excluded)</w:t>
            </w:r>
          </w:p>
        </w:tc>
      </w:tr>
      <w:tr>
        <w:tc>
          <w:tcPr>
            <w:tcW w:type="dxa" w:w="20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land_suitability</w:t>
            </w:r>
          </w:p>
        </w:tc>
        <w:tc>
          <w:tcPr>
            <w:tcW w:type="dxa" w:w="22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Derived from LULC code</w:t>
            </w:r>
          </w:p>
        </w:tc>
        <w:tc>
          <w:tcPr>
            <w:tcW w:type="dxa" w:w="51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6.3% SHAP — composite 0–1 score; Top 100 TG sites: 85% wasteland, 12% degraded</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wasteland_pct</w:t>
            </w:r>
          </w:p>
        </w:tc>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ISRO LULC in 5km radius</w:t>
            </w:r>
          </w:p>
        </w:tc>
        <w:tc>
          <w:tcPr>
            <w:tcW w:type="dxa" w:w="5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Higher = better; reduces land acquisition risk and cost</w:t>
            </w:r>
          </w:p>
        </w:tc>
      </w:tr>
      <w:tr>
        <w:tc>
          <w:tcPr>
            <w:tcW w:type="dxa" w:w="20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agriculture_pct</w:t>
            </w:r>
          </w:p>
        </w:tc>
        <w:tc>
          <w:tcPr>
            <w:tcW w:type="dxa" w:w="22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ISRO LULC in 5km radius</w:t>
            </w:r>
          </w:p>
        </w:tc>
        <w:tc>
          <w:tcPr>
            <w:tcW w:type="dxa" w:w="51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Food vs energy conflict flag; sites &gt; 50% agriculture deprioritised</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forest_pct</w:t>
            </w:r>
          </w:p>
        </w:tc>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ISRO + WII Forest Survey</w:t>
            </w:r>
          </w:p>
        </w:tc>
        <w:tc>
          <w:tcPr>
            <w:tcW w:type="dxa" w:w="5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Exclusion trigger: forest overlap &gt; 0 triggers EIA Category A/B1</w:t>
            </w:r>
          </w:p>
        </w:tc>
      </w:tr>
      <w:tr>
        <w:tc>
          <w:tcPr>
            <w:tcW w:type="dxa" w:w="20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dist_protected_km</w:t>
            </w:r>
          </w:p>
        </w:tc>
        <w:tc>
          <w:tcPr>
            <w:tcW w:type="dxa" w:w="22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WDPA + WII (km)</w:t>
            </w:r>
          </w:p>
        </w:tc>
        <w:tc>
          <w:tcPr>
            <w:tcW w:type="dxa" w:w="51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&lt; 10km buffer = difficult EIA; used as hard constraint in exclusion layer</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land_acquisition_risk</w:t>
            </w:r>
          </w:p>
        </w:tc>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Population density proxy</w:t>
            </w:r>
          </w:p>
        </w:tc>
        <w:tc>
          <w:tcPr>
            <w:tcW w:type="dxa" w:w="5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Higher density = more people to relocate = higher risk and cost</w:t>
            </w:r>
          </w:p>
        </w:tc>
      </w:tr>
    </w:tbl>
    <w:p/>
    <w:p>
      <w:pPr>
        <w:pStyle w:val="Heading2"/>
        <w:spacing w:before="360" w:after="160"/>
      </w:pPr>
      <w:r>
        <w:rPr>
          <w:rFonts w:ascii="Arial" w:cs="Arial" w:eastAsia="Arial" w:hAnsi="Arial"/>
          <w:b/>
          <w:bCs/>
          <w:color w:val="1E293B"/>
          <w:sz w:val="28"/>
          <w:szCs w:val="28"/>
        </w:rPr>
        <w:t xml:space="preserve">3.5  Category 4 — Infrastructure (6 Features)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5160"/>
      </w:tblGrid>
      <w:tr>
        <w:tc>
          <w:tcPr>
            <w:tcW w:type="dxa" w:w="2000"/>
            <w:tcBorders>
              <w:top w:val="single" w:color="CBD5E1" w:sz="1"/>
              <w:left w:val="single" w:color="CBD5E1" w:sz="1"/>
              <w:bottom w:val="single" w:color="CBD5E1" w:sz="1"/>
              <w:right w:val="single" w:color="CBD5E1" w:sz="1"/>
            </w:tcBorders>
            <w:shd w:fill="0F172A"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Feature</w:t>
            </w:r>
          </w:p>
        </w:tc>
        <w:tc>
          <w:tcPr>
            <w:tcW w:type="dxa" w:w="2200"/>
            <w:tcBorders>
              <w:top w:val="single" w:color="CBD5E1" w:sz="1"/>
              <w:left w:val="single" w:color="CBD5E1" w:sz="1"/>
              <w:bottom w:val="single" w:color="CBD5E1" w:sz="1"/>
              <w:right w:val="single" w:color="CBD5E1" w:sz="1"/>
            </w:tcBorders>
            <w:shd w:fill="0F172A"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Source</w:t>
            </w:r>
          </w:p>
        </w:tc>
        <w:tc>
          <w:tcPr>
            <w:tcW w:type="dxa" w:w="5160"/>
            <w:tcBorders>
              <w:top w:val="single" w:color="CBD5E1" w:sz="1"/>
              <w:left w:val="single" w:color="CBD5E1" w:sz="1"/>
              <w:bottom w:val="single" w:color="CBD5E1" w:sz="1"/>
              <w:right w:val="single" w:color="CBD5E1" w:sz="1"/>
            </w:tcBorders>
            <w:shd w:fill="0F172A"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Impact on Site</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dist_road_km</w:t>
            </w:r>
          </w:p>
        </w:tc>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OpenStreetMap</w:t>
            </w:r>
          </w:p>
        </w:tc>
        <w:tc>
          <w:tcPr>
            <w:tcW w:type="dxa" w:w="5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3.8% SHAP — construction access and O&amp;M logistics; &gt; 20km adds cost</w:t>
            </w:r>
          </w:p>
        </w:tc>
      </w:tr>
      <w:tr>
        <w:tc>
          <w:tcPr>
            <w:tcW w:type="dxa" w:w="20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dist_grid_km</w:t>
            </w:r>
          </w:p>
        </w:tc>
        <w:tc>
          <w:tcPr>
            <w:tcW w:type="dxa" w:w="22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CEA substations + OSM</w:t>
            </w:r>
          </w:p>
        </w:tc>
        <w:tc>
          <w:tcPr>
            <w:tcW w:type="dxa" w:w="51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5.9% SHAP — grid connection cost ≈ ₹50L/km; &gt; 30km often not viable</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dist_substation_km</w:t>
            </w:r>
          </w:p>
        </w:tc>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CEA manual compilation</w:t>
            </w:r>
          </w:p>
        </w:tc>
        <w:tc>
          <w:tcPr>
            <w:tcW w:type="dxa" w:w="5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Nearest 33/132 kV substation; determines evacuation infrastructure cost</w:t>
            </w:r>
          </w:p>
        </w:tc>
      </w:tr>
      <w:tr>
        <w:tc>
          <w:tcPr>
            <w:tcW w:type="dxa" w:w="20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accessibility_score</w:t>
            </w:r>
          </w:p>
        </w:tc>
        <w:tc>
          <w:tcPr>
            <w:tcW w:type="dxa" w:w="22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Composite: road + grid + urban</w:t>
            </w:r>
          </w:p>
        </w:tc>
        <w:tc>
          <w:tcPr>
            <w:tcW w:type="dxa" w:w="51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7.8% SHAP — combined infra score 0–1; best predictor after GHI + temp</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dist_city_km</w:t>
            </w:r>
          </w:p>
        </w:tc>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GADM + OSM</w:t>
            </w:r>
          </w:p>
        </w:tc>
        <w:tc>
          <w:tcPr>
            <w:tcW w:type="dxa" w:w="5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Labour availability, supply chain proximity; &gt; 100km increases O&amp;M cost</w:t>
            </w:r>
          </w:p>
        </w:tc>
      </w:tr>
      <w:tr>
        <w:tc>
          <w:tcPr>
            <w:tcW w:type="dxa" w:w="20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grid_voltage_kv</w:t>
            </w:r>
          </w:p>
        </w:tc>
        <w:tc>
          <w:tcPr>
            <w:tcW w:type="dxa" w:w="22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CEA substation data</w:t>
            </w:r>
          </w:p>
        </w:tc>
        <w:tc>
          <w:tcPr>
            <w:tcW w:type="dxa" w:w="51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Higher voltage = more capacity available; 220kV preferred for &gt; 100MW plants</w:t>
            </w:r>
          </w:p>
        </w:tc>
      </w:tr>
    </w:tbl>
    <w:p/>
    <w:p>
      <w:pPr>
        <w:pStyle w:val="Heading2"/>
        <w:spacing w:before="360" w:after="160"/>
      </w:pPr>
      <w:r>
        <w:rPr>
          <w:rFonts w:ascii="Arial" w:cs="Arial" w:eastAsia="Arial" w:hAnsi="Arial"/>
          <w:b/>
          <w:bCs/>
          <w:color w:val="1E293B"/>
          <w:sz w:val="28"/>
          <w:szCs w:val="28"/>
        </w:rPr>
        <w:t xml:space="preserve">3.6  Categories 5–9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500"/>
        <w:gridCol w:w="4060"/>
      </w:tblGrid>
      <w:tr>
        <w:tc>
          <w:tcPr>
            <w:tcW w:type="dxa" w:w="1800"/>
            <w:tcBorders>
              <w:top w:val="single" w:color="CBD5E1" w:sz="1"/>
              <w:left w:val="single" w:color="CBD5E1" w:sz="1"/>
              <w:bottom w:val="single" w:color="CBD5E1" w:sz="1"/>
              <w:right w:val="single" w:color="CBD5E1" w:sz="1"/>
            </w:tcBorders>
            <w:shd w:fill="0F172A"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Category</w:t>
            </w:r>
          </w:p>
        </w:tc>
        <w:tc>
          <w:tcPr>
            <w:tcW w:type="dxa" w:w="3500"/>
            <w:tcBorders>
              <w:top w:val="single" w:color="CBD5E1" w:sz="1"/>
              <w:left w:val="single" w:color="CBD5E1" w:sz="1"/>
              <w:bottom w:val="single" w:color="CBD5E1" w:sz="1"/>
              <w:right w:val="single" w:color="CBD5E1" w:sz="1"/>
            </w:tcBorders>
            <w:shd w:fill="0F172A"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Key Features</w:t>
            </w:r>
          </w:p>
        </w:tc>
        <w:tc>
          <w:tcPr>
            <w:tcW w:type="dxa" w:w="4060"/>
            <w:tcBorders>
              <w:top w:val="single" w:color="CBD5E1" w:sz="1"/>
              <w:left w:val="single" w:color="CBD5E1" w:sz="1"/>
              <w:bottom w:val="single" w:color="CBD5E1" w:sz="1"/>
              <w:right w:val="single" w:color="CBD5E1" w:sz="1"/>
            </w:tcBorders>
            <w:shd w:fill="0F172A"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Notes</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Climate (6)</w:t>
            </w:r>
          </w:p>
        </w:tc>
        <w:tc>
          <w:tcPr>
            <w:tcW w:type="dxa" w:w="35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annual_rainfall_mm, wind_speed, aerosol_optical_depth (AOD), humidity, extreme_heat_days, cyclone_risk</w:t>
            </w:r>
          </w:p>
        </w:tc>
        <w:tc>
          <w:tcPr>
            <w:tcW w:type="dxa" w:w="40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AOD (2.3% SHAP) = dust/haze soiling proxy; rainfall cleans panels; extreme heat damages inverters</w:t>
            </w:r>
          </w:p>
        </w:tc>
      </w:tr>
      <w:tr>
        <w:tc>
          <w:tcPr>
            <w:tcW w:type="dxa" w:w="18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Environmental (4)</w:t>
            </w:r>
          </w:p>
        </w:tc>
        <w:tc>
          <w:tcPr>
            <w:tcW w:type="dxa" w:w="35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biodiversity_index, water_stress, flood_risk, seismic_zone</w:t>
            </w:r>
          </w:p>
        </w:tc>
        <w:tc>
          <w:tcPr>
            <w:tcW w:type="dxa" w:w="40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Primarily used in exclusion logic; seismic zone IV/V adds 10–15% structural cost</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Grid &amp; Energy (3)</w:t>
            </w:r>
          </w:p>
        </w:tc>
        <w:tc>
          <w:tcPr>
            <w:tcW w:type="dxa" w:w="35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grid_congestion_index, nearby_solar_capacity_mw, transmission_loss_est</w:t>
            </w:r>
          </w:p>
        </w:tc>
        <w:tc>
          <w:tcPr>
            <w:tcW w:type="dxa" w:w="40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Phase 2 features; congestion = curtailment risk; clustering = proven resource but saturated grid</w:t>
            </w:r>
          </w:p>
        </w:tc>
      </w:tr>
      <w:tr>
        <w:tc>
          <w:tcPr>
            <w:tcW w:type="dxa" w:w="18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Economic (3)</w:t>
            </w:r>
          </w:p>
        </w:tc>
        <w:tc>
          <w:tcPr>
            <w:tcW w:type="dxa" w:w="35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land_cost_index, population_density, political_willingness</w:t>
            </w:r>
          </w:p>
        </w:tc>
        <w:tc>
          <w:tcPr>
            <w:tcW w:type="dxa" w:w="40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Phase 2; land cost dominates CAPEX for sites &gt; 50km from wasteland zones</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Derived Interactions (2)</w:t>
            </w:r>
          </w:p>
        </w:tc>
        <w:tc>
          <w:tcPr>
            <w:tcW w:type="dxa" w:w="35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ghi_x_accessibility (4.7%), temp_loss_factor, installation_difficulty</w:t>
            </w:r>
          </w:p>
        </w:tc>
        <w:tc>
          <w:tcPr>
            <w:tcW w:type="dxa" w:w="40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Non-linear interaction terms; ghi×accessibility captures 'great resource but unreachable' penalty</w:t>
            </w:r>
          </w:p>
        </w:tc>
      </w:tr>
    </w:tbl>
    <w:p>
      <w:r>
        <w:br w:type="page"/>
      </w:r>
    </w:p>
    <w:p>
      <w:pPr>
        <w:pStyle w:val="Heading1"/>
        <w:pBdr>
          <w:bottom w:val="single" w:color="E8590C" w:sz="8" w:space="1"/>
        </w:pBdr>
        <w:spacing w:before="480" w:after="200"/>
      </w:pPr>
      <w:r>
        <w:rPr>
          <w:rFonts w:ascii="Arial" w:cs="Arial" w:eastAsia="Arial" w:hAnsi="Arial"/>
          <w:b/>
          <w:bCs/>
          <w:color w:val="E8590C"/>
          <w:sz w:val="36"/>
          <w:szCs w:val="36"/>
        </w:rPr>
        <w:t xml:space="preserve">PART 4 — MACHINE LEARNING PIPELINE</w:t>
      </w:r>
    </w:p>
    <w:p>
      <w:pPr>
        <w:pStyle w:val="Heading2"/>
        <w:spacing w:before="360" w:after="160"/>
      </w:pPr>
      <w:r>
        <w:rPr>
          <w:rFonts w:ascii="Arial" w:cs="Arial" w:eastAsia="Arial" w:hAnsi="Arial"/>
          <w:b/>
          <w:bCs/>
          <w:color w:val="1E293B"/>
          <w:sz w:val="28"/>
          <w:szCs w:val="28"/>
        </w:rPr>
        <w:t xml:space="preserve">4.1  Problem Formulation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BD5E1" w:sz="1"/>
              <w:left w:val="single" w:color="CBD5E1" w:sz="1"/>
              <w:bottom w:val="single" w:color="CBD5E1" w:sz="1"/>
              <w:right w:val="single" w:color="CBD5E1" w:sz="1"/>
            </w:tcBorders>
            <w:shd w:fill="0F172A"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Aspect</w:t>
            </w:r>
          </w:p>
        </w:tc>
        <w:tc>
          <w:tcPr>
            <w:tcW w:type="dxa" w:w="6960"/>
            <w:tcBorders>
              <w:top w:val="single" w:color="CBD5E1" w:sz="1"/>
              <w:left w:val="single" w:color="CBD5E1" w:sz="1"/>
              <w:bottom w:val="single" w:color="CBD5E1" w:sz="1"/>
              <w:right w:val="single" w:color="CBD5E1" w:sz="1"/>
            </w:tcBorders>
            <w:shd w:fill="0F172A"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Detail</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Task Type</w:t>
            </w:r>
          </w:p>
        </w:tc>
        <w:tc>
          <w:tcPr>
            <w:tcW w:type="dxa" w:w="69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Supervised Regression</w:t>
            </w:r>
          </w:p>
        </w:tc>
      </w:tr>
      <w:tr>
        <w:tc>
          <w:tcPr>
            <w:tcW w:type="dxa" w:w="24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Input X</w:t>
            </w:r>
          </w:p>
        </w:tc>
        <w:tc>
          <w:tcPr>
            <w:tcW w:type="dxa" w:w="69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42-dimensional feature vector per candidate site</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Output y (Training Label)</w:t>
            </w:r>
          </w:p>
        </w:tc>
        <w:tc>
          <w:tcPr>
            <w:tcW w:type="dxa" w:w="69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Annual CUF % or Annual Generation MWh/year — from CEA Monthly Generation Reports (MEASURED, not derived)</w:t>
            </w:r>
          </w:p>
        </w:tc>
      </w:tr>
      <w:tr>
        <w:tc>
          <w:tcPr>
            <w:tcW w:type="dxa" w:w="24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Objective</w:t>
            </w:r>
          </w:p>
        </w:tc>
        <w:tc>
          <w:tcPr>
            <w:tcW w:type="dxa" w:w="69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MAPE &lt; 15% on held-out test set; R² &gt; 0.85</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Training Set</w:t>
            </w:r>
          </w:p>
        </w:tc>
        <w:tc>
          <w:tcPr>
            <w:tcW w:type="dxa" w:w="69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127 existing solar plants with known locations + actual generation</w:t>
            </w:r>
          </w:p>
        </w:tc>
      </w:tr>
      <w:tr>
        <w:tc>
          <w:tcPr>
            <w:tcW w:type="dxa" w:w="24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Validation Strategy</w:t>
            </w:r>
          </w:p>
        </w:tc>
        <w:tc>
          <w:tcPr>
            <w:tcW w:type="dxa" w:w="69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GroupKFold (5 folds, stratified by state) — tests geographic generalisation</w:t>
            </w:r>
          </w:p>
        </w:tc>
      </w:tr>
    </w:tbl>
    <w:p/>
    <w:p>
      <w:pPr>
        <w:pStyle w:val="Heading2"/>
        <w:spacing w:before="360" w:after="160"/>
      </w:pPr>
      <w:r>
        <w:rPr>
          <w:rFonts w:ascii="Arial" w:cs="Arial" w:eastAsia="Arial" w:hAnsi="Arial"/>
          <w:b/>
          <w:bCs/>
          <w:color w:val="1E293B"/>
          <w:sz w:val="28"/>
          <w:szCs w:val="28"/>
        </w:rPr>
        <w:t xml:space="preserve">4.2  What to Use as Training Targets (Critical)</w:t>
      </w:r>
    </w:p>
    <w:p>
      <w:pPr>
        <w:pBdr>
          <w:left w:val="single" w:color="991B1B" w:sz="14" w:space="2"/>
        </w:pBdr>
        <w:shd w:fill="FEE2E2" w:val="clear"/>
        <w:spacing w:before="80" w:after="80"/>
        <w:ind w:left="240" w:right="240"/>
      </w:pPr>
      <w:r>
        <w:rPr>
          <w:rFonts w:ascii="Arial" w:cs="Arial" w:eastAsia="Arial" w:hAnsi="Arial"/>
          <w:b/>
          <w:bCs/>
          <w:color w:val="991B1B"/>
          <w:sz w:val="19"/>
          <w:szCs w:val="19"/>
        </w:rPr>
        <w:t xml:space="preserve">  DO NOT use district Excel values as training labels. They are derived from formulas (pop × constant), not measured. Using them as labels teaches the model to replicate a formula — not learn from physics.  </w:t>
      </w:r>
    </w:p>
    <w:p>
      <w:pPr>
        <w:pBdr>
          <w:left w:val="single" w:color="166534" w:sz="14" w:space="2"/>
        </w:pBdr>
        <w:shd w:fill="DCFCE7" w:val="clear"/>
        <w:spacing w:before="80" w:after="80"/>
        <w:ind w:left="240" w:right="240"/>
      </w:pPr>
      <w:r>
        <w:rPr>
          <w:rFonts w:ascii="Arial" w:cs="Arial" w:eastAsia="Arial" w:hAnsi="Arial"/>
          <w:b/>
          <w:bCs/>
          <w:color w:val="166534"/>
          <w:sz w:val="19"/>
          <w:szCs w:val="19"/>
        </w:rPr>
        <w:t xml:space="preserve">  USE: CEA Monthly Generation Review (cea.nic.in → Reports → Monthly Generation Review). Sum 12 months per plant = annual MWh. Compute CUF = actual_MWh ÷ (MW × 8760). That is your training label.  </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2000"/>
        <w:gridCol w:w="2560"/>
      </w:tblGrid>
      <w:tr>
        <w:tc>
          <w:tcPr>
            <w:tcW w:type="dxa" w:w="2000"/>
            <w:tcBorders>
              <w:top w:val="single" w:color="CBD5E1" w:sz="1"/>
              <w:left w:val="single" w:color="CBD5E1" w:sz="1"/>
              <w:bottom w:val="single" w:color="CBD5E1" w:sz="1"/>
              <w:right w:val="single" w:color="CBD5E1" w:sz="1"/>
            </w:tcBorders>
            <w:shd w:fill="0F172A"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ML Task</w:t>
            </w:r>
          </w:p>
        </w:tc>
        <w:tc>
          <w:tcPr>
            <w:tcW w:type="dxa" w:w="2800"/>
            <w:tcBorders>
              <w:top w:val="single" w:color="CBD5E1" w:sz="1"/>
              <w:left w:val="single" w:color="CBD5E1" w:sz="1"/>
              <w:bottom w:val="single" w:color="CBD5E1" w:sz="1"/>
              <w:right w:val="single" w:color="CBD5E1" w:sz="1"/>
            </w:tcBorders>
            <w:shd w:fill="0F172A"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Input Features</w:t>
            </w:r>
          </w:p>
        </w:tc>
        <w:tc>
          <w:tcPr>
            <w:tcW w:type="dxa" w:w="2000"/>
            <w:tcBorders>
              <w:top w:val="single" w:color="CBD5E1" w:sz="1"/>
              <w:left w:val="single" w:color="CBD5E1" w:sz="1"/>
              <w:bottom w:val="single" w:color="CBD5E1" w:sz="1"/>
              <w:right w:val="single" w:color="CBD5E1" w:sz="1"/>
            </w:tcBorders>
            <w:shd w:fill="0F172A"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Training Label</w:t>
            </w:r>
          </w:p>
        </w:tc>
        <w:tc>
          <w:tcPr>
            <w:tcW w:type="dxa" w:w="2560"/>
            <w:tcBorders>
              <w:top w:val="single" w:color="CBD5E1" w:sz="1"/>
              <w:left w:val="single" w:color="CBD5E1" w:sz="1"/>
              <w:bottom w:val="single" w:color="CBD5E1" w:sz="1"/>
              <w:right w:val="single" w:color="CBD5E1" w:sz="1"/>
            </w:tcBorders>
            <w:shd w:fill="0F172A"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Label Source</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Generation Forecasting</w:t>
            </w:r>
          </w:p>
        </w:tc>
        <w:tc>
          <w:tcPr>
            <w:tcW w:type="dxa" w:w="2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GHI, temperature, slope, land use, grid distance…</w:t>
            </w:r>
          </w:p>
        </w:tc>
        <w:tc>
          <w:tcPr>
            <w:tcW w:type="dxa" w:w="2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Annual MWh/MW (CUF %)</w:t>
            </w:r>
          </w:p>
        </w:tc>
        <w:tc>
          <w:tcPr>
            <w:tcW w:type="dxa" w:w="2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CEA Monthly Generation Reports FY2019–2024</w:t>
            </w:r>
          </w:p>
        </w:tc>
      </w:tr>
      <w:tr>
        <w:tc>
          <w:tcPr>
            <w:tcW w:type="dxa" w:w="20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Suitability Scoring</w:t>
            </w:r>
          </w:p>
        </w:tc>
        <w:tc>
          <w:tcPr>
            <w:tcW w:type="dxa" w:w="28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All 42 features</w:t>
            </w:r>
          </w:p>
        </w:tc>
        <w:tc>
          <w:tcPr>
            <w:tcW w:type="dxa" w:w="20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Composite suitability 0–1</w:t>
            </w:r>
          </w:p>
        </w:tc>
        <w:tc>
          <w:tcPr>
            <w:tcW w:type="dxa" w:w="25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Engineered from CUF + exclusion flags</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Demand-Gap Analysis</w:t>
            </w:r>
          </w:p>
        </w:tc>
        <w:tc>
          <w:tcPr>
            <w:tcW w:type="dxa" w:w="2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Our district dataset as FEATURE INPUT</w:t>
            </w:r>
          </w:p>
        </w:tc>
        <w:tc>
          <w:tcPr>
            <w:tcW w:type="dxa" w:w="2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Not a label — used as contextual feature</w:t>
            </w:r>
          </w:p>
        </w:tc>
        <w:tc>
          <w:tcPr>
            <w:tcW w:type="dxa" w:w="2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Our Excel feeds in as feature, not target</w:t>
            </w:r>
          </w:p>
        </w:tc>
      </w:tr>
    </w:tbl>
    <w:p/>
    <w:p>
      <w:pPr>
        <w:pStyle w:val="Heading2"/>
        <w:spacing w:before="360" w:after="160"/>
      </w:pPr>
      <w:r>
        <w:rPr>
          <w:rFonts w:ascii="Arial" w:cs="Arial" w:eastAsia="Arial" w:hAnsi="Arial"/>
          <w:b/>
          <w:bCs/>
          <w:color w:val="1E293B"/>
          <w:sz w:val="28"/>
          <w:szCs w:val="28"/>
        </w:rPr>
        <w:t xml:space="preserve">4.3  Model Architecture — Three-Model Ensemble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500"/>
        <w:gridCol w:w="2800"/>
        <w:gridCol w:w="2260"/>
      </w:tblGrid>
      <w:tr>
        <w:tc>
          <w:tcPr>
            <w:tcW w:type="dxa" w:w="1800"/>
            <w:tcBorders>
              <w:top w:val="single" w:color="CBD5E1" w:sz="1"/>
              <w:left w:val="single" w:color="CBD5E1" w:sz="1"/>
              <w:bottom w:val="single" w:color="CBD5E1" w:sz="1"/>
              <w:right w:val="single" w:color="CBD5E1" w:sz="1"/>
            </w:tcBorders>
            <w:shd w:fill="0F172A"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Model</w:t>
            </w:r>
          </w:p>
        </w:tc>
        <w:tc>
          <w:tcPr>
            <w:tcW w:type="dxa" w:w="2500"/>
            <w:tcBorders>
              <w:top w:val="single" w:color="CBD5E1" w:sz="1"/>
              <w:left w:val="single" w:color="CBD5E1" w:sz="1"/>
              <w:bottom w:val="single" w:color="CBD5E1" w:sz="1"/>
              <w:right w:val="single" w:color="CBD5E1" w:sz="1"/>
            </w:tcBorders>
            <w:shd w:fill="0F172A"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Role</w:t>
            </w:r>
          </w:p>
        </w:tc>
        <w:tc>
          <w:tcPr>
            <w:tcW w:type="dxa" w:w="2800"/>
            <w:tcBorders>
              <w:top w:val="single" w:color="CBD5E1" w:sz="1"/>
              <w:left w:val="single" w:color="CBD5E1" w:sz="1"/>
              <w:bottom w:val="single" w:color="CBD5E1" w:sz="1"/>
              <w:right w:val="single" w:color="CBD5E1" w:sz="1"/>
            </w:tcBorders>
            <w:shd w:fill="0F172A"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Key Params</w:t>
            </w:r>
          </w:p>
        </w:tc>
        <w:tc>
          <w:tcPr>
            <w:tcW w:type="dxa" w:w="2260"/>
            <w:tcBorders>
              <w:top w:val="single" w:color="CBD5E1" w:sz="1"/>
              <w:left w:val="single" w:color="CBD5E1" w:sz="1"/>
              <w:bottom w:val="single" w:color="CBD5E1" w:sz="1"/>
              <w:right w:val="single" w:color="CBD5E1" w:sz="1"/>
            </w:tcBorders>
            <w:shd w:fill="0F172A"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Weight in Ensemble</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Random Forest</w:t>
            </w:r>
          </w:p>
        </w:tc>
        <w:tc>
          <w:tcPr>
            <w:tcW w:type="dxa" w:w="25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Baseline — robust, interpretable</w:t>
            </w:r>
          </w:p>
        </w:tc>
        <w:tc>
          <w:tcPr>
            <w:tcW w:type="dxa" w:w="2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n_estimators=500, max_depth=20</w:t>
            </w:r>
          </w:p>
        </w:tc>
        <w:tc>
          <w:tcPr>
            <w:tcW w:type="dxa" w:w="22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30%</w:t>
            </w:r>
          </w:p>
        </w:tc>
      </w:tr>
      <w:tr>
        <w:tc>
          <w:tcPr>
            <w:tcW w:type="dxa" w:w="18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XGBoost</w:t>
            </w:r>
          </w:p>
        </w:tc>
        <w:tc>
          <w:tcPr>
            <w:tcW w:type="dxa" w:w="25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Primary — best validation performance</w:t>
            </w:r>
          </w:p>
        </w:tc>
        <w:tc>
          <w:tcPr>
            <w:tcW w:type="dxa" w:w="28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n_estimators=1000, lr=0.05, max_depth=6</w:t>
            </w:r>
          </w:p>
        </w:tc>
        <w:tc>
          <w:tcPr>
            <w:tcW w:type="dxa" w:w="22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50%</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Gradient Boosting</w:t>
            </w:r>
          </w:p>
        </w:tc>
        <w:tc>
          <w:tcPr>
            <w:tcW w:type="dxa" w:w="25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Diversity — different error profile</w:t>
            </w:r>
          </w:p>
        </w:tc>
        <w:tc>
          <w:tcPr>
            <w:tcW w:type="dxa" w:w="2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n_estimators=1000, lr=0.05, max_depth=4</w:t>
            </w:r>
          </w:p>
        </w:tc>
        <w:tc>
          <w:tcPr>
            <w:tcW w:type="dxa" w:w="22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20%</w:t>
            </w:r>
          </w:p>
        </w:tc>
      </w:tr>
    </w:tbl>
    <w:p>
      <w:pPr>
        <w:spacing w:after="120"/>
      </w:pPr>
      <w:r>
        <w:rPr>
          <w:rFonts w:ascii="Arial" w:cs="Arial" w:eastAsia="Arial" w:hAnsi="Arial"/>
          <w:color w:val="1E293B"/>
          <w:sz w:val="20"/>
          <w:szCs w:val="20"/>
        </w:rPr>
        <w:t xml:space="preserve">Final prediction = 0.30 × RF + 0.50 × XGB + 0.20 × GB</w:t>
      </w:r>
    </w:p>
    <w:p/>
    <w:p>
      <w:pPr>
        <w:pStyle w:val="Heading2"/>
        <w:spacing w:before="360" w:after="160"/>
      </w:pPr>
      <w:r>
        <w:rPr>
          <w:rFonts w:ascii="Arial" w:cs="Arial" w:eastAsia="Arial" w:hAnsi="Arial"/>
          <w:b/>
          <w:bCs/>
          <w:color w:val="1E293B"/>
          <w:sz w:val="28"/>
          <w:szCs w:val="28"/>
        </w:rPr>
        <w:t xml:space="preserve">4.4  Validated Performance (Target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1600"/>
        <w:gridCol w:w="1600"/>
        <w:gridCol w:w="2360"/>
      </w:tblGrid>
      <w:tr>
        <w:tc>
          <w:tcPr>
            <w:tcW w:type="dxa" w:w="2400"/>
            <w:tcBorders>
              <w:top w:val="single" w:color="CBD5E1" w:sz="1"/>
              <w:left w:val="single" w:color="CBD5E1" w:sz="1"/>
              <w:bottom w:val="single" w:color="CBD5E1" w:sz="1"/>
              <w:right w:val="single" w:color="CBD5E1" w:sz="1"/>
            </w:tcBorders>
            <w:shd w:fill="0F172A"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Model</w:t>
            </w:r>
          </w:p>
        </w:tc>
        <w:tc>
          <w:tcPr>
            <w:tcW w:type="dxa" w:w="1400"/>
            <w:tcBorders>
              <w:top w:val="single" w:color="CBD5E1" w:sz="1"/>
              <w:left w:val="single" w:color="CBD5E1" w:sz="1"/>
              <w:bottom w:val="single" w:color="CBD5E1" w:sz="1"/>
              <w:right w:val="single" w:color="CBD5E1" w:sz="1"/>
            </w:tcBorders>
            <w:shd w:fill="0F172A"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R²</w:t>
            </w:r>
          </w:p>
        </w:tc>
        <w:tc>
          <w:tcPr>
            <w:tcW w:type="dxa" w:w="1600"/>
            <w:tcBorders>
              <w:top w:val="single" w:color="CBD5E1" w:sz="1"/>
              <w:left w:val="single" w:color="CBD5E1" w:sz="1"/>
              <w:bottom w:val="single" w:color="CBD5E1" w:sz="1"/>
              <w:right w:val="single" w:color="CBD5E1" w:sz="1"/>
            </w:tcBorders>
            <w:shd w:fill="0F172A"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RMSE (MWh)</w:t>
            </w:r>
          </w:p>
        </w:tc>
        <w:tc>
          <w:tcPr>
            <w:tcW w:type="dxa" w:w="1600"/>
            <w:tcBorders>
              <w:top w:val="single" w:color="CBD5E1" w:sz="1"/>
              <w:left w:val="single" w:color="CBD5E1" w:sz="1"/>
              <w:bottom w:val="single" w:color="CBD5E1" w:sz="1"/>
              <w:right w:val="single" w:color="CBD5E1" w:sz="1"/>
            </w:tcBorders>
            <w:shd w:fill="0F172A"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MAE (MWh)</w:t>
            </w:r>
          </w:p>
        </w:tc>
        <w:tc>
          <w:tcPr>
            <w:tcW w:type="dxa" w:w="2360"/>
            <w:tcBorders>
              <w:top w:val="single" w:color="CBD5E1" w:sz="1"/>
              <w:left w:val="single" w:color="CBD5E1" w:sz="1"/>
              <w:bottom w:val="single" w:color="CBD5E1" w:sz="1"/>
              <w:right w:val="single" w:color="CBD5E1" w:sz="1"/>
            </w:tcBorders>
            <w:shd w:fill="0F172A"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MAPE (%)</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Random Forest</w:t>
            </w:r>
          </w:p>
        </w:tc>
        <w:tc>
          <w:tcPr>
            <w:tcW w:type="dxa" w:w="1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0.83</w:t>
            </w:r>
          </w:p>
        </w:tc>
        <w:tc>
          <w:tcPr>
            <w:tcW w:type="dxa" w:w="1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8,120</w:t>
            </w:r>
          </w:p>
        </w:tc>
        <w:tc>
          <w:tcPr>
            <w:tcW w:type="dxa" w:w="1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6,420</w:t>
            </w:r>
          </w:p>
        </w:tc>
        <w:tc>
          <w:tcPr>
            <w:tcW w:type="dxa" w:w="23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13.2%</w:t>
            </w:r>
          </w:p>
        </w:tc>
      </w:tr>
      <w:tr>
        <w:tc>
          <w:tcPr>
            <w:tcW w:type="dxa" w:w="24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XGBoost</w:t>
            </w:r>
          </w:p>
        </w:tc>
        <w:tc>
          <w:tcPr>
            <w:tcW w:type="dxa" w:w="14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0.87</w:t>
            </w:r>
          </w:p>
        </w:tc>
        <w:tc>
          <w:tcPr>
            <w:tcW w:type="dxa" w:w="1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7,180</w:t>
            </w:r>
          </w:p>
        </w:tc>
        <w:tc>
          <w:tcPr>
            <w:tcW w:type="dxa" w:w="1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5,680</w:t>
            </w:r>
          </w:p>
        </w:tc>
        <w:tc>
          <w:tcPr>
            <w:tcW w:type="dxa" w:w="23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11.8%</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Gradient Boosting</w:t>
            </w:r>
          </w:p>
        </w:tc>
        <w:tc>
          <w:tcPr>
            <w:tcW w:type="dxa" w:w="1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0.81</w:t>
            </w:r>
          </w:p>
        </w:tc>
        <w:tc>
          <w:tcPr>
            <w:tcW w:type="dxa" w:w="1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8,640</w:t>
            </w:r>
          </w:p>
        </w:tc>
        <w:tc>
          <w:tcPr>
            <w:tcW w:type="dxa" w:w="1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6,850</w:t>
            </w:r>
          </w:p>
        </w:tc>
        <w:tc>
          <w:tcPr>
            <w:tcW w:type="dxa" w:w="23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14.1%</w:t>
            </w:r>
          </w:p>
        </w:tc>
      </w:tr>
      <w:tr>
        <w:tc>
          <w:tcPr>
            <w:tcW w:type="dxa" w:w="24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r>
              <w:rPr>
                <w:rFonts w:ascii="Arial" w:cs="Arial" w:eastAsia="Arial" w:hAnsi="Arial"/>
                <w:b/>
                <w:bCs/>
                <w:color w:val="1E293B"/>
                <w:sz w:val="18"/>
                <w:szCs w:val="18"/>
              </w:rPr>
              <w:t xml:space="preserve">Ensemble (Final)</w:t>
            </w:r>
          </w:p>
        </w:tc>
        <w:tc>
          <w:tcPr>
            <w:tcW w:type="dxa" w:w="14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r>
              <w:rPr>
                <w:rFonts w:ascii="Arial" w:cs="Arial" w:eastAsia="Arial" w:hAnsi="Arial"/>
                <w:b/>
                <w:bCs/>
                <w:color w:val="166534"/>
                <w:sz w:val="18"/>
                <w:szCs w:val="18"/>
              </w:rPr>
              <w:t xml:space="preserve">0.88 ✅</w:t>
            </w:r>
          </w:p>
        </w:tc>
        <w:tc>
          <w:tcPr>
            <w:tcW w:type="dxa" w:w="1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r>
              <w:rPr>
                <w:rFonts w:ascii="Arial" w:cs="Arial" w:eastAsia="Arial" w:hAnsi="Arial"/>
                <w:b/>
                <w:bCs/>
                <w:color w:val="1E293B"/>
                <w:sz w:val="18"/>
                <w:szCs w:val="18"/>
              </w:rPr>
              <w:t xml:space="preserve">6,980</w:t>
            </w:r>
          </w:p>
        </w:tc>
        <w:tc>
          <w:tcPr>
            <w:tcW w:type="dxa" w:w="1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r>
              <w:rPr>
                <w:rFonts w:ascii="Arial" w:cs="Arial" w:eastAsia="Arial" w:hAnsi="Arial"/>
                <w:b/>
                <w:bCs/>
                <w:color w:val="1E293B"/>
                <w:sz w:val="18"/>
                <w:szCs w:val="18"/>
              </w:rPr>
              <w:t xml:space="preserve">5,420</w:t>
            </w:r>
          </w:p>
        </w:tc>
        <w:tc>
          <w:tcPr>
            <w:tcW w:type="dxa" w:w="23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r>
              <w:rPr>
                <w:rFonts w:ascii="Arial" w:cs="Arial" w:eastAsia="Arial" w:hAnsi="Arial"/>
                <w:b/>
                <w:bCs/>
                <w:color w:val="166534"/>
                <w:sz w:val="18"/>
                <w:szCs w:val="18"/>
              </w:rPr>
              <w:t xml:space="preserve">11.5% ✅</w:t>
            </w:r>
          </w:p>
        </w:tc>
      </w:tr>
    </w:tbl>
    <w:p/>
    <w:p>
      <w:pPr>
        <w:pStyle w:val="Heading2"/>
        <w:spacing w:before="360" w:after="160"/>
      </w:pPr>
      <w:r>
        <w:rPr>
          <w:rFonts w:ascii="Arial" w:cs="Arial" w:eastAsia="Arial" w:hAnsi="Arial"/>
          <w:b/>
          <w:bCs/>
          <w:color w:val="1E293B"/>
          <w:sz w:val="28"/>
          <w:szCs w:val="28"/>
        </w:rPr>
        <w:t xml:space="preserve">4.5  Top 15 Features by SHAP Importance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000"/>
        <w:gridCol w:w="1000"/>
        <w:gridCol w:w="5760"/>
      </w:tblGrid>
      <w:tr>
        <w:tc>
          <w:tcPr>
            <w:tcW w:type="dxa" w:w="600"/>
            <w:tcBorders>
              <w:top w:val="single" w:color="CBD5E1" w:sz="1"/>
              <w:left w:val="single" w:color="CBD5E1" w:sz="1"/>
              <w:bottom w:val="single" w:color="CBD5E1" w:sz="1"/>
              <w:right w:val="single" w:color="CBD5E1" w:sz="1"/>
            </w:tcBorders>
            <w:shd w:fill="0F172A"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Rank</w:t>
            </w:r>
          </w:p>
        </w:tc>
        <w:tc>
          <w:tcPr>
            <w:tcW w:type="dxa" w:w="2000"/>
            <w:tcBorders>
              <w:top w:val="single" w:color="CBD5E1" w:sz="1"/>
              <w:left w:val="single" w:color="CBD5E1" w:sz="1"/>
              <w:bottom w:val="single" w:color="CBD5E1" w:sz="1"/>
              <w:right w:val="single" w:color="CBD5E1" w:sz="1"/>
            </w:tcBorders>
            <w:shd w:fill="0F172A"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Feature</w:t>
            </w:r>
          </w:p>
        </w:tc>
        <w:tc>
          <w:tcPr>
            <w:tcW w:type="dxa" w:w="1000"/>
            <w:tcBorders>
              <w:top w:val="single" w:color="CBD5E1" w:sz="1"/>
              <w:left w:val="single" w:color="CBD5E1" w:sz="1"/>
              <w:bottom w:val="single" w:color="CBD5E1" w:sz="1"/>
              <w:right w:val="single" w:color="CBD5E1" w:sz="1"/>
            </w:tcBorders>
            <w:shd w:fill="0F172A"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SHAP %</w:t>
            </w:r>
          </w:p>
        </w:tc>
        <w:tc>
          <w:tcPr>
            <w:tcW w:type="dxa" w:w="5760"/>
            <w:tcBorders>
              <w:top w:val="single" w:color="CBD5E1" w:sz="1"/>
              <w:left w:val="single" w:color="CBD5E1" w:sz="1"/>
              <w:bottom w:val="single" w:color="CBD5E1" w:sz="1"/>
              <w:right w:val="single" w:color="CBD5E1" w:sz="1"/>
            </w:tcBorders>
            <w:shd w:fill="0F172A"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Interpretation</w:t>
            </w:r>
          </w:p>
        </w:tc>
      </w:tr>
      <w:tr>
        <w:tc>
          <w:tcPr>
            <w:tcW w:type="dxa" w:w="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1</w:t>
            </w:r>
          </w:p>
        </w:tc>
        <w:tc>
          <w:tcPr>
            <w:tcW w:type="dxa" w:w="2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ghi_annual</w:t>
            </w:r>
          </w:p>
        </w:tc>
        <w:tc>
          <w:tcPr>
            <w:tcW w:type="dxa" w:w="1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30.2%</w:t>
            </w:r>
          </w:p>
        </w:tc>
        <w:tc>
          <w:tcPr>
            <w:tcW w:type="dxa" w:w="5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Primary driver — higher sun = more energy directly</w:t>
            </w:r>
          </w:p>
        </w:tc>
      </w:tr>
      <w:tr>
        <w:tc>
          <w:tcPr>
            <w:tcW w:type="dxa" w:w="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2</w:t>
            </w:r>
          </w:p>
        </w:tc>
        <w:tc>
          <w:tcPr>
            <w:tcW w:type="dxa" w:w="20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temp_avg</w:t>
            </w:r>
          </w:p>
        </w:tc>
        <w:tc>
          <w:tcPr>
            <w:tcW w:type="dxa" w:w="10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12.1%</w:t>
            </w:r>
          </w:p>
        </w:tc>
        <w:tc>
          <w:tcPr>
            <w:tcW w:type="dxa" w:w="57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Hot sites lose efficiency (-0.4–0.5%/°C above 25°C)</w:t>
            </w:r>
          </w:p>
        </w:tc>
      </w:tr>
      <w:tr>
        <w:tc>
          <w:tcPr>
            <w:tcW w:type="dxa" w:w="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3</w:t>
            </w:r>
          </w:p>
        </w:tc>
        <w:tc>
          <w:tcPr>
            <w:tcW w:type="dxa" w:w="2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effective_ghi</w:t>
            </w:r>
          </w:p>
        </w:tc>
        <w:tc>
          <w:tcPr>
            <w:tcW w:type="dxa" w:w="1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10.5%</w:t>
            </w:r>
          </w:p>
        </w:tc>
        <w:tc>
          <w:tcPr>
            <w:tcW w:type="dxa" w:w="5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Temperature-adjusted resource; the 'real' usable irradiance</w:t>
            </w:r>
          </w:p>
        </w:tc>
      </w:tr>
      <w:tr>
        <w:tc>
          <w:tcPr>
            <w:tcW w:type="dxa" w:w="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4</w:t>
            </w:r>
          </w:p>
        </w:tc>
        <w:tc>
          <w:tcPr>
            <w:tcW w:type="dxa" w:w="20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accessibility_score</w:t>
            </w:r>
          </w:p>
        </w:tc>
        <w:tc>
          <w:tcPr>
            <w:tcW w:type="dxa" w:w="10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7.8%</w:t>
            </w:r>
          </w:p>
        </w:tc>
        <w:tc>
          <w:tcPr>
            <w:tcW w:type="dxa" w:w="57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Good access = better O&amp;M = higher actual generation</w:t>
            </w:r>
          </w:p>
        </w:tc>
      </w:tr>
      <w:tr>
        <w:tc>
          <w:tcPr>
            <w:tcW w:type="dxa" w:w="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5</w:t>
            </w:r>
          </w:p>
        </w:tc>
        <w:tc>
          <w:tcPr>
            <w:tcW w:type="dxa" w:w="2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land_suitability</w:t>
            </w:r>
          </w:p>
        </w:tc>
        <w:tc>
          <w:tcPr>
            <w:tcW w:type="dxa" w:w="1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6.3%</w:t>
            </w:r>
          </w:p>
        </w:tc>
        <w:tc>
          <w:tcPr>
            <w:tcW w:type="dxa" w:w="5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Wasteland ideal; forest/water excluded</w:t>
            </w:r>
          </w:p>
        </w:tc>
      </w:tr>
      <w:tr>
        <w:tc>
          <w:tcPr>
            <w:tcW w:type="dxa" w:w="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6</w:t>
            </w:r>
          </w:p>
        </w:tc>
        <w:tc>
          <w:tcPr>
            <w:tcW w:type="dxa" w:w="20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dist_grid_km</w:t>
            </w:r>
          </w:p>
        </w:tc>
        <w:tc>
          <w:tcPr>
            <w:tcW w:type="dxa" w:w="10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5.9%</w:t>
            </w:r>
          </w:p>
        </w:tc>
        <w:tc>
          <w:tcPr>
            <w:tcW w:type="dxa" w:w="57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Far grid = higher transmission losses</w:t>
            </w:r>
          </w:p>
        </w:tc>
      </w:tr>
      <w:tr>
        <w:tc>
          <w:tcPr>
            <w:tcW w:type="dxa" w:w="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7</w:t>
            </w:r>
          </w:p>
        </w:tc>
        <w:tc>
          <w:tcPr>
            <w:tcW w:type="dxa" w:w="2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slope_deg</w:t>
            </w:r>
          </w:p>
        </w:tc>
        <w:tc>
          <w:tcPr>
            <w:tcW w:type="dxa" w:w="1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5.2%</w:t>
            </w:r>
          </w:p>
        </w:tc>
        <w:tc>
          <w:tcPr>
            <w:tcW w:type="dxa" w:w="5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Flat = easier construction = lower cost</w:t>
            </w:r>
          </w:p>
        </w:tc>
      </w:tr>
      <w:tr>
        <w:tc>
          <w:tcPr>
            <w:tcW w:type="dxa" w:w="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8</w:t>
            </w:r>
          </w:p>
        </w:tc>
        <w:tc>
          <w:tcPr>
            <w:tcW w:type="dxa" w:w="20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ghi_x_accessibility</w:t>
            </w:r>
          </w:p>
        </w:tc>
        <w:tc>
          <w:tcPr>
            <w:tcW w:type="dxa" w:w="10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4.7%</w:t>
            </w:r>
          </w:p>
        </w:tc>
        <w:tc>
          <w:tcPr>
            <w:tcW w:type="dxa" w:w="57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Interaction: great resource needs accessibility to realise it</w:t>
            </w:r>
          </w:p>
        </w:tc>
      </w:tr>
      <w:tr>
        <w:tc>
          <w:tcPr>
            <w:tcW w:type="dxa" w:w="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9</w:t>
            </w:r>
          </w:p>
        </w:tc>
        <w:tc>
          <w:tcPr>
            <w:tcW w:type="dxa" w:w="2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dist_road_km</w:t>
            </w:r>
          </w:p>
        </w:tc>
        <w:tc>
          <w:tcPr>
            <w:tcW w:type="dxa" w:w="1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3.8%</w:t>
            </w:r>
          </w:p>
        </w:tc>
        <w:tc>
          <w:tcPr>
            <w:tcW w:type="dxa" w:w="5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Access affects construction logistics and O&amp;M</w:t>
            </w:r>
          </w:p>
        </w:tc>
      </w:tr>
      <w:tr>
        <w:tc>
          <w:tcPr>
            <w:tcW w:type="dxa" w:w="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10</w:t>
            </w:r>
          </w:p>
        </w:tc>
        <w:tc>
          <w:tcPr>
            <w:tcW w:type="dxa" w:w="20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terrain_ruggedness</w:t>
            </w:r>
          </w:p>
        </w:tc>
        <w:tc>
          <w:tcPr>
            <w:tcW w:type="dxa" w:w="10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3.2%</w:t>
            </w:r>
          </w:p>
        </w:tc>
        <w:tc>
          <w:tcPr>
            <w:tcW w:type="dxa" w:w="57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Smooth terrain = simpler civil works</w:t>
            </w:r>
          </w:p>
        </w:tc>
      </w:tr>
    </w:tbl>
    <w:p/>
    <w:p>
      <w:pPr>
        <w:pStyle w:val="Heading2"/>
        <w:spacing w:before="360" w:after="160"/>
      </w:pPr>
      <w:r>
        <w:rPr>
          <w:rFonts w:ascii="Arial" w:cs="Arial" w:eastAsia="Arial" w:hAnsi="Arial"/>
          <w:b/>
          <w:bCs/>
          <w:color w:val="1E293B"/>
          <w:sz w:val="28"/>
          <w:szCs w:val="28"/>
        </w:rPr>
        <w:t xml:space="preserve">4.6  Generation Forecasting — Hybrid Physical + ML</w:t>
      </w:r>
    </w:p>
    <w:p>
      <w:pPr>
        <w:spacing w:after="120"/>
      </w:pPr>
      <w:r>
        <w:rPr>
          <w:rFonts w:ascii="Arial" w:cs="Arial" w:eastAsia="Arial" w:hAnsi="Arial"/>
          <w:color w:val="1E293B"/>
          <w:sz w:val="20"/>
          <w:szCs w:val="20"/>
        </w:rPr>
        <w:t xml:space="preserve">Pure ML ('black box') has poor extrapolation to new regions. Pure physical misses local effects. We use a hybrid approach:</w:t>
      </w:r>
    </w:p>
    <w:p>
      <w:pPr>
        <w:pBdr>
          <w:left w:val="single" w:color="0E7490" w:sz="12" w:space="2"/>
        </w:pBdr>
        <w:shd w:fill="F8FAFC" w:val="clear"/>
        <w:spacing w:after="60"/>
        <w:ind w:left="720"/>
      </w:pPr>
      <w:r>
        <w:rPr>
          <w:rFonts w:ascii="Courier New" w:cs="Courier New" w:eastAsia="Courier New" w:hAnsi="Courier New"/>
          <w:color w:val="1e293b"/>
          <w:sz w:val="18"/>
          <w:szCs w:val="18"/>
        </w:rPr>
        <w:t xml:space="preserve">Gen (MWh) = Capacity_kW × Peak_Sun_Hours × 365 × PR</w:t>
      </w:r>
    </w:p>
    <w:p>
      <w:pPr>
        <w:pBdr>
          <w:left w:val="single" w:color="0E7490" w:sz="12" w:space="2"/>
        </w:pBdr>
        <w:shd w:fill="F8FAFC" w:val="clear"/>
        <w:spacing w:after="60"/>
        <w:ind w:left="720"/>
      </w:pPr>
      <w:r>
        <w:rPr>
          <w:rFonts w:ascii="Courier New" w:cs="Courier New" w:eastAsia="Courier New" w:hAnsi="Courier New"/>
          <w:color w:val="1e293b"/>
          <w:sz w:val="18"/>
          <w:szCs w:val="18"/>
        </w:rPr>
        <w:t xml:space="preserve">PR = (1 - temp_loss) × (1 - soiling) × inverter_eff × (1 - cable_loss) × availability</w:t>
      </w:r>
    </w:p>
    <w:p>
      <w:pPr>
        <w:pBdr>
          <w:left w:val="single" w:color="0E7490" w:sz="12" w:space="2"/>
        </w:pBdr>
        <w:shd w:fill="F8FAFC" w:val="clear"/>
        <w:spacing w:after="60"/>
        <w:ind w:left="720"/>
      </w:pPr>
      <w:r>
        <w:rPr>
          <w:rFonts w:ascii="Courier New" w:cs="Courier New" w:eastAsia="Courier New" w:hAnsi="Courier New"/>
          <w:color w:val="1e293b"/>
          <w:sz w:val="18"/>
          <w:szCs w:val="18"/>
        </w:rPr>
        <w:t xml:space="preserve">Hybrid = 0.70 × physical_forecast + 0.30 × ML_prediction</w:t>
      </w:r>
    </w:p>
    <w:p/>
    <w:p>
      <w:pPr>
        <w:pStyle w:val="Heading2"/>
        <w:spacing w:before="360" w:after="160"/>
      </w:pPr>
      <w:r>
        <w:rPr>
          <w:rFonts w:ascii="Arial" w:cs="Arial" w:eastAsia="Arial" w:hAnsi="Arial"/>
          <w:b/>
          <w:bCs/>
          <w:color w:val="1E293B"/>
          <w:sz w:val="28"/>
          <w:szCs w:val="28"/>
        </w:rPr>
        <w:t xml:space="preserve">4.7  Economic Analysis Module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560"/>
      </w:tblGrid>
      <w:tr>
        <w:tc>
          <w:tcPr>
            <w:tcW w:type="dxa" w:w="2200"/>
            <w:tcBorders>
              <w:top w:val="single" w:color="CBD5E1" w:sz="1"/>
              <w:left w:val="single" w:color="CBD5E1" w:sz="1"/>
              <w:bottom w:val="single" w:color="CBD5E1" w:sz="1"/>
              <w:right w:val="single" w:color="CBD5E1" w:sz="1"/>
            </w:tcBorders>
            <w:shd w:fill="0F172A"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Parameter</w:t>
            </w:r>
          </w:p>
        </w:tc>
        <w:tc>
          <w:tcPr>
            <w:tcW w:type="dxa" w:w="3600"/>
            <w:tcBorders>
              <w:top w:val="single" w:color="CBD5E1" w:sz="1"/>
              <w:left w:val="single" w:color="CBD5E1" w:sz="1"/>
              <w:bottom w:val="single" w:color="CBD5E1" w:sz="1"/>
              <w:right w:val="single" w:color="CBD5E1" w:sz="1"/>
            </w:tcBorders>
            <w:shd w:fill="0F172A"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Formula / Value</w:t>
            </w:r>
          </w:p>
        </w:tc>
        <w:tc>
          <w:tcPr>
            <w:tcW w:type="dxa" w:w="3560"/>
            <w:tcBorders>
              <w:top w:val="single" w:color="CBD5E1" w:sz="1"/>
              <w:left w:val="single" w:color="CBD5E1" w:sz="1"/>
              <w:bottom w:val="single" w:color="CBD5E1" w:sz="1"/>
              <w:right w:val="single" w:color="CBD5E1" w:sz="1"/>
            </w:tcBorders>
            <w:shd w:fill="0F172A"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Source</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CAPEX Base</w:t>
            </w:r>
          </w:p>
        </w:tc>
        <w:tc>
          <w:tcPr>
            <w:tcW w:type="dxa" w:w="3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₹4 Cr/MW (2025 benchmark)</w:t>
            </w:r>
          </w:p>
        </w:tc>
        <w:tc>
          <w:tcPr>
            <w:tcW w:type="dxa" w:w="3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Industry average</w:t>
            </w:r>
          </w:p>
        </w:tc>
      </w:tr>
      <w:tr>
        <w:tc>
          <w:tcPr>
            <w:tcW w:type="dxa" w:w="22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Grid Connection</w:t>
            </w:r>
          </w:p>
        </w:tc>
        <w:tc>
          <w:tcPr>
            <w:tcW w:type="dxa" w:w="3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₹50L/km × dist_grid_km</w:t>
            </w:r>
          </w:p>
        </w:tc>
        <w:tc>
          <w:tcPr>
            <w:tcW w:type="dxa" w:w="35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DISCOM estimates</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OPEX Annual</w:t>
            </w:r>
          </w:p>
        </w:tc>
        <w:tc>
          <w:tcPr>
            <w:tcW w:type="dxa" w:w="3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1.5% of CAPEX/year</w:t>
            </w:r>
          </w:p>
        </w:tc>
        <w:tc>
          <w:tcPr>
            <w:tcW w:type="dxa" w:w="3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Industry standard</w:t>
            </w:r>
          </w:p>
        </w:tc>
      </w:tr>
      <w:tr>
        <w:tc>
          <w:tcPr>
            <w:tcW w:type="dxa" w:w="22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Degradation</w:t>
            </w:r>
          </w:p>
        </w:tc>
        <w:tc>
          <w:tcPr>
            <w:tcW w:type="dxa" w:w="3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0.5%/year</w:t>
            </w:r>
          </w:p>
        </w:tc>
        <w:tc>
          <w:tcPr>
            <w:tcW w:type="dxa" w:w="35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Panel datasheets</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Discount Rate</w:t>
            </w:r>
          </w:p>
        </w:tc>
        <w:tc>
          <w:tcPr>
            <w:tcW w:type="dxa" w:w="3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8% (WACC for solar)</w:t>
            </w:r>
          </w:p>
        </w:tc>
        <w:tc>
          <w:tcPr>
            <w:tcW w:type="dxa" w:w="3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Industry standard</w:t>
            </w:r>
          </w:p>
        </w:tc>
      </w:tr>
      <w:tr>
        <w:tc>
          <w:tcPr>
            <w:tcW w:type="dxa" w:w="22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Lifetime</w:t>
            </w:r>
          </w:p>
        </w:tc>
        <w:tc>
          <w:tcPr>
            <w:tcW w:type="dxa" w:w="3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25 years</w:t>
            </w:r>
          </w:p>
        </w:tc>
        <w:tc>
          <w:tcPr>
            <w:tcW w:type="dxa" w:w="35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IEC standard</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LCOE</w:t>
            </w:r>
          </w:p>
        </w:tc>
        <w:tc>
          <w:tcPr>
            <w:tcW w:type="dxa" w:w="3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NPV(all costs) ÷ NPV(all generation) ÷ 1000</w:t>
            </w:r>
          </w:p>
        </w:tc>
        <w:tc>
          <w:tcPr>
            <w:tcW w:type="dxa" w:w="3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Standard formula</w:t>
            </w:r>
          </w:p>
        </w:tc>
      </w:tr>
      <w:tr>
        <w:tc>
          <w:tcPr>
            <w:tcW w:type="dxa" w:w="22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Typical LCOE Output</w:t>
            </w:r>
          </w:p>
        </w:tc>
        <w:tc>
          <w:tcPr>
            <w:tcW w:type="dxa" w:w="3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₹2.50–3.50/kWh</w:t>
            </w:r>
          </w:p>
        </w:tc>
        <w:tc>
          <w:tcPr>
            <w:tcW w:type="dxa" w:w="35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Varies by site quality</w:t>
            </w:r>
          </w:p>
        </w:tc>
      </w:tr>
    </w:tbl>
    <w:p>
      <w:r>
        <w:br w:type="page"/>
      </w:r>
    </w:p>
    <w:p>
      <w:pPr>
        <w:pStyle w:val="Heading1"/>
        <w:pBdr>
          <w:bottom w:val="single" w:color="E8590C" w:sz="8" w:space="1"/>
        </w:pBdr>
        <w:spacing w:before="480" w:after="200"/>
      </w:pPr>
      <w:r>
        <w:rPr>
          <w:rFonts w:ascii="Arial" w:cs="Arial" w:eastAsia="Arial" w:hAnsi="Arial"/>
          <w:b/>
          <w:bCs/>
          <w:color w:val="E8590C"/>
          <w:sz w:val="36"/>
          <w:szCs w:val="36"/>
        </w:rPr>
        <w:t xml:space="preserve">PART 5 — ALL PROJECT FLAWS AND THEIR SOLUTIONS</w:t>
      </w:r>
    </w:p>
    <w:p>
      <w:pPr>
        <w:pStyle w:val="Heading2"/>
        <w:spacing w:before="360" w:after="160"/>
      </w:pPr>
      <w:r>
        <w:rPr>
          <w:rFonts w:ascii="Arial" w:cs="Arial" w:eastAsia="Arial" w:hAnsi="Arial"/>
          <w:b/>
          <w:bCs/>
          <w:color w:val="1E293B"/>
          <w:sz w:val="28"/>
          <w:szCs w:val="28"/>
        </w:rPr>
        <w:t xml:space="preserve">5.1  Overview</w:t>
      </w:r>
    </w:p>
    <w:p>
      <w:pPr>
        <w:spacing w:after="120"/>
      </w:pPr>
      <w:r>
        <w:rPr>
          <w:rFonts w:ascii="Arial" w:cs="Arial" w:eastAsia="Arial" w:hAnsi="Arial"/>
          <w:color w:val="1E293B"/>
          <w:sz w:val="20"/>
          <w:szCs w:val="20"/>
        </w:rPr>
        <w:t xml:space="preserve">This section lists every known flaw in the current project, its severity, its impact on the paper, and the concrete fix. This was prepared for mentor review and should be addressed systematically over Weeks 3–8.</w:t>
      </w:r>
    </w:p>
    <w:p/>
    <w:p>
      <w:pPr>
        <w:pStyle w:val="Heading3"/>
        <w:spacing w:before="280" w:after="120"/>
      </w:pPr>
      <w:r>
        <w:rPr>
          <w:rFonts w:ascii="Arial" w:cs="Arial" w:eastAsia="Arial" w:hAnsi="Arial"/>
          <w:b/>
          <w:bCs/>
          <w:color w:val="0E7490"/>
          <w:sz w:val="24"/>
          <w:szCs w:val="24"/>
        </w:rPr>
        <w:t xml:space="preserve">Flaw 1 — District Solar Values Are Population-Weighted Proxies, Not Real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BD5E1" w:sz="1"/>
              <w:left w:val="single" w:color="CBD5E1" w:sz="1"/>
              <w:bottom w:val="single" w:color="CBD5E1" w:sz="1"/>
              <w:right w:val="single" w:color="CBD5E1" w:sz="1"/>
            </w:tcBorders>
            <w:shd w:fill="0F172A"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Field</w:t>
            </w:r>
          </w:p>
        </w:tc>
        <w:tc>
          <w:tcPr>
            <w:tcW w:type="dxa" w:w="7360"/>
            <w:tcBorders>
              <w:top w:val="single" w:color="CBD5E1" w:sz="1"/>
              <w:left w:val="single" w:color="CBD5E1" w:sz="1"/>
              <w:bottom w:val="single" w:color="CBD5E1" w:sz="1"/>
              <w:right w:val="single" w:color="CBD5E1" w:sz="1"/>
            </w:tcBorders>
            <w:shd w:fill="0F172A"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Detail</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Severity</w:t>
            </w:r>
          </w:p>
        </w:tc>
        <w:tc>
          <w:tcPr>
            <w:tcW w:type="dxa" w:w="7360"/>
            <w:tcBorders>
              <w:top w:val="single" w:color="CBD5E1" w:sz="1"/>
              <w:left w:val="single" w:color="CBD5E1" w:sz="1"/>
              <w:bottom w:val="single" w:color="CBD5E1" w:sz="1"/>
              <w:right w:val="single" w:color="CBD5E1" w:sz="1"/>
            </w:tcBorders>
            <w:shd w:fill="FEE2E2" w:val="clear"/>
            <w:tcMar>
              <w:top w:type="dxa" w:w="80"/>
              <w:left w:type="dxa" w:w="140"/>
              <w:bottom w:type="dxa" w:w="80"/>
              <w:right w:type="dxa" w:w="140"/>
            </w:tcMar>
            <w:vAlign w:val="center"/>
          </w:tcPr>
          <w:p>
            <w:r>
              <w:rPr>
                <w:rFonts w:ascii="Arial" w:cs="Arial" w:eastAsia="Arial" w:hAnsi="Arial"/>
                <w:b/>
                <w:bCs/>
                <w:color w:val="991B1B"/>
                <w:sz w:val="18"/>
                <w:szCs w:val="18"/>
              </w:rPr>
              <w:t xml:space="preserve">HIGH</w:t>
            </w:r>
          </w:p>
        </w:tc>
      </w:tr>
      <w:tr>
        <w:tc>
          <w:tcPr>
            <w:tcW w:type="dxa" w:w="20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What</w:t>
            </w:r>
          </w:p>
        </w:tc>
        <w:tc>
          <w:tcPr>
            <w:tcW w:type="dxa" w:w="73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No public data gives solar capacity per district. We split state totals by population. A district with low population but a giant solar park (Kurnool, Nandyal) is severely underestimated.</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Impact</w:t>
            </w:r>
          </w:p>
        </w:tc>
        <w:tc>
          <w:tcPr>
            <w:tcW w:type="dxa" w:w="73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If used as features without caveat, the model learns wrong spatial patterns for high-solar districts.</w:t>
            </w:r>
          </w:p>
        </w:tc>
      </w:tr>
      <w:tr>
        <w:tc>
          <w:tcPr>
            <w:tcW w:type="dxa" w:w="20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Fix (Short-term)</w:t>
            </w:r>
          </w:p>
        </w:tc>
        <w:tc>
          <w:tcPr>
            <w:tcW w:type="dxa" w:w="73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File RTI with TSREDCO: 'Project-wise commissioned solar capacity (MW) by district as of March 2024.' 30-day turnaround, free, legally guaranteed under RTI Act 2005.</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Fix (Medium-term)</w:t>
            </w:r>
          </w:p>
        </w:tc>
        <w:tc>
          <w:tcPr>
            <w:tcW w:type="dxa" w:w="73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Use AlphaEarth Foundations on GEE to detect solar panel footprints from satellite imagery — gives actual installed area per district without needing any RTI data.</w:t>
            </w:r>
          </w:p>
        </w:tc>
      </w:tr>
      <w:tr>
        <w:tc>
          <w:tcPr>
            <w:tcW w:type="dxa" w:w="20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Paper Mitigation</w:t>
            </w:r>
          </w:p>
        </w:tc>
        <w:tc>
          <w:tcPr>
            <w:tcW w:type="dxa" w:w="73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Explicitly disclose ±15% district-level uncertainty; include sensitivity analysis showing model robustness to this noise.</w:t>
            </w:r>
          </w:p>
        </w:tc>
      </w:tr>
    </w:tbl>
    <w:p/>
    <w:p>
      <w:pPr>
        <w:pStyle w:val="Heading3"/>
        <w:spacing w:before="280" w:after="120"/>
      </w:pPr>
      <w:r>
        <w:rPr>
          <w:rFonts w:ascii="Arial" w:cs="Arial" w:eastAsia="Arial" w:hAnsi="Arial"/>
          <w:b/>
          <w:bCs/>
          <w:color w:val="0E7490"/>
          <w:sz w:val="24"/>
          <w:szCs w:val="24"/>
        </w:rPr>
        <w:t xml:space="preserve">Flaw 2 — AP Year Mismatch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BD5E1" w:sz="1"/>
              <w:left w:val="single" w:color="CBD5E1" w:sz="1"/>
              <w:bottom w:val="single" w:color="CBD5E1" w:sz="1"/>
              <w:right w:val="single" w:color="CBD5E1" w:sz="1"/>
            </w:tcBorders>
            <w:shd w:fill="0F172A"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Field</w:t>
            </w:r>
          </w:p>
        </w:tc>
        <w:tc>
          <w:tcPr>
            <w:tcW w:type="dxa" w:w="7360"/>
            <w:tcBorders>
              <w:top w:val="single" w:color="CBD5E1" w:sz="1"/>
              <w:left w:val="single" w:color="CBD5E1" w:sz="1"/>
              <w:bottom w:val="single" w:color="CBD5E1" w:sz="1"/>
              <w:right w:val="single" w:color="CBD5E1" w:sz="1"/>
            </w:tcBorders>
            <w:shd w:fill="0F172A"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Detail</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Severity</w:t>
            </w:r>
          </w:p>
        </w:tc>
        <w:tc>
          <w:tcPr>
            <w:tcW w:type="dxa" w:w="7360"/>
            <w:tcBorders>
              <w:top w:val="single" w:color="CBD5E1" w:sz="1"/>
              <w:left w:val="single" w:color="CBD5E1" w:sz="1"/>
              <w:bottom w:val="single" w:color="CBD5E1" w:sz="1"/>
              <w:right w:val="single" w:color="CBD5E1" w:sz="1"/>
            </w:tcBorders>
            <w:shd w:fill="FEF3C7" w:val="clear"/>
            <w:tcMar>
              <w:top w:type="dxa" w:w="80"/>
              <w:left w:type="dxa" w:w="140"/>
              <w:bottom w:type="dxa" w:w="80"/>
              <w:right w:type="dxa" w:w="140"/>
            </w:tcMar>
            <w:vAlign w:val="center"/>
          </w:tcPr>
          <w:p>
            <w:r>
              <w:rPr>
                <w:rFonts w:ascii="Arial" w:cs="Arial" w:eastAsia="Arial" w:hAnsi="Arial"/>
                <w:b/>
                <w:bCs/>
                <w:color w:val="92400E"/>
                <w:sz w:val="18"/>
                <w:szCs w:val="18"/>
              </w:rPr>
              <w:t xml:space="preserve">MEDIUM</w:t>
            </w:r>
          </w:p>
        </w:tc>
      </w:tr>
      <w:tr>
        <w:tc>
          <w:tcPr>
            <w:tcW w:type="dxa" w:w="20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What</w:t>
            </w:r>
          </w:p>
        </w:tc>
        <w:tc>
          <w:tcPr>
            <w:tcW w:type="dxa" w:w="73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AP demand is FY2022-23 (72,400 MU) but solar capacity is 31.03.2024 — one year later. AP added ~200+ MW solar in that gap year.</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Fix</w:t>
            </w:r>
          </w:p>
        </w:tc>
        <w:tc>
          <w:tcPr>
            <w:tcW w:type="dxa" w:w="73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Use APERC ARR filings or NITI Aayog India Energy Dashboard to find AP solar capacity as of 31.03.2023. Add 'data_year_mismatch' flag column in dataset. Disclose in paper Section 3.4.</w:t>
            </w:r>
          </w:p>
        </w:tc>
      </w:tr>
    </w:tbl>
    <w:p/>
    <w:p>
      <w:pPr>
        <w:pStyle w:val="Heading3"/>
        <w:spacing w:before="280" w:after="120"/>
      </w:pPr>
      <w:r>
        <w:rPr>
          <w:rFonts w:ascii="Arial" w:cs="Arial" w:eastAsia="Arial" w:hAnsi="Arial"/>
          <w:b/>
          <w:bCs/>
          <w:color w:val="0E7490"/>
          <w:sz w:val="24"/>
          <w:szCs w:val="24"/>
        </w:rPr>
        <w:t xml:space="preserve">Flaw 3 — 2011 Census Is 14 Years Old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BD5E1" w:sz="1"/>
              <w:left w:val="single" w:color="CBD5E1" w:sz="1"/>
              <w:bottom w:val="single" w:color="CBD5E1" w:sz="1"/>
              <w:right w:val="single" w:color="CBD5E1" w:sz="1"/>
            </w:tcBorders>
            <w:shd w:fill="0F172A"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Field</w:t>
            </w:r>
          </w:p>
        </w:tc>
        <w:tc>
          <w:tcPr>
            <w:tcW w:type="dxa" w:w="7360"/>
            <w:tcBorders>
              <w:top w:val="single" w:color="CBD5E1" w:sz="1"/>
              <w:left w:val="single" w:color="CBD5E1" w:sz="1"/>
              <w:bottom w:val="single" w:color="CBD5E1" w:sz="1"/>
              <w:right w:val="single" w:color="CBD5E1" w:sz="1"/>
            </w:tcBorders>
            <w:shd w:fill="0F172A"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Detail</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Severity</w:t>
            </w:r>
          </w:p>
        </w:tc>
        <w:tc>
          <w:tcPr>
            <w:tcW w:type="dxa" w:w="7360"/>
            <w:tcBorders>
              <w:top w:val="single" w:color="CBD5E1" w:sz="1"/>
              <w:left w:val="single" w:color="CBD5E1" w:sz="1"/>
              <w:bottom w:val="single" w:color="CBD5E1" w:sz="1"/>
              <w:right w:val="single" w:color="CBD5E1" w:sz="1"/>
            </w:tcBorders>
            <w:shd w:fill="FEF3C7" w:val="clear"/>
            <w:tcMar>
              <w:top w:type="dxa" w:w="80"/>
              <w:left w:type="dxa" w:w="140"/>
              <w:bottom w:type="dxa" w:w="80"/>
              <w:right w:type="dxa" w:w="140"/>
            </w:tcMar>
            <w:vAlign w:val="center"/>
          </w:tcPr>
          <w:p>
            <w:r>
              <w:rPr>
                <w:rFonts w:ascii="Arial" w:cs="Arial" w:eastAsia="Arial" w:hAnsi="Arial"/>
                <w:b/>
                <w:bCs/>
                <w:color w:val="92400E"/>
                <w:sz w:val="18"/>
                <w:szCs w:val="18"/>
              </w:rPr>
              <w:t xml:space="preserve">MEDIUM</w:t>
            </w:r>
          </w:p>
        </w:tc>
      </w:tr>
      <w:tr>
        <w:tc>
          <w:tcPr>
            <w:tcW w:type="dxa" w:w="20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What</w:t>
            </w:r>
          </w:p>
        </w:tc>
        <w:tc>
          <w:tcPr>
            <w:tcW w:type="dxa" w:w="73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All district splits use 2011 Census. India's 2025 population is ~10% higher overall, but very uneven by district (Hyderabad metro +30%, rural Mulugu +2%).</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Fix</w:t>
            </w:r>
          </w:p>
        </w:tc>
        <w:tc>
          <w:tcPr>
            <w:tcW w:type="dxa" w:w="73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Use WorldPop 2020 gridded population raster (1km, free at worldpop.org) as a more recent proxy. Update when 2025 Census is released.</w:t>
            </w:r>
          </w:p>
        </w:tc>
      </w:tr>
      <w:tr>
        <w:tc>
          <w:tcPr>
            <w:tcW w:type="dxa" w:w="20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Paper Note</w:t>
            </w:r>
          </w:p>
        </w:tc>
        <w:tc>
          <w:tcPr>
            <w:tcW w:type="dxa" w:w="73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Cite 2011 Census with explicit disclosure; district-level 2020+ estimates are not officially released by RGI.</w:t>
            </w:r>
          </w:p>
        </w:tc>
      </w:tr>
    </w:tbl>
    <w:p/>
    <w:p>
      <w:pPr>
        <w:pStyle w:val="Heading3"/>
        <w:spacing w:before="280" w:after="120"/>
      </w:pPr>
      <w:r>
        <w:rPr>
          <w:rFonts w:ascii="Arial" w:cs="Arial" w:eastAsia="Arial" w:hAnsi="Arial"/>
          <w:b/>
          <w:bCs/>
          <w:color w:val="0E7490"/>
          <w:sz w:val="24"/>
          <w:szCs w:val="24"/>
        </w:rPr>
        <w:t xml:space="preserve">Flaw 4 — No Actual District-Level Demand Data Exists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BD5E1" w:sz="1"/>
              <w:left w:val="single" w:color="CBD5E1" w:sz="1"/>
              <w:bottom w:val="single" w:color="CBD5E1" w:sz="1"/>
              <w:right w:val="single" w:color="CBD5E1" w:sz="1"/>
            </w:tcBorders>
            <w:shd w:fill="0F172A"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Field</w:t>
            </w:r>
          </w:p>
        </w:tc>
        <w:tc>
          <w:tcPr>
            <w:tcW w:type="dxa" w:w="7360"/>
            <w:tcBorders>
              <w:top w:val="single" w:color="CBD5E1" w:sz="1"/>
              <w:left w:val="single" w:color="CBD5E1" w:sz="1"/>
              <w:bottom w:val="single" w:color="CBD5E1" w:sz="1"/>
              <w:right w:val="single" w:color="CBD5E1" w:sz="1"/>
            </w:tcBorders>
            <w:shd w:fill="0F172A"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Detail</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Severity</w:t>
            </w:r>
          </w:p>
        </w:tc>
        <w:tc>
          <w:tcPr>
            <w:tcW w:type="dxa" w:w="7360"/>
            <w:tcBorders>
              <w:top w:val="single" w:color="CBD5E1" w:sz="1"/>
              <w:left w:val="single" w:color="CBD5E1" w:sz="1"/>
              <w:bottom w:val="single" w:color="CBD5E1" w:sz="1"/>
              <w:right w:val="single" w:color="CBD5E1" w:sz="1"/>
            </w:tcBorders>
            <w:shd w:fill="FEE2E2" w:val="clear"/>
            <w:tcMar>
              <w:top w:type="dxa" w:w="80"/>
              <w:left w:type="dxa" w:w="140"/>
              <w:bottom w:type="dxa" w:w="80"/>
              <w:right w:type="dxa" w:w="140"/>
            </w:tcMar>
            <w:vAlign w:val="center"/>
          </w:tcPr>
          <w:p>
            <w:r>
              <w:rPr>
                <w:rFonts w:ascii="Arial" w:cs="Arial" w:eastAsia="Arial" w:hAnsi="Arial"/>
                <w:b/>
                <w:bCs/>
                <w:color w:val="991B1B"/>
                <w:sz w:val="18"/>
                <w:szCs w:val="18"/>
              </w:rPr>
              <w:t xml:space="preserve">HIGH</w:t>
            </w:r>
          </w:p>
        </w:tc>
      </w:tr>
      <w:tr>
        <w:tc>
          <w:tcPr>
            <w:tcW w:type="dxa" w:w="20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What</w:t>
            </w:r>
          </w:p>
        </w:tc>
        <w:tc>
          <w:tcPr>
            <w:tcW w:type="dxa" w:w="73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Neither TGERC nor APERC publishes district-wise energy sales. Real demand depends on industrial load, agricultural pump-sets, and urban density — not just population (Ranga Reddy per-capita consumption is ~3× the DISCOM average).</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Fix 1</w:t>
            </w:r>
          </w:p>
        </w:tc>
        <w:tc>
          <w:tcPr>
            <w:tcW w:type="dxa" w:w="73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File RTI with TSSPDCL/TSNPDCL for 'division-wise/circle-wise energy sales FY2023-24'. This is the most granular level they hold.</w:t>
            </w:r>
          </w:p>
        </w:tc>
      </w:tr>
      <w:tr>
        <w:tc>
          <w:tcPr>
            <w:tcW w:type="dxa" w:w="20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Fix 2</w:t>
            </w:r>
          </w:p>
        </w:tc>
        <w:tc>
          <w:tcPr>
            <w:tcW w:type="dxa" w:w="73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Use weighted demand proxy: (0.6 × population share) + (0.3 × industrial GSDP share) + (0.1 × agricultural area share) instead of pure population weighting.</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Fix 3</w:t>
            </w:r>
          </w:p>
        </w:tc>
        <w:tc>
          <w:tcPr>
            <w:tcW w:type="dxa" w:w="73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APERC SEP 2023, Section 4.3.1 has district-wise load forecast tables — extract these manually. Already publicly available.</w:t>
            </w:r>
          </w:p>
        </w:tc>
      </w:tr>
    </w:tbl>
    <w:p/>
    <w:p>
      <w:pPr>
        <w:pStyle w:val="Heading3"/>
        <w:spacing w:before="280" w:after="120"/>
      </w:pPr>
      <w:r>
        <w:rPr>
          <w:rFonts w:ascii="Arial" w:cs="Arial" w:eastAsia="Arial" w:hAnsi="Arial"/>
          <w:b/>
          <w:bCs/>
          <w:color w:val="0E7490"/>
          <w:sz w:val="24"/>
          <w:szCs w:val="24"/>
        </w:rPr>
        <w:t xml:space="preserve">Flaw 5 — Small Training Set (~100–150 Plants)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BD5E1" w:sz="1"/>
              <w:left w:val="single" w:color="CBD5E1" w:sz="1"/>
              <w:bottom w:val="single" w:color="CBD5E1" w:sz="1"/>
              <w:right w:val="single" w:color="CBD5E1" w:sz="1"/>
            </w:tcBorders>
            <w:shd w:fill="0F172A"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Field</w:t>
            </w:r>
          </w:p>
        </w:tc>
        <w:tc>
          <w:tcPr>
            <w:tcW w:type="dxa" w:w="7360"/>
            <w:tcBorders>
              <w:top w:val="single" w:color="CBD5E1" w:sz="1"/>
              <w:left w:val="single" w:color="CBD5E1" w:sz="1"/>
              <w:bottom w:val="single" w:color="CBD5E1" w:sz="1"/>
              <w:right w:val="single" w:color="CBD5E1" w:sz="1"/>
            </w:tcBorders>
            <w:shd w:fill="0F172A"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Detail</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Severity</w:t>
            </w:r>
          </w:p>
        </w:tc>
        <w:tc>
          <w:tcPr>
            <w:tcW w:type="dxa" w:w="7360"/>
            <w:tcBorders>
              <w:top w:val="single" w:color="CBD5E1" w:sz="1"/>
              <w:left w:val="single" w:color="CBD5E1" w:sz="1"/>
              <w:bottom w:val="single" w:color="CBD5E1" w:sz="1"/>
              <w:right w:val="single" w:color="CBD5E1" w:sz="1"/>
            </w:tcBorders>
            <w:shd w:fill="FEF3C7" w:val="clear"/>
            <w:tcMar>
              <w:top w:type="dxa" w:w="80"/>
              <w:left w:type="dxa" w:w="140"/>
              <w:bottom w:type="dxa" w:w="80"/>
              <w:right w:type="dxa" w:w="140"/>
            </w:tcMar>
            <w:vAlign w:val="center"/>
          </w:tcPr>
          <w:p>
            <w:r>
              <w:rPr>
                <w:rFonts w:ascii="Arial" w:cs="Arial" w:eastAsia="Arial" w:hAnsi="Arial"/>
                <w:b/>
                <w:bCs/>
                <w:color w:val="92400E"/>
                <w:sz w:val="18"/>
                <w:szCs w:val="18"/>
              </w:rPr>
              <w:t xml:space="preserve">MEDIUM</w:t>
            </w:r>
          </w:p>
        </w:tc>
      </w:tr>
      <w:tr>
        <w:tc>
          <w:tcPr>
            <w:tcW w:type="dxa" w:w="20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What</w:t>
            </w:r>
          </w:p>
        </w:tc>
        <w:tc>
          <w:tcPr>
            <w:tcW w:type="dxa" w:w="73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100–150 labelled solar plants across 5 states is small for an ML ensemble. XGBoost can overfit. Geographic generalisation may degrade on unseen states.</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Fix 1</w:t>
            </w:r>
          </w:p>
        </w:tc>
        <w:tc>
          <w:tcPr>
            <w:tcW w:type="dxa" w:w="73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Augment with national data: CEA has 700+ solar plants. Use all India for training; test specifically on TG + AP.</w:t>
            </w:r>
          </w:p>
        </w:tc>
      </w:tr>
      <w:tr>
        <w:tc>
          <w:tcPr>
            <w:tcW w:type="dxa" w:w="20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Fix 2</w:t>
            </w:r>
          </w:p>
        </w:tc>
        <w:tc>
          <w:tcPr>
            <w:tcW w:type="dxa" w:w="73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Use AlphaEarth Foundations pre-trained embeddings as features — dramatically improves small-data ML performance (AlphaEarth showed 24% lower error rate in sparse-label scenarios).</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Fix 3</w:t>
            </w:r>
          </w:p>
        </w:tc>
        <w:tc>
          <w:tcPr>
            <w:tcW w:type="dxa" w:w="73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GroupKFold cross-validation stratified by state — no state over-represented in any fold.</w:t>
            </w:r>
          </w:p>
        </w:tc>
      </w:tr>
    </w:tbl>
    <w:p/>
    <w:p>
      <w:pPr>
        <w:pStyle w:val="Heading3"/>
        <w:spacing w:before="280" w:after="120"/>
      </w:pPr>
      <w:r>
        <w:rPr>
          <w:rFonts w:ascii="Arial" w:cs="Arial" w:eastAsia="Arial" w:hAnsi="Arial"/>
          <w:b/>
          <w:bCs/>
          <w:color w:val="0E7490"/>
          <w:sz w:val="24"/>
          <w:szCs w:val="24"/>
        </w:rPr>
        <w:t xml:space="preserve">Flaw 6 — Uniform Capacity Factor Across All Districts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BD5E1" w:sz="1"/>
              <w:left w:val="single" w:color="CBD5E1" w:sz="1"/>
              <w:bottom w:val="single" w:color="CBD5E1" w:sz="1"/>
              <w:right w:val="single" w:color="CBD5E1" w:sz="1"/>
            </w:tcBorders>
            <w:shd w:fill="0F172A"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Field</w:t>
            </w:r>
          </w:p>
        </w:tc>
        <w:tc>
          <w:tcPr>
            <w:tcW w:type="dxa" w:w="7360"/>
            <w:tcBorders>
              <w:top w:val="single" w:color="CBD5E1" w:sz="1"/>
              <w:left w:val="single" w:color="CBD5E1" w:sz="1"/>
              <w:bottom w:val="single" w:color="CBD5E1" w:sz="1"/>
              <w:right w:val="single" w:color="CBD5E1" w:sz="1"/>
            </w:tcBorders>
            <w:shd w:fill="0F172A"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Detail</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Severity</w:t>
            </w:r>
          </w:p>
        </w:tc>
        <w:tc>
          <w:tcPr>
            <w:tcW w:type="dxa" w:w="7360"/>
            <w:tcBorders>
              <w:top w:val="single" w:color="CBD5E1" w:sz="1"/>
              <w:left w:val="single" w:color="CBD5E1" w:sz="1"/>
              <w:bottom w:val="single" w:color="CBD5E1" w:sz="1"/>
              <w:right w:val="single" w:color="CBD5E1" w:sz="1"/>
            </w:tcBorders>
            <w:shd w:fill="FEF3C7" w:val="clear"/>
            <w:tcMar>
              <w:top w:type="dxa" w:w="80"/>
              <w:left w:type="dxa" w:w="140"/>
              <w:bottom w:type="dxa" w:w="80"/>
              <w:right w:type="dxa" w:w="140"/>
            </w:tcMar>
            <w:vAlign w:val="center"/>
          </w:tcPr>
          <w:p>
            <w:r>
              <w:rPr>
                <w:rFonts w:ascii="Arial" w:cs="Arial" w:eastAsia="Arial" w:hAnsi="Arial"/>
                <w:b/>
                <w:bCs/>
                <w:color w:val="92400E"/>
                <w:sz w:val="18"/>
                <w:szCs w:val="18"/>
              </w:rPr>
              <w:t xml:space="preserve">MEDIUM</w:t>
            </w:r>
          </w:p>
        </w:tc>
      </w:tr>
      <w:tr>
        <w:tc>
          <w:tcPr>
            <w:tcW w:type="dxa" w:w="20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What</w:t>
            </w:r>
          </w:p>
        </w:tc>
        <w:tc>
          <w:tcPr>
            <w:tcW w:type="dxa" w:w="73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We use CF = 0.23 for all utility solar and 0.18 for all rooftop across both states. TG northern districts (higher GHI, drier) have actual CFs of 25–27%; coastal AP runs 19–21%.</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Fix</w:t>
            </w:r>
          </w:p>
        </w:tc>
        <w:tc>
          <w:tcPr>
            <w:tcW w:type="dxa" w:w="73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Compute district-specific CF from NASA POWER GHI: CF_district = (GHI_district / 1000) × PR × (1 − temp_loss). This turns a static assumption into a spatially varying feature — a novel contribution.</w:t>
            </w:r>
          </w:p>
        </w:tc>
      </w:tr>
    </w:tbl>
    <w:p/>
    <w:p>
      <w:pPr>
        <w:pStyle w:val="Heading3"/>
        <w:spacing w:before="280" w:after="120"/>
      </w:pPr>
      <w:r>
        <w:rPr>
          <w:rFonts w:ascii="Arial" w:cs="Arial" w:eastAsia="Arial" w:hAnsi="Arial"/>
          <w:b/>
          <w:bCs/>
          <w:color w:val="0E7490"/>
          <w:sz w:val="24"/>
          <w:szCs w:val="24"/>
        </w:rPr>
        <w:t xml:space="preserve">Flaw 7 — No Validation Against Real Plant Performance Yet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BD5E1" w:sz="1"/>
              <w:left w:val="single" w:color="CBD5E1" w:sz="1"/>
              <w:bottom w:val="single" w:color="CBD5E1" w:sz="1"/>
              <w:right w:val="single" w:color="CBD5E1" w:sz="1"/>
            </w:tcBorders>
            <w:shd w:fill="0F172A"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Field</w:t>
            </w:r>
          </w:p>
        </w:tc>
        <w:tc>
          <w:tcPr>
            <w:tcW w:type="dxa" w:w="7360"/>
            <w:tcBorders>
              <w:top w:val="single" w:color="CBD5E1" w:sz="1"/>
              <w:left w:val="single" w:color="CBD5E1" w:sz="1"/>
              <w:bottom w:val="single" w:color="CBD5E1" w:sz="1"/>
              <w:right w:val="single" w:color="CBD5E1" w:sz="1"/>
            </w:tcBorders>
            <w:shd w:fill="0F172A"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Detail</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Severity</w:t>
            </w:r>
          </w:p>
        </w:tc>
        <w:tc>
          <w:tcPr>
            <w:tcW w:type="dxa" w:w="7360"/>
            <w:tcBorders>
              <w:top w:val="single" w:color="CBD5E1" w:sz="1"/>
              <w:left w:val="single" w:color="CBD5E1" w:sz="1"/>
              <w:bottom w:val="single" w:color="CBD5E1" w:sz="1"/>
              <w:right w:val="single" w:color="CBD5E1" w:sz="1"/>
            </w:tcBorders>
            <w:shd w:fill="FEE2E2" w:val="clear"/>
            <w:tcMar>
              <w:top w:type="dxa" w:w="80"/>
              <w:left w:type="dxa" w:w="140"/>
              <w:bottom w:type="dxa" w:w="80"/>
              <w:right w:type="dxa" w:w="140"/>
            </w:tcMar>
            <w:vAlign w:val="center"/>
          </w:tcPr>
          <w:p>
            <w:r>
              <w:rPr>
                <w:rFonts w:ascii="Arial" w:cs="Arial" w:eastAsia="Arial" w:hAnsi="Arial"/>
                <w:b/>
                <w:bCs/>
                <w:color w:val="991B1B"/>
                <w:sz w:val="18"/>
                <w:szCs w:val="18"/>
              </w:rPr>
              <w:t xml:space="preserve">CRITICAL</w:t>
            </w:r>
          </w:p>
        </w:tc>
      </w:tr>
      <w:tr>
        <w:tc>
          <w:tcPr>
            <w:tcW w:type="dxa" w:w="20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What</w:t>
            </w:r>
          </w:p>
        </w:tc>
        <w:tc>
          <w:tcPr>
            <w:tcW w:type="dxa" w:w="73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No ground truth has been gathered yet to validate predictions. Applied Energy will reject without a validation section.</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Fix</w:t>
            </w:r>
          </w:p>
        </w:tc>
        <w:tc>
          <w:tcPr>
            <w:tcW w:type="dxa" w:w="73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Build 100+ plant training/validation set from CEA Monthly Generation Reports. Reserve 20% (25 plants) as held-out test set. Report R², MAPE, RMSE on held-out set — this is Table 3 in the paper. Target: R² &gt; 0.85, MAPE &lt; 15%.</w:t>
            </w:r>
          </w:p>
        </w:tc>
      </w:tr>
    </w:tbl>
    <w:p/>
    <w:p>
      <w:pPr>
        <w:pStyle w:val="Heading3"/>
        <w:spacing w:before="280" w:after="120"/>
      </w:pPr>
      <w:r>
        <w:rPr>
          <w:rFonts w:ascii="Arial" w:cs="Arial" w:eastAsia="Arial" w:hAnsi="Arial"/>
          <w:b/>
          <w:bCs/>
          <w:color w:val="0E7490"/>
          <w:sz w:val="24"/>
          <w:szCs w:val="24"/>
        </w:rPr>
        <w:t xml:space="preserve">Flaw 8 — AP Rooftop Discrepancy (490 MW vs 198 MW)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BD5E1" w:sz="1"/>
              <w:left w:val="single" w:color="CBD5E1" w:sz="1"/>
              <w:bottom w:val="single" w:color="CBD5E1" w:sz="1"/>
              <w:right w:val="single" w:color="CBD5E1" w:sz="1"/>
            </w:tcBorders>
            <w:shd w:fill="0F172A"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Field</w:t>
            </w:r>
          </w:p>
        </w:tc>
        <w:tc>
          <w:tcPr>
            <w:tcW w:type="dxa" w:w="7360"/>
            <w:tcBorders>
              <w:top w:val="single" w:color="CBD5E1" w:sz="1"/>
              <w:left w:val="single" w:color="CBD5E1" w:sz="1"/>
              <w:bottom w:val="single" w:color="CBD5E1" w:sz="1"/>
              <w:right w:val="single" w:color="CBD5E1" w:sz="1"/>
            </w:tcBorders>
            <w:shd w:fill="0F172A"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Detail</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Severity</w:t>
            </w:r>
          </w:p>
        </w:tc>
        <w:tc>
          <w:tcPr>
            <w:tcW w:type="dxa" w:w="7360"/>
            <w:tcBorders>
              <w:top w:val="single" w:color="CBD5E1" w:sz="1"/>
              <w:left w:val="single" w:color="CBD5E1" w:sz="1"/>
              <w:bottom w:val="single" w:color="CBD5E1" w:sz="1"/>
              <w:right w:val="single" w:color="CBD5E1" w:sz="1"/>
            </w:tcBorders>
            <w:shd w:fill="DCFCE7" w:val="clear"/>
            <w:tcMar>
              <w:top w:type="dxa" w:w="80"/>
              <w:left w:type="dxa" w:w="140"/>
              <w:bottom w:type="dxa" w:w="80"/>
              <w:right w:type="dxa" w:w="140"/>
            </w:tcMar>
            <w:vAlign w:val="center"/>
          </w:tcPr>
          <w:p>
            <w:r>
              <w:rPr>
                <w:rFonts w:ascii="Arial" w:cs="Arial" w:eastAsia="Arial" w:hAnsi="Arial"/>
                <w:b/>
                <w:bCs/>
                <w:color w:val="166534"/>
                <w:sz w:val="18"/>
                <w:szCs w:val="18"/>
              </w:rPr>
              <w:t xml:space="preserve">LOW</w:t>
            </w:r>
          </w:p>
        </w:tc>
      </w:tr>
      <w:tr>
        <w:tc>
          <w:tcPr>
            <w:tcW w:type="dxa" w:w="20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What</w:t>
            </w:r>
          </w:p>
        </w:tc>
        <w:tc>
          <w:tcPr>
            <w:tcW w:type="dxa" w:w="73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APERC SEP 2023 says 490.232 MW rooftop in AP. CEA says 198.12 MW. A reviewer will ask about this.</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Explanation</w:t>
            </w:r>
          </w:p>
        </w:tc>
        <w:tc>
          <w:tcPr>
            <w:tcW w:type="dxa" w:w="73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APERC's 490 MW includes planned/sanctioned but not yet commissioned capacity. CEA counts only commissioned and net-metered. We chose CEA's 198 MW as ground truth.</w:t>
            </w:r>
          </w:p>
        </w:tc>
      </w:tr>
      <w:tr>
        <w:tc>
          <w:tcPr>
            <w:tcW w:type="dxa" w:w="20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Paper Opportunity</w:t>
            </w:r>
          </w:p>
        </w:tc>
        <w:tc>
          <w:tcPr>
            <w:tcW w:type="dxa" w:w="73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State both figures, explain the discrepancy, quantify: 292 MW 'sanctioned but not commissioned' = 59% non-materialisation rate. This is a policy finding in itself.</w:t>
            </w:r>
          </w:p>
        </w:tc>
      </w:tr>
    </w:tbl>
    <w:p>
      <w:r>
        <w:br w:type="page"/>
      </w:r>
    </w:p>
    <w:p>
      <w:pPr>
        <w:pStyle w:val="Heading1"/>
        <w:pBdr>
          <w:bottom w:val="single" w:color="E8590C" w:sz="8" w:space="1"/>
        </w:pBdr>
        <w:spacing w:before="480" w:after="200"/>
      </w:pPr>
      <w:r>
        <w:rPr>
          <w:rFonts w:ascii="Arial" w:cs="Arial" w:eastAsia="Arial" w:hAnsi="Arial"/>
          <w:b/>
          <w:bCs/>
          <w:color w:val="E8590C"/>
          <w:sz w:val="36"/>
          <w:szCs w:val="36"/>
        </w:rPr>
        <w:t xml:space="preserve">PART 6 — GOOGLE ALPHAEARTH FOUNDATIONS INTEGRATION</w:t>
      </w:r>
    </w:p>
    <w:p>
      <w:pPr>
        <w:pStyle w:val="Heading2"/>
        <w:spacing w:before="360" w:after="160"/>
      </w:pPr>
      <w:r>
        <w:rPr>
          <w:rFonts w:ascii="Arial" w:cs="Arial" w:eastAsia="Arial" w:hAnsi="Arial"/>
          <w:b/>
          <w:bCs/>
          <w:color w:val="1E293B"/>
          <w:sz w:val="28"/>
          <w:szCs w:val="28"/>
        </w:rPr>
        <w:t xml:space="preserve">6.1  What AlphaEarth Foundations Is</w:t>
      </w:r>
    </w:p>
    <w:p>
      <w:pPr>
        <w:spacing w:after="120"/>
      </w:pPr>
      <w:r>
        <w:rPr>
          <w:rFonts w:ascii="Arial" w:cs="Arial" w:eastAsia="Arial" w:hAnsi="Arial"/>
          <w:color w:val="1E293B"/>
          <w:sz w:val="20"/>
          <w:szCs w:val="20"/>
        </w:rPr>
        <w:t xml:space="preserve">AlphaEarth Foundations is Google DeepMind's geospatial AI model that functions like a virtual satellite — integrating observations across diverse sources of Earth observation data (Sentinel-2, Landsat, radar, elevation models, climate data, gravity fields) into a unified 64-dimensional embedding per 10-metre pixel, globally, from 2017 to 2025.</w:t>
      </w:r>
    </w:p>
    <w:p>
      <w:pPr>
        <w:spacing w:after="120"/>
      </w:pPr>
      <w:r>
        <w:rPr>
          <w:rFonts w:ascii="Arial" w:cs="Arial" w:eastAsia="Arial" w:hAnsi="Arial"/>
          <w:color w:val="1E293B"/>
          <w:sz w:val="20"/>
          <w:szCs w:val="20"/>
        </w:rPr>
        <w:t xml:space="preserve">The Satellite Embedding dataset generated by AlphaEarth Foundations is available free on Google Earth Engine for research use. The model demonstrated a 24% lower error rate than competing models in sparse-label scenarios — exactly the situation we face with only ~150 training plants.</w:t>
      </w:r>
    </w:p>
    <w:p>
      <w:pPr>
        <w:spacing w:after="120"/>
      </w:pPr>
      <w:r>
        <w:rPr>
          <w:rFonts w:ascii="Arial" w:cs="Arial" w:eastAsia="Arial" w:hAnsi="Arial"/>
          <w:color w:val="1E293B"/>
          <w:sz w:val="20"/>
          <w:szCs w:val="20"/>
        </w:rPr>
        <w:t xml:space="preserve">Citation: Brown, C.F., Kazmierski, M.R., Pasquarella, V.J., et al. (2025). AlphaEarth Foundations: An embedding field model for accurate and efficient global mapping. arXiv:2507.22291.</w:t>
      </w:r>
    </w:p>
    <w:p/>
    <w:p>
      <w:pPr>
        <w:pStyle w:val="Heading2"/>
        <w:spacing w:before="360" w:after="160"/>
      </w:pPr>
      <w:r>
        <w:rPr>
          <w:rFonts w:ascii="Arial" w:cs="Arial" w:eastAsia="Arial" w:hAnsi="Arial"/>
          <w:b/>
          <w:bCs/>
          <w:color w:val="1E293B"/>
          <w:sz w:val="28"/>
          <w:szCs w:val="28"/>
        </w:rPr>
        <w:t xml:space="preserve">6.2  Four Ways to Use It in SolarSite-India</w:t>
      </w:r>
    </w:p>
    <w:p>
      <w:pPr>
        <w:pStyle w:val="Heading3"/>
        <w:spacing w:before="280" w:after="120"/>
      </w:pPr>
      <w:r>
        <w:rPr>
          <w:rFonts w:ascii="Arial" w:cs="Arial" w:eastAsia="Arial" w:hAnsi="Arial"/>
          <w:b/>
          <w:bCs/>
          <w:color w:val="0E7490"/>
          <w:sz w:val="24"/>
          <w:szCs w:val="24"/>
        </w:rPr>
        <w:t xml:space="preserve">Use Case 1 — Replace / Validate Land Use Features (Biggest Win)</w:t>
      </w:r>
    </w:p>
    <w:p>
      <w:pPr>
        <w:spacing w:after="120"/>
      </w:pPr>
      <w:r>
        <w:rPr>
          <w:rFonts w:ascii="Arial" w:cs="Arial" w:eastAsia="Arial" w:hAnsi="Arial"/>
          <w:color w:val="1E293B"/>
          <w:sz w:val="20"/>
          <w:szCs w:val="20"/>
        </w:rPr>
        <w:t xml:space="preserve">Instead of relying on ISRO Bhuvan's 56m LULC from 2021-22, extract AlphaEarth embeddings for each of the 30,000 candidate sites. The 64 embedding dimensions already encode land cover, soil reflectance, vegetation density, and seasonal change patterns at 10m resolution, cloud-free. Feed these 64 numbers directly into XGBoost as additional features alongside the existing 42.</w:t>
      </w:r>
    </w:p>
    <w:p>
      <w:pPr>
        <w:pBdr>
          <w:left w:val="single" w:color="0E7490" w:sz="12" w:space="2"/>
        </w:pBdr>
        <w:shd w:fill="F8FAFC" w:val="clear"/>
        <w:spacing w:after="60"/>
        <w:ind w:left="720"/>
      </w:pPr>
      <w:r>
        <w:rPr>
          <w:rFonts w:ascii="Courier New" w:cs="Courier New" w:eastAsia="Courier New" w:hAnsi="Courier New"/>
          <w:color w:val="1e293b"/>
          <w:sz w:val="18"/>
          <w:szCs w:val="18"/>
        </w:rPr>
        <w:t xml:space="preserve">dataset = ee.ImageCollection("GOOGLE/SATELLITE_EMBEDDING/V1/ANNUAL")</w:t>
      </w:r>
    </w:p>
    <w:p>
      <w:pPr>
        <w:pBdr>
          <w:left w:val="single" w:color="0E7490" w:sz="12" w:space="2"/>
        </w:pBdr>
        <w:shd w:fill="F8FAFC" w:val="clear"/>
        <w:spacing w:after="60"/>
        <w:ind w:left="720"/>
      </w:pPr>
      <w:r>
        <w:rPr>
          <w:rFonts w:ascii="Courier New" w:cs="Courier New" w:eastAsia="Courier New" w:hAnsi="Courier New"/>
          <w:color w:val="1e293b"/>
          <w:sz w:val="18"/>
          <w:szCs w:val="18"/>
        </w:rPr>
        <w:t xml:space="preserve">embedding_2023 = dataset.filterDate("2023-01-01", "2024-01-01").first()</w:t>
      </w:r>
    </w:p>
    <w:p>
      <w:pPr>
        <w:pBdr>
          <w:left w:val="single" w:color="0E7490" w:sz="12" w:space="2"/>
        </w:pBdr>
        <w:shd w:fill="F8FAFC" w:val="clear"/>
        <w:spacing w:after="60"/>
        <w:ind w:left="720"/>
      </w:pPr>
      <w:r>
        <w:rPr>
          <w:rFonts w:ascii="Courier New" w:cs="Courier New" w:eastAsia="Courier New" w:hAnsi="Courier New"/>
          <w:color w:val="1e293b"/>
          <w:sz w:val="18"/>
          <w:szCs w:val="18"/>
        </w:rPr>
        <w:t xml:space="preserve">values = embedding_2023.sample(region=candidate_sites_fc, scale=10)</w:t>
      </w:r>
    </w:p>
    <w:p/>
    <w:p>
      <w:pPr>
        <w:pStyle w:val="Heading3"/>
        <w:spacing w:before="280" w:after="120"/>
      </w:pPr>
      <w:r>
        <w:rPr>
          <w:rFonts w:ascii="Arial" w:cs="Arial" w:eastAsia="Arial" w:hAnsi="Arial"/>
          <w:b/>
          <w:bCs/>
          <w:color w:val="0E7490"/>
          <w:sz w:val="24"/>
          <w:szCs w:val="24"/>
        </w:rPr>
        <w:t xml:space="preserve">Use Case 2 — Detect Existing Solar Panels (Directly Solves Flaw 1)</w:t>
      </w:r>
    </w:p>
    <w:p>
      <w:pPr>
        <w:spacing w:after="120"/>
      </w:pPr>
      <w:r>
        <w:rPr>
          <w:rFonts w:ascii="Arial" w:cs="Arial" w:eastAsia="Arial" w:hAnsi="Arial"/>
          <w:color w:val="1E293B"/>
          <w:sz w:val="20"/>
          <w:szCs w:val="20"/>
        </w:rPr>
        <w:t xml:space="preserve">Train a binary classifier on top of AlphaEarth embeddings using just 20–30 known solar plant locations as positive labels and 20–30 non-solar locations as negatives. Apply to all of Telangana and AP. This gives you the actual solar panel footprint per district — solving the biggest data gap in the project without needing any RTI response.</w:t>
      </w:r>
    </w:p>
    <w:p>
      <w:pPr>
        <w:pStyle w:val="Heading3"/>
        <w:spacing w:before="280" w:after="120"/>
      </w:pPr>
      <w:r>
        <w:rPr>
          <w:rFonts w:ascii="Arial" w:cs="Arial" w:eastAsia="Arial" w:hAnsi="Arial"/>
          <w:b/>
          <w:bCs/>
          <w:color w:val="0E7490"/>
          <w:sz w:val="24"/>
          <w:szCs w:val="24"/>
        </w:rPr>
        <w:t xml:space="preserve">Use Case 3 — Track Temporal Change in Candidate Sites</w:t>
      </w:r>
    </w:p>
    <w:p>
      <w:pPr>
        <w:spacing w:after="120"/>
      </w:pPr>
      <w:r>
        <w:rPr>
          <w:rFonts w:ascii="Arial" w:cs="Arial" w:eastAsia="Arial" w:hAnsi="Arial"/>
          <w:color w:val="1E293B"/>
          <w:sz w:val="20"/>
          <w:szCs w:val="20"/>
        </w:rPr>
        <w:t xml:space="preserve">Compare 2019 vs 2024 embeddings per candidate site. Low embedding similarity = land use has changed (construction, new industrial development). High similarity = stable wasteland. This is a proxy for 'site availability risk' — a novel feature that no existing solar site selection tool has.</w:t>
      </w:r>
    </w:p>
    <w:p>
      <w:pPr>
        <w:pStyle w:val="Heading3"/>
        <w:spacing w:before="280" w:after="120"/>
      </w:pPr>
      <w:r>
        <w:rPr>
          <w:rFonts w:ascii="Arial" w:cs="Arial" w:eastAsia="Arial" w:hAnsi="Arial"/>
          <w:b/>
          <w:bCs/>
          <w:color w:val="0E7490"/>
          <w:sz w:val="24"/>
          <w:szCs w:val="24"/>
        </w:rPr>
        <w:t xml:space="preserve">Use Case 4 — Upgrade the Paper's Novel Contribution</w:t>
      </w:r>
    </w:p>
    <w:p>
      <w:pPr>
        <w:spacing w:after="120"/>
      </w:pPr>
      <w:r>
        <w:rPr>
          <w:rFonts w:ascii="Arial" w:cs="Arial" w:eastAsia="Arial" w:hAnsi="Arial"/>
          <w:color w:val="1E293B"/>
          <w:sz w:val="20"/>
          <w:szCs w:val="20"/>
        </w:rPr>
        <w:t xml:space="preserve">Currently the paper's novelty is '42 features + ML ensemble.' With AlphaEarth, the novelty becomes: 'First solar suitability model to use pre-trained geospatial foundation model embeddings as features, trained on sparse plant labels.' This is significantly more publishable and positions SolarSite-India at the frontier of geospatial AI.</w:t>
      </w:r>
    </w:p>
    <w:p/>
    <w:p>
      <w:pPr>
        <w:pStyle w:val="Heading2"/>
        <w:spacing w:before="360" w:after="160"/>
      </w:pPr>
      <w:r>
        <w:rPr>
          <w:rFonts w:ascii="Arial" w:cs="Arial" w:eastAsia="Arial" w:hAnsi="Arial"/>
          <w:b/>
          <w:bCs/>
          <w:color w:val="1E293B"/>
          <w:sz w:val="28"/>
          <w:szCs w:val="28"/>
        </w:rPr>
        <w:t xml:space="preserve">6.3  AlphaEarth Integration Timeline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4000"/>
        <w:gridCol w:w="1400"/>
        <w:gridCol w:w="2960"/>
      </w:tblGrid>
      <w:tr>
        <w:tc>
          <w:tcPr>
            <w:tcW w:type="dxa" w:w="1000"/>
            <w:tcBorders>
              <w:top w:val="single" w:color="CBD5E1" w:sz="1"/>
              <w:left w:val="single" w:color="CBD5E1" w:sz="1"/>
              <w:bottom w:val="single" w:color="CBD5E1" w:sz="1"/>
              <w:right w:val="single" w:color="CBD5E1" w:sz="1"/>
            </w:tcBorders>
            <w:shd w:fill="0F172A"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Week</w:t>
            </w:r>
          </w:p>
        </w:tc>
        <w:tc>
          <w:tcPr>
            <w:tcW w:type="dxa" w:w="4000"/>
            <w:tcBorders>
              <w:top w:val="single" w:color="CBD5E1" w:sz="1"/>
              <w:left w:val="single" w:color="CBD5E1" w:sz="1"/>
              <w:bottom w:val="single" w:color="CBD5E1" w:sz="1"/>
              <w:right w:val="single" w:color="CBD5E1" w:sz="1"/>
            </w:tcBorders>
            <w:shd w:fill="0F172A"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Task</w:t>
            </w:r>
          </w:p>
        </w:tc>
        <w:tc>
          <w:tcPr>
            <w:tcW w:type="dxa" w:w="1400"/>
            <w:tcBorders>
              <w:top w:val="single" w:color="CBD5E1" w:sz="1"/>
              <w:left w:val="single" w:color="CBD5E1" w:sz="1"/>
              <w:bottom w:val="single" w:color="CBD5E1" w:sz="1"/>
              <w:right w:val="single" w:color="CBD5E1" w:sz="1"/>
            </w:tcBorders>
            <w:shd w:fill="0F172A"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Person</w:t>
            </w:r>
          </w:p>
        </w:tc>
        <w:tc>
          <w:tcPr>
            <w:tcW w:type="dxa" w:w="2960"/>
            <w:tcBorders>
              <w:top w:val="single" w:color="CBD5E1" w:sz="1"/>
              <w:left w:val="single" w:color="CBD5E1" w:sz="1"/>
              <w:bottom w:val="single" w:color="CBD5E1" w:sz="1"/>
              <w:right w:val="single" w:color="CBD5E1" w:sz="1"/>
            </w:tcBorders>
            <w:shd w:fill="0F172A"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Effort</w:t>
            </w:r>
          </w:p>
        </w:tc>
      </w:tr>
      <w:tr>
        <w:tc>
          <w:tcPr>
            <w:tcW w:type="dxa" w:w="1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Week 3</w:t>
            </w:r>
          </w:p>
        </w:tc>
        <w:tc>
          <w:tcPr>
            <w:tcW w:type="dxa" w:w="4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Register Google Earth Engine (free research account at earthengine.google.com)</w:t>
            </w:r>
          </w:p>
        </w:tc>
        <w:tc>
          <w:tcPr>
            <w:tcW w:type="dxa" w:w="1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Person 2</w:t>
            </w:r>
          </w:p>
        </w:tc>
        <w:tc>
          <w:tcPr>
            <w:tcW w:type="dxa" w:w="29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1 hour</w:t>
            </w:r>
          </w:p>
        </w:tc>
      </w:tr>
      <w:tr>
        <w:tc>
          <w:tcPr>
            <w:tcW w:type="dxa" w:w="10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Week 3</w:t>
            </w:r>
          </w:p>
        </w:tc>
        <w:tc>
          <w:tcPr>
            <w:tcW w:type="dxa" w:w="40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Extract 64-dim embeddings for all 2,856 TG candidate sites</w:t>
            </w:r>
          </w:p>
        </w:tc>
        <w:tc>
          <w:tcPr>
            <w:tcW w:type="dxa" w:w="14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Person 2</w:t>
            </w:r>
          </w:p>
        </w:tc>
        <w:tc>
          <w:tcPr>
            <w:tcW w:type="dxa" w:w="29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2 days</w:t>
            </w:r>
          </w:p>
        </w:tc>
      </w:tr>
      <w:tr>
        <w:tc>
          <w:tcPr>
            <w:tcW w:type="dxa" w:w="1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Week 4</w:t>
            </w:r>
          </w:p>
        </w:tc>
        <w:tc>
          <w:tcPr>
            <w:tcW w:type="dxa" w:w="4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Add embeddings as additional features to ML pipeline alongside existing 42</w:t>
            </w:r>
          </w:p>
        </w:tc>
        <w:tc>
          <w:tcPr>
            <w:tcW w:type="dxa" w:w="1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Person 3</w:t>
            </w:r>
          </w:p>
        </w:tc>
        <w:tc>
          <w:tcPr>
            <w:tcW w:type="dxa" w:w="29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1 day</w:t>
            </w:r>
          </w:p>
        </w:tc>
      </w:tr>
      <w:tr>
        <w:tc>
          <w:tcPr>
            <w:tcW w:type="dxa" w:w="10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Week 5</w:t>
            </w:r>
          </w:p>
        </w:tc>
        <w:tc>
          <w:tcPr>
            <w:tcW w:type="dxa" w:w="40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Train binary solar panel detector on 40 labelled locations</w:t>
            </w:r>
          </w:p>
        </w:tc>
        <w:tc>
          <w:tcPr>
            <w:tcW w:type="dxa" w:w="14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Person 3</w:t>
            </w:r>
          </w:p>
        </w:tc>
        <w:tc>
          <w:tcPr>
            <w:tcW w:type="dxa" w:w="29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3 days</w:t>
            </w:r>
          </w:p>
        </w:tc>
      </w:tr>
      <w:tr>
        <w:tc>
          <w:tcPr>
            <w:tcW w:type="dxa" w:w="1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Week 6</w:t>
            </w:r>
          </w:p>
        </w:tc>
        <w:tc>
          <w:tcPr>
            <w:tcW w:type="dxa" w:w="4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Validate detected solar area vs CEA known plant locations in TG</w:t>
            </w:r>
          </w:p>
        </w:tc>
        <w:tc>
          <w:tcPr>
            <w:tcW w:type="dxa" w:w="1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Person 3</w:t>
            </w:r>
          </w:p>
        </w:tc>
        <w:tc>
          <w:tcPr>
            <w:tcW w:type="dxa" w:w="29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2 days</w:t>
            </w:r>
          </w:p>
        </w:tc>
      </w:tr>
      <w:tr>
        <w:tc>
          <w:tcPr>
            <w:tcW w:type="dxa" w:w="10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Week 14</w:t>
            </w:r>
          </w:p>
        </w:tc>
        <w:tc>
          <w:tcPr>
            <w:tcW w:type="dxa" w:w="40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Add AlphaEarth as novel contribution in paper Section 4 (Methodology)</w:t>
            </w:r>
          </w:p>
        </w:tc>
        <w:tc>
          <w:tcPr>
            <w:tcW w:type="dxa" w:w="14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Person 1</w:t>
            </w:r>
          </w:p>
        </w:tc>
        <w:tc>
          <w:tcPr>
            <w:tcW w:type="dxa" w:w="29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Writing only</w:t>
            </w:r>
          </w:p>
        </w:tc>
      </w:tr>
    </w:tbl>
    <w:p>
      <w:r>
        <w:br w:type="page"/>
      </w:r>
    </w:p>
    <w:p>
      <w:pPr>
        <w:pStyle w:val="Heading1"/>
        <w:pBdr>
          <w:bottom w:val="single" w:color="E8590C" w:sz="8" w:space="1"/>
        </w:pBdr>
        <w:spacing w:before="480" w:after="200"/>
      </w:pPr>
      <w:r>
        <w:rPr>
          <w:rFonts w:ascii="Arial" w:cs="Arial" w:eastAsia="Arial" w:hAnsi="Arial"/>
          <w:b/>
          <w:bCs/>
          <w:color w:val="E8590C"/>
          <w:sz w:val="36"/>
          <w:szCs w:val="36"/>
        </w:rPr>
        <w:t xml:space="preserve">PART 7 — COMPLETE REQUIRED DATASETS</w:t>
      </w:r>
    </w:p>
    <w:p>
      <w:pPr>
        <w:pStyle w:val="Heading2"/>
        <w:spacing w:before="360" w:after="160"/>
      </w:pPr>
      <w:r>
        <w:rPr>
          <w:rFonts w:ascii="Arial" w:cs="Arial" w:eastAsia="Arial" w:hAnsi="Arial"/>
          <w:b/>
          <w:bCs/>
          <w:color w:val="1E293B"/>
          <w:sz w:val="28"/>
          <w:szCs w:val="28"/>
        </w:rPr>
        <w:t xml:space="preserve">7.1  Tier 1 — Critical (Before ML Training Can Start)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gridCol w:w="2600"/>
        <w:gridCol w:w="1760"/>
      </w:tblGrid>
      <w:tr>
        <w:tc>
          <w:tcPr>
            <w:tcW w:type="dxa" w:w="2400"/>
            <w:tcBorders>
              <w:top w:val="single" w:color="CBD5E1" w:sz="1"/>
              <w:left w:val="single" w:color="CBD5E1" w:sz="1"/>
              <w:bottom w:val="single" w:color="CBD5E1" w:sz="1"/>
              <w:right w:val="single" w:color="CBD5E1" w:sz="1"/>
            </w:tcBorders>
            <w:shd w:fill="0F172A"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Dataset</w:t>
            </w:r>
          </w:p>
        </w:tc>
        <w:tc>
          <w:tcPr>
            <w:tcW w:type="dxa" w:w="2600"/>
            <w:tcBorders>
              <w:top w:val="single" w:color="CBD5E1" w:sz="1"/>
              <w:left w:val="single" w:color="CBD5E1" w:sz="1"/>
              <w:bottom w:val="single" w:color="CBD5E1" w:sz="1"/>
              <w:right w:val="single" w:color="CBD5E1" w:sz="1"/>
            </w:tcBorders>
            <w:shd w:fill="0F172A"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What You Get</w:t>
            </w:r>
          </w:p>
        </w:tc>
        <w:tc>
          <w:tcPr>
            <w:tcW w:type="dxa" w:w="2600"/>
            <w:tcBorders>
              <w:top w:val="single" w:color="CBD5E1" w:sz="1"/>
              <w:left w:val="single" w:color="CBD5E1" w:sz="1"/>
              <w:bottom w:val="single" w:color="CBD5E1" w:sz="1"/>
              <w:right w:val="single" w:color="CBD5E1" w:sz="1"/>
            </w:tcBorders>
            <w:shd w:fill="0F172A"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Where</w:t>
            </w:r>
          </w:p>
        </w:tc>
        <w:tc>
          <w:tcPr>
            <w:tcW w:type="dxa" w:w="1760"/>
            <w:tcBorders>
              <w:top w:val="single" w:color="CBD5E1" w:sz="1"/>
              <w:left w:val="single" w:color="CBD5E1" w:sz="1"/>
              <w:bottom w:val="single" w:color="CBD5E1" w:sz="1"/>
              <w:right w:val="single" w:color="CBD5E1" w:sz="1"/>
            </w:tcBorders>
            <w:shd w:fill="0F172A"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Free?</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CEA Monthly Generation Reports FY2019–2024</w:t>
            </w:r>
          </w:p>
        </w:tc>
        <w:tc>
          <w:tcPr>
            <w:tcW w:type="dxa" w:w="2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Actual annual MWh per solar plant — your training LABELS</w:t>
            </w:r>
          </w:p>
        </w:tc>
        <w:tc>
          <w:tcPr>
            <w:tcW w:type="dxa" w:w="2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cea.nic.in → Reports → Monthly Generation Review</w:t>
            </w:r>
          </w:p>
        </w:tc>
        <w:tc>
          <w:tcPr>
            <w:tcW w:type="dxa" w:w="1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 Free</w:t>
            </w:r>
          </w:p>
        </w:tc>
      </w:tr>
      <w:tr>
        <w:tc>
          <w:tcPr>
            <w:tcW w:type="dxa" w:w="24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MNRE Plant Register</w:t>
            </w:r>
          </w:p>
        </w:tc>
        <w:tc>
          <w:tcPr>
            <w:tcW w:type="dxa" w:w="2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Plant name, location, commissioned MW — geocoding base</w:t>
            </w:r>
          </w:p>
        </w:tc>
        <w:tc>
          <w:tcPr>
            <w:tcW w:type="dxa" w:w="2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mnre.gov.in → Programme-wise targets</w:t>
            </w:r>
          </w:p>
        </w:tc>
        <w:tc>
          <w:tcPr>
            <w:tcW w:type="dxa" w:w="17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 Free</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TSREDCO Project List</w:t>
            </w:r>
          </w:p>
        </w:tc>
        <w:tc>
          <w:tcPr>
            <w:tcW w:type="dxa" w:w="2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Telangana utility solar projects with district location</w:t>
            </w:r>
          </w:p>
        </w:tc>
        <w:tc>
          <w:tcPr>
            <w:tcW w:type="dxa" w:w="2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tsredco.telangana.gov.in</w:t>
            </w:r>
          </w:p>
        </w:tc>
        <w:tc>
          <w:tcPr>
            <w:tcW w:type="dxa" w:w="1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 Free</w:t>
            </w:r>
          </w:p>
        </w:tc>
      </w:tr>
      <w:tr>
        <w:tc>
          <w:tcPr>
            <w:tcW w:type="dxa" w:w="24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NREDCAP Project List</w:t>
            </w:r>
          </w:p>
        </w:tc>
        <w:tc>
          <w:tcPr>
            <w:tcW w:type="dxa" w:w="2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AP utility solar projects with location</w:t>
            </w:r>
          </w:p>
        </w:tc>
        <w:tc>
          <w:tcPr>
            <w:tcW w:type="dxa" w:w="2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nredcap.in</w:t>
            </w:r>
          </w:p>
        </w:tc>
        <w:tc>
          <w:tcPr>
            <w:tcW w:type="dxa" w:w="17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 Free</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NASA POWER API (GHI, temp, wind, humidity)</w:t>
            </w:r>
          </w:p>
        </w:tc>
        <w:tc>
          <w:tcPr>
            <w:tcW w:type="dxa" w:w="2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Monthly climate data 2000–2024 at 0.5° grid</w:t>
            </w:r>
          </w:p>
        </w:tc>
        <w:tc>
          <w:tcPr>
            <w:tcW w:type="dxa" w:w="2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power.larc.nasa.gov/api (no login)</w:t>
            </w:r>
          </w:p>
        </w:tc>
        <w:tc>
          <w:tcPr>
            <w:tcW w:type="dxa" w:w="1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 Free</w:t>
            </w:r>
          </w:p>
        </w:tc>
      </w:tr>
      <w:tr>
        <w:tc>
          <w:tcPr>
            <w:tcW w:type="dxa" w:w="24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SRTM v3 30m DEM + slope + aspect</w:t>
            </w:r>
          </w:p>
        </w:tc>
        <w:tc>
          <w:tcPr>
            <w:tcW w:type="dxa" w:w="2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Elevation, slope, aspect for all India</w:t>
            </w:r>
          </w:p>
        </w:tc>
        <w:tc>
          <w:tcPr>
            <w:tcW w:type="dxa" w:w="2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earthexplorer.usgs.gov (free account)</w:t>
            </w:r>
          </w:p>
        </w:tc>
        <w:tc>
          <w:tcPr>
            <w:tcW w:type="dxa" w:w="17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 Free</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GADM v4.1 District Boundaries</w:t>
            </w:r>
          </w:p>
        </w:tc>
        <w:tc>
          <w:tcPr>
            <w:tcW w:type="dxa" w:w="2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District/state/taluk polygons (33-TG, 28-AP)</w:t>
            </w:r>
          </w:p>
        </w:tc>
        <w:tc>
          <w:tcPr>
            <w:tcW w:type="dxa" w:w="2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gadm.org</w:t>
            </w:r>
          </w:p>
        </w:tc>
        <w:tc>
          <w:tcPr>
            <w:tcW w:type="dxa" w:w="1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 Academic use</w:t>
            </w:r>
          </w:p>
        </w:tc>
      </w:tr>
    </w:tbl>
    <w:p/>
    <w:p>
      <w:pPr>
        <w:pStyle w:val="Heading2"/>
        <w:spacing w:before="360" w:after="160"/>
      </w:pPr>
      <w:r>
        <w:rPr>
          <w:rFonts w:ascii="Arial" w:cs="Arial" w:eastAsia="Arial" w:hAnsi="Arial"/>
          <w:b/>
          <w:bCs/>
          <w:color w:val="1E293B"/>
          <w:sz w:val="28"/>
          <w:szCs w:val="28"/>
        </w:rPr>
        <w:t xml:space="preserve">7.2  Tier 2 — Important (Before Week 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gridCol w:w="2600"/>
        <w:gridCol w:w="1760"/>
      </w:tblGrid>
      <w:tr>
        <w:tc>
          <w:tcPr>
            <w:tcW w:type="dxa" w:w="2400"/>
            <w:tcBorders>
              <w:top w:val="single" w:color="CBD5E1" w:sz="1"/>
              <w:left w:val="single" w:color="CBD5E1" w:sz="1"/>
              <w:bottom w:val="single" w:color="CBD5E1" w:sz="1"/>
              <w:right w:val="single" w:color="CBD5E1" w:sz="1"/>
            </w:tcBorders>
            <w:shd w:fill="0F172A"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Dataset</w:t>
            </w:r>
          </w:p>
        </w:tc>
        <w:tc>
          <w:tcPr>
            <w:tcW w:type="dxa" w:w="2600"/>
            <w:tcBorders>
              <w:top w:val="single" w:color="CBD5E1" w:sz="1"/>
              <w:left w:val="single" w:color="CBD5E1" w:sz="1"/>
              <w:bottom w:val="single" w:color="CBD5E1" w:sz="1"/>
              <w:right w:val="single" w:color="CBD5E1" w:sz="1"/>
            </w:tcBorders>
            <w:shd w:fill="0F172A"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What You Get</w:t>
            </w:r>
          </w:p>
        </w:tc>
        <w:tc>
          <w:tcPr>
            <w:tcW w:type="dxa" w:w="2600"/>
            <w:tcBorders>
              <w:top w:val="single" w:color="CBD5E1" w:sz="1"/>
              <w:left w:val="single" w:color="CBD5E1" w:sz="1"/>
              <w:bottom w:val="single" w:color="CBD5E1" w:sz="1"/>
              <w:right w:val="single" w:color="CBD5E1" w:sz="1"/>
            </w:tcBorders>
            <w:shd w:fill="0F172A"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Where</w:t>
            </w:r>
          </w:p>
        </w:tc>
        <w:tc>
          <w:tcPr>
            <w:tcW w:type="dxa" w:w="1760"/>
            <w:tcBorders>
              <w:top w:val="single" w:color="CBD5E1" w:sz="1"/>
              <w:left w:val="single" w:color="CBD5E1" w:sz="1"/>
              <w:bottom w:val="single" w:color="CBD5E1" w:sz="1"/>
              <w:right w:val="single" w:color="CBD5E1" w:sz="1"/>
            </w:tcBorders>
            <w:shd w:fill="0F172A"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Free?</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AlphaEarth Satellite Embeddings (GEE)</w:t>
            </w:r>
          </w:p>
        </w:tc>
        <w:tc>
          <w:tcPr>
            <w:tcW w:type="dxa" w:w="2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64-dim embeddings per 10m pixel, 2017–2025, global</w:t>
            </w:r>
          </w:p>
        </w:tc>
        <w:tc>
          <w:tcPr>
            <w:tcW w:type="dxa" w:w="2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earthengine.google.com (research account)</w:t>
            </w:r>
          </w:p>
        </w:tc>
        <w:tc>
          <w:tcPr>
            <w:tcW w:type="dxa" w:w="1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 Free</w:t>
            </w:r>
          </w:p>
        </w:tc>
      </w:tr>
      <w:tr>
        <w:tc>
          <w:tcPr>
            <w:tcW w:type="dxa" w:w="24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ISRO Bhuvan LULC 2021-22 (56m)</w:t>
            </w:r>
          </w:p>
        </w:tc>
        <w:tc>
          <w:tcPr>
            <w:tcW w:type="dxa" w:w="2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India land use/land cover classification</w:t>
            </w:r>
          </w:p>
        </w:tc>
        <w:tc>
          <w:tcPr>
            <w:tcW w:type="dxa" w:w="2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bhuvan.nrsc.gov.in (registration required)</w:t>
            </w:r>
          </w:p>
        </w:tc>
        <w:tc>
          <w:tcPr>
            <w:tcW w:type="dxa" w:w="17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 Free</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OpenStreetMap India roads + transmission</w:t>
            </w:r>
          </w:p>
        </w:tc>
        <w:tc>
          <w:tcPr>
            <w:tcW w:type="dxa" w:w="2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Road network, power lines, substations</w:t>
            </w:r>
          </w:p>
        </w:tc>
        <w:tc>
          <w:tcPr>
            <w:tcW w:type="dxa" w:w="2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download.geofabrik.de/asia/india.html</w:t>
            </w:r>
          </w:p>
        </w:tc>
        <w:tc>
          <w:tcPr>
            <w:tcW w:type="dxa" w:w="1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 Free</w:t>
            </w:r>
          </w:p>
        </w:tc>
      </w:tr>
      <w:tr>
        <w:tc>
          <w:tcPr>
            <w:tcW w:type="dxa" w:w="24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CEA Substation Data</w:t>
            </w:r>
          </w:p>
        </w:tc>
        <w:tc>
          <w:tcPr>
            <w:tcW w:type="dxa" w:w="2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Grid substation locations, voltage levels</w:t>
            </w:r>
          </w:p>
        </w:tc>
        <w:tc>
          <w:tcPr>
            <w:tcW w:type="dxa" w:w="2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cea.nic.in → Reports → Power Sector</w:t>
            </w:r>
          </w:p>
        </w:tc>
        <w:tc>
          <w:tcPr>
            <w:tcW w:type="dxa" w:w="17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 Free (PDF extraction)</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WorldPop 2020 India</w:t>
            </w:r>
          </w:p>
        </w:tc>
        <w:tc>
          <w:tcPr>
            <w:tcW w:type="dxa" w:w="2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Population density raster at 1km</w:t>
            </w:r>
          </w:p>
        </w:tc>
        <w:tc>
          <w:tcPr>
            <w:tcW w:type="dxa" w:w="2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worldpop.org</w:t>
            </w:r>
          </w:p>
        </w:tc>
        <w:tc>
          <w:tcPr>
            <w:tcW w:type="dxa" w:w="1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 Free</w:t>
            </w:r>
          </w:p>
        </w:tc>
      </w:tr>
      <w:tr>
        <w:tc>
          <w:tcPr>
            <w:tcW w:type="dxa" w:w="24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IMD Gridded Rainfall (0.25°)</w:t>
            </w:r>
          </w:p>
        </w:tc>
        <w:tc>
          <w:tcPr>
            <w:tcW w:type="dxa" w:w="2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District rainfall, monsoon patterns</w:t>
            </w:r>
          </w:p>
        </w:tc>
        <w:tc>
          <w:tcPr>
            <w:tcW w:type="dxa" w:w="2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imdpune.gov.in (registration)</w:t>
            </w:r>
          </w:p>
        </w:tc>
        <w:tc>
          <w:tcPr>
            <w:tcW w:type="dxa" w:w="17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 Free</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NASA MODIS Aerosol Optical Depth</w:t>
            </w:r>
          </w:p>
        </w:tc>
        <w:tc>
          <w:tcPr>
            <w:tcW w:type="dxa" w:w="2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Dust/haze soiling loss proxy, 1km daily</w:t>
            </w:r>
          </w:p>
        </w:tc>
        <w:tc>
          <w:tcPr>
            <w:tcW w:type="dxa" w:w="2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earthdata.nasa.gov (free account)</w:t>
            </w:r>
          </w:p>
        </w:tc>
        <w:tc>
          <w:tcPr>
            <w:tcW w:type="dxa" w:w="1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 Free</w:t>
            </w:r>
          </w:p>
        </w:tc>
      </w:tr>
    </w:tbl>
    <w:p/>
    <w:p>
      <w:pPr>
        <w:pStyle w:val="Heading2"/>
        <w:spacing w:before="360" w:after="160"/>
      </w:pPr>
      <w:r>
        <w:rPr>
          <w:rFonts w:ascii="Arial" w:cs="Arial" w:eastAsia="Arial" w:hAnsi="Arial"/>
          <w:b/>
          <w:bCs/>
          <w:color w:val="1E293B"/>
          <w:sz w:val="28"/>
          <w:szCs w:val="28"/>
        </w:rPr>
        <w:t xml:space="preserve">7.3  Tier 3 — Rooftop Module / Phase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c>
          <w:tcPr>
            <w:tcW w:type="dxa" w:w="2400"/>
            <w:tcBorders>
              <w:top w:val="single" w:color="CBD5E1" w:sz="1"/>
              <w:left w:val="single" w:color="CBD5E1" w:sz="1"/>
              <w:bottom w:val="single" w:color="CBD5E1" w:sz="1"/>
              <w:right w:val="single" w:color="CBD5E1" w:sz="1"/>
            </w:tcBorders>
            <w:shd w:fill="0F172A"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Dataset</w:t>
            </w:r>
          </w:p>
        </w:tc>
        <w:tc>
          <w:tcPr>
            <w:tcW w:type="dxa" w:w="3200"/>
            <w:tcBorders>
              <w:top w:val="single" w:color="CBD5E1" w:sz="1"/>
              <w:left w:val="single" w:color="CBD5E1" w:sz="1"/>
              <w:bottom w:val="single" w:color="CBD5E1" w:sz="1"/>
              <w:right w:val="single" w:color="CBD5E1" w:sz="1"/>
            </w:tcBorders>
            <w:shd w:fill="0F172A"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What You Get</w:t>
            </w:r>
          </w:p>
        </w:tc>
        <w:tc>
          <w:tcPr>
            <w:tcW w:type="dxa" w:w="3760"/>
            <w:tcBorders>
              <w:top w:val="single" w:color="CBD5E1" w:sz="1"/>
              <w:left w:val="single" w:color="CBD5E1" w:sz="1"/>
              <w:bottom w:val="single" w:color="CBD5E1" w:sz="1"/>
              <w:right w:val="single" w:color="CBD5E1" w:sz="1"/>
            </w:tcBorders>
            <w:shd w:fill="0F172A"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Where</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Google Open Buildings India</w:t>
            </w:r>
          </w:p>
        </w:tc>
        <w:tc>
          <w:tcPr>
            <w:tcW w:type="dxa" w:w="3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300M+ building footprints (polygons), CC-BY 4.0</w:t>
            </w:r>
          </w:p>
        </w:tc>
        <w:tc>
          <w:tcPr>
            <w:tcW w:type="dxa" w:w="3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sites.research.google/open-buildings</w:t>
            </w:r>
          </w:p>
        </w:tc>
      </w:tr>
      <w:tr>
        <w:tc>
          <w:tcPr>
            <w:tcW w:type="dxa" w:w="24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PM Surya Ghar dashboard</w:t>
            </w:r>
          </w:p>
        </w:tc>
        <w:tc>
          <w:tcPr>
            <w:tcW w:type="dxa" w:w="32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Post-2024 rooftop solar district-level data</w:t>
            </w:r>
          </w:p>
        </w:tc>
        <w:tc>
          <w:tcPr>
            <w:tcW w:type="dxa" w:w="37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pmsuryaghar.gov.in</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WDPA Protected Areas</w:t>
            </w:r>
          </w:p>
        </w:tc>
        <w:tc>
          <w:tcPr>
            <w:tcW w:type="dxa" w:w="3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Wildlife sanctuaries, national parks, eco-sensitive zones</w:t>
            </w:r>
          </w:p>
        </w:tc>
        <w:tc>
          <w:tcPr>
            <w:tcW w:type="dxa" w:w="3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protectedplanet.net</w:t>
            </w:r>
          </w:p>
        </w:tc>
      </w:tr>
      <w:tr>
        <w:tc>
          <w:tcPr>
            <w:tcW w:type="dxa" w:w="24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APERC / TGERC Tariff Orders</w:t>
            </w:r>
          </w:p>
        </w:tc>
        <w:tc>
          <w:tcPr>
            <w:tcW w:type="dxa" w:w="32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District electricity tariffs by consumer category</w:t>
            </w:r>
          </w:p>
        </w:tc>
        <w:tc>
          <w:tcPr>
            <w:tcW w:type="dxa" w:w="37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aperc.gov.in, tgerc.telangana.gov.in</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SECI / NREDCAP Tender Database</w:t>
            </w:r>
          </w:p>
        </w:tc>
        <w:tc>
          <w:tcPr>
            <w:tcW w:type="dxa" w:w="3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Geocodeable utility solar project locations</w:t>
            </w:r>
          </w:p>
        </w:tc>
        <w:tc>
          <w:tcPr>
            <w:tcW w:type="dxa" w:w="3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seci.co.in, nredcap.in</w:t>
            </w:r>
          </w:p>
        </w:tc>
      </w:tr>
    </w:tbl>
    <w:p>
      <w:r>
        <w:br w:type="page"/>
      </w:r>
    </w:p>
    <w:p>
      <w:pPr>
        <w:pStyle w:val="Heading1"/>
        <w:pBdr>
          <w:bottom w:val="single" w:color="E8590C" w:sz="8" w:space="1"/>
        </w:pBdr>
        <w:spacing w:before="480" w:after="200"/>
      </w:pPr>
      <w:r>
        <w:rPr>
          <w:rFonts w:ascii="Arial" w:cs="Arial" w:eastAsia="Arial" w:hAnsi="Arial"/>
          <w:b/>
          <w:bCs/>
          <w:color w:val="E8590C"/>
          <w:sz w:val="36"/>
          <w:szCs w:val="36"/>
        </w:rPr>
        <w:t xml:space="preserve">PART 8 — RESEARCH PAPER STRUCTURE</w:t>
      </w:r>
    </w:p>
    <w:p>
      <w:pPr>
        <w:pStyle w:val="Heading2"/>
        <w:spacing w:before="360" w:after="160"/>
      </w:pPr>
      <w:r>
        <w:rPr>
          <w:rFonts w:ascii="Arial" w:cs="Arial" w:eastAsia="Arial" w:hAnsi="Arial"/>
          <w:b/>
          <w:bCs/>
          <w:color w:val="1E293B"/>
          <w:sz w:val="28"/>
          <w:szCs w:val="28"/>
        </w:rPr>
        <w:t xml:space="preserve">8.1  Title and Target Journals</w:t>
      </w:r>
    </w:p>
    <w:p>
      <w:pPr>
        <w:spacing w:after="120"/>
      </w:pPr>
      <w:r>
        <w:rPr>
          <w:rFonts w:ascii="Arial" w:cs="Arial" w:eastAsia="Arial" w:hAnsi="Arial"/>
          <w:color w:val="1E293B"/>
          <w:sz w:val="20"/>
          <w:szCs w:val="20"/>
        </w:rPr>
        <w:t xml:space="preserve">Title: SolarSite-India: A Machine Learning Framework for Nationwide Solar Farm Suitability Assessment and Capacity Planning using Geospatial Foundation Model Embeddings</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3600"/>
        <w:gridCol w:w="1960"/>
      </w:tblGrid>
      <w:tr>
        <w:tc>
          <w:tcPr>
            <w:tcW w:type="dxa" w:w="2400"/>
            <w:tcBorders>
              <w:top w:val="single" w:color="CBD5E1" w:sz="1"/>
              <w:left w:val="single" w:color="CBD5E1" w:sz="1"/>
              <w:bottom w:val="single" w:color="CBD5E1" w:sz="1"/>
              <w:right w:val="single" w:color="CBD5E1" w:sz="1"/>
            </w:tcBorders>
            <w:shd w:fill="0F172A"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Journal</w:t>
            </w:r>
          </w:p>
        </w:tc>
        <w:tc>
          <w:tcPr>
            <w:tcW w:type="dxa" w:w="1400"/>
            <w:tcBorders>
              <w:top w:val="single" w:color="CBD5E1" w:sz="1"/>
              <w:left w:val="single" w:color="CBD5E1" w:sz="1"/>
              <w:bottom w:val="single" w:color="CBD5E1" w:sz="1"/>
              <w:right w:val="single" w:color="CBD5E1" w:sz="1"/>
            </w:tcBorders>
            <w:shd w:fill="0F172A"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Impact Factor</w:t>
            </w:r>
          </w:p>
        </w:tc>
        <w:tc>
          <w:tcPr>
            <w:tcW w:type="dxa" w:w="3600"/>
            <w:tcBorders>
              <w:top w:val="single" w:color="CBD5E1" w:sz="1"/>
              <w:left w:val="single" w:color="CBD5E1" w:sz="1"/>
              <w:bottom w:val="single" w:color="CBD5E1" w:sz="1"/>
              <w:right w:val="single" w:color="CBD5E1" w:sz="1"/>
            </w:tcBorders>
            <w:shd w:fill="0F172A"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Scope Match</w:t>
            </w:r>
          </w:p>
        </w:tc>
        <w:tc>
          <w:tcPr>
            <w:tcW w:type="dxa" w:w="1960"/>
            <w:tcBorders>
              <w:top w:val="single" w:color="CBD5E1" w:sz="1"/>
              <w:left w:val="single" w:color="CBD5E1" w:sz="1"/>
              <w:bottom w:val="single" w:color="CBD5E1" w:sz="1"/>
              <w:right w:val="single" w:color="CBD5E1" w:sz="1"/>
            </w:tcBorders>
            <w:shd w:fill="0F172A"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Priority</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Applied Energy (Elsevier)</w:t>
            </w:r>
          </w:p>
        </w:tc>
        <w:tc>
          <w:tcPr>
            <w:tcW w:type="dxa" w:w="1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IF ~11.2 (Q1)</w:t>
            </w:r>
          </w:p>
        </w:tc>
        <w:tc>
          <w:tcPr>
            <w:tcW w:type="dxa" w:w="3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Energy systems, ML, renewable optimisation — perfect fit</w:t>
            </w:r>
          </w:p>
        </w:tc>
        <w:tc>
          <w:tcPr>
            <w:tcW w:type="dxa" w:w="19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Primary</w:t>
            </w:r>
          </w:p>
        </w:tc>
      </w:tr>
      <w:tr>
        <w:tc>
          <w:tcPr>
            <w:tcW w:type="dxa" w:w="24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Renewable Energy (Elsevier)</w:t>
            </w:r>
          </w:p>
        </w:tc>
        <w:tc>
          <w:tcPr>
            <w:tcW w:type="dxa" w:w="14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IF ~8.7 (Q1)</w:t>
            </w:r>
          </w:p>
        </w:tc>
        <w:tc>
          <w:tcPr>
            <w:tcW w:type="dxa" w:w="3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Solar-specific focus, faster review (2–4 months)</w:t>
            </w:r>
          </w:p>
        </w:tc>
        <w:tc>
          <w:tcPr>
            <w:tcW w:type="dxa" w:w="19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Backup 1</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Energy (Elsevier)</w:t>
            </w:r>
          </w:p>
        </w:tc>
        <w:tc>
          <w:tcPr>
            <w:tcW w:type="dxa" w:w="1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IF ~9.0 (Q1)</w:t>
            </w:r>
          </w:p>
        </w:tc>
        <w:tc>
          <w:tcPr>
            <w:tcW w:type="dxa" w:w="3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Broader scope, high acceptance rate for quality work</w:t>
            </w:r>
          </w:p>
        </w:tc>
        <w:tc>
          <w:tcPr>
            <w:tcW w:type="dxa" w:w="19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Backup 2</w:t>
            </w:r>
          </w:p>
        </w:tc>
      </w:tr>
      <w:tr>
        <w:tc>
          <w:tcPr>
            <w:tcW w:type="dxa" w:w="24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Applied Geography (Elsevier)</w:t>
            </w:r>
          </w:p>
        </w:tc>
        <w:tc>
          <w:tcPr>
            <w:tcW w:type="dxa" w:w="14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IF ~4.3 (Q2)</w:t>
            </w:r>
          </w:p>
        </w:tc>
        <w:tc>
          <w:tcPr>
            <w:tcW w:type="dxa" w:w="3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GIS + applications focus — if AlphaEarth integration is strong</w:t>
            </w:r>
          </w:p>
        </w:tc>
        <w:tc>
          <w:tcPr>
            <w:tcW w:type="dxa" w:w="19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Backup 3</w:t>
            </w:r>
          </w:p>
        </w:tc>
      </w:tr>
    </w:tbl>
    <w:p/>
    <w:p>
      <w:pPr>
        <w:pStyle w:val="Heading2"/>
        <w:spacing w:before="360" w:after="160"/>
      </w:pPr>
      <w:r>
        <w:rPr>
          <w:rFonts w:ascii="Arial" w:cs="Arial" w:eastAsia="Arial" w:hAnsi="Arial"/>
          <w:b/>
          <w:bCs/>
          <w:color w:val="1E293B"/>
          <w:sz w:val="28"/>
          <w:szCs w:val="28"/>
        </w:rPr>
        <w:t xml:space="preserve">8.2  Complete Paper Outline (28–30 Pages)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900"/>
        <w:gridCol w:w="6460"/>
      </w:tblGrid>
      <w:tr>
        <w:tc>
          <w:tcPr>
            <w:tcW w:type="dxa" w:w="2000"/>
            <w:tcBorders>
              <w:top w:val="single" w:color="CBD5E1" w:sz="1"/>
              <w:left w:val="single" w:color="CBD5E1" w:sz="1"/>
              <w:bottom w:val="single" w:color="CBD5E1" w:sz="1"/>
              <w:right w:val="single" w:color="CBD5E1" w:sz="1"/>
            </w:tcBorders>
            <w:shd w:fill="0F172A"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Section</w:t>
            </w:r>
          </w:p>
        </w:tc>
        <w:tc>
          <w:tcPr>
            <w:tcW w:type="dxa" w:w="900"/>
            <w:tcBorders>
              <w:top w:val="single" w:color="CBD5E1" w:sz="1"/>
              <w:left w:val="single" w:color="CBD5E1" w:sz="1"/>
              <w:bottom w:val="single" w:color="CBD5E1" w:sz="1"/>
              <w:right w:val="single" w:color="CBD5E1" w:sz="1"/>
            </w:tcBorders>
            <w:shd w:fill="0F172A"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Pages</w:t>
            </w:r>
          </w:p>
        </w:tc>
        <w:tc>
          <w:tcPr>
            <w:tcW w:type="dxa" w:w="6460"/>
            <w:tcBorders>
              <w:top w:val="single" w:color="CBD5E1" w:sz="1"/>
              <w:left w:val="single" w:color="CBD5E1" w:sz="1"/>
              <w:bottom w:val="single" w:color="CBD5E1" w:sz="1"/>
              <w:right w:val="single" w:color="CBD5E1" w:sz="1"/>
            </w:tcBorders>
            <w:shd w:fill="0F172A"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Content</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Abstract</w:t>
            </w:r>
          </w:p>
        </w:tc>
        <w:tc>
          <w:tcPr>
            <w:tcW w:type="dxa" w:w="9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1</w:t>
            </w:r>
          </w:p>
        </w:tc>
        <w:tc>
          <w:tcPr>
            <w:tcW w:type="dxa" w:w="64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250 words. Target: R²=0.88, MAPE=11.5%, 127 plants validated, 2,856 viable TG sites, 12.5 GW potential, AlphaEarth novel contribution.</w:t>
            </w:r>
          </w:p>
        </w:tc>
      </w:tr>
      <w:tr>
        <w:tc>
          <w:tcPr>
            <w:tcW w:type="dxa" w:w="20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1. Introduction</w:t>
            </w:r>
          </w:p>
        </w:tc>
        <w:tc>
          <w:tcPr>
            <w:tcW w:type="dxa" w:w="9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4</w:t>
            </w:r>
          </w:p>
        </w:tc>
        <w:tc>
          <w:tcPr>
            <w:tcW w:type="dxa" w:w="64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India 500 GW target; site selection problem; current approach failures (manual, GIS-MCDA, commercial tools); our 8 novel contributions.</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2. Literature Review</w:t>
            </w:r>
          </w:p>
        </w:tc>
        <w:tc>
          <w:tcPr>
            <w:tcW w:type="dxa" w:w="9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3</w:t>
            </w:r>
          </w:p>
        </w:tc>
        <w:tc>
          <w:tcPr>
            <w:tcW w:type="dxa" w:w="64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Solar site selection methods; GIS-MCDA limitations; ML applications in energy; research gaps our work fills.</w:t>
            </w:r>
          </w:p>
        </w:tc>
      </w:tr>
      <w:tr>
        <w:tc>
          <w:tcPr>
            <w:tcW w:type="dxa" w:w="20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3. Study Area &amp; Data</w:t>
            </w:r>
          </w:p>
        </w:tc>
        <w:tc>
          <w:tcPr>
            <w:tcW w:type="dxa" w:w="9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3</w:t>
            </w:r>
          </w:p>
        </w:tc>
        <w:tc>
          <w:tcPr>
            <w:tcW w:type="dxa" w:w="64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TG + AP geographic scope; all 15 data sources (Table 1); district dataset methodology and sources (TGERC + APERC + CEA); data quality and limitations disclosed.</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4. Methodology</w:t>
            </w:r>
          </w:p>
        </w:tc>
        <w:tc>
          <w:tcPr>
            <w:tcW w:type="dxa" w:w="9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8</w:t>
            </w:r>
          </w:p>
        </w:tc>
        <w:tc>
          <w:tcPr>
            <w:tcW w:type="dxa" w:w="64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Site generation framework; feature engineering (Table 2: all 42 features); exclusion criteria; ML pipeline (RF + XGBoost + GB ensemble); AlphaEarth embeddings integration; capacity + generation + economic modules; validation strategy.</w:t>
            </w:r>
          </w:p>
        </w:tc>
      </w:tr>
      <w:tr>
        <w:tc>
          <w:tcPr>
            <w:tcW w:type="dxa" w:w="20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5. Results</w:t>
            </w:r>
          </w:p>
        </w:tc>
        <w:tc>
          <w:tcPr>
            <w:tcW w:type="dxa" w:w="9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8</w:t>
            </w:r>
          </w:p>
        </w:tc>
        <w:tc>
          <w:tcPr>
            <w:tcW w:type="dxa" w:w="64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Model performance (Table 3, Figure 4–5); TG suitability map (Figure 6); top 100 sites (Table 4); case studies (Table 5); resource-infrastructure trade-offs (Figure 7); sensitivity analysis (Figure 9).</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6. Discussion</w:t>
            </w:r>
          </w:p>
        </w:tc>
        <w:tc>
          <w:tcPr>
            <w:tcW w:type="dxa" w:w="9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4</w:t>
            </w:r>
          </w:p>
        </w:tc>
        <w:tc>
          <w:tcPr>
            <w:tcW w:type="dxa" w:w="64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Model insights; geographic patterns; policy implications for TSREDCO/NREDCAP; comparison vs GIS-MCDA, Solargis, NREL SAM (Table 11); limitations (flaw list); future directions.</w:t>
            </w:r>
          </w:p>
        </w:tc>
      </w:tr>
      <w:tr>
        <w:tc>
          <w:tcPr>
            <w:tcW w:type="dxa" w:w="20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7. Conclusion</w:t>
            </w:r>
          </w:p>
        </w:tc>
        <w:tc>
          <w:tcPr>
            <w:tcW w:type="dxa" w:w="9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1.5</w:t>
            </w:r>
          </w:p>
        </w:tc>
        <w:tc>
          <w:tcPr>
            <w:tcW w:type="dxa" w:w="64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Summary of contributions; impact; call to action for open-source adoption.</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References</w:t>
            </w:r>
          </w:p>
        </w:tc>
        <w:tc>
          <w:tcPr>
            <w:tcW w:type="dxa" w:w="9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3</w:t>
            </w:r>
          </w:p>
        </w:tc>
        <w:tc>
          <w:tcPr>
            <w:tcW w:type="dxa" w:w="64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50+ citations; all primary sources used in dataset verified and cited.</w:t>
            </w:r>
          </w:p>
        </w:tc>
      </w:tr>
    </w:tbl>
    <w:p/>
    <w:p>
      <w:pPr>
        <w:pStyle w:val="Heading2"/>
        <w:spacing w:before="360" w:after="160"/>
      </w:pPr>
      <w:r>
        <w:rPr>
          <w:rFonts w:ascii="Arial" w:cs="Arial" w:eastAsia="Arial" w:hAnsi="Arial"/>
          <w:b/>
          <w:bCs/>
          <w:color w:val="1E293B"/>
          <w:sz w:val="28"/>
          <w:szCs w:val="28"/>
        </w:rPr>
        <w:t xml:space="preserve">8.3  Novel Contributions (8 Total)</w:t>
      </w:r>
    </w:p>
    <w:p>
      <w:pPr>
        <w:pStyle w:val="ListParagraph"/>
        <w:numPr>
          <w:ilvl w:val="0"/>
          <w:numId w:val="3"/>
        </w:numPr>
        <w:spacing w:after="80"/>
      </w:pPr>
      <w:r>
        <w:rPr>
          <w:rFonts w:ascii="Arial" w:cs="Arial" w:eastAsia="Arial" w:hAnsi="Arial"/>
          <w:color w:val="1E293B"/>
          <w:sz w:val="20"/>
          <w:szCs w:val="20"/>
        </w:rPr>
        <w:t xml:space="preserve">First comprehensive ML framework for India at national scale, validated against 127 real plants</w:t>
      </w:r>
    </w:p>
    <w:p>
      <w:pPr>
        <w:pStyle w:val="ListParagraph"/>
        <w:numPr>
          <w:ilvl w:val="0"/>
          <w:numId w:val="3"/>
        </w:numPr>
        <w:spacing w:after="80"/>
      </w:pPr>
      <w:r>
        <w:rPr>
          <w:rFonts w:ascii="Arial" w:cs="Arial" w:eastAsia="Arial" w:hAnsi="Arial"/>
          <w:color w:val="1E293B"/>
          <w:sz w:val="20"/>
          <w:szCs w:val="20"/>
        </w:rPr>
        <w:t xml:space="preserve">First solar suitability model to integrate pre-trained geospatial foundation model embeddings (AlphaEarth Foundations) as features</w:t>
      </w:r>
    </w:p>
    <w:p>
      <w:pPr>
        <w:pStyle w:val="ListParagraph"/>
        <w:numPr>
          <w:ilvl w:val="0"/>
          <w:numId w:val="3"/>
        </w:numPr>
        <w:spacing w:after="80"/>
      </w:pPr>
      <w:r>
        <w:rPr>
          <w:rFonts w:ascii="Arial" w:cs="Arial" w:eastAsia="Arial" w:hAnsi="Arial"/>
          <w:color w:val="1E293B"/>
          <w:sz w:val="20"/>
          <w:szCs w:val="20"/>
        </w:rPr>
        <w:t xml:space="preserve">Hybrid physical+ML generation forecasting (70% physical baseline + 30% ML correction) — interpretable and accurate</w:t>
      </w:r>
    </w:p>
    <w:p>
      <w:pPr>
        <w:pStyle w:val="ListParagraph"/>
        <w:numPr>
          <w:ilvl w:val="0"/>
          <w:numId w:val="3"/>
        </w:numPr>
        <w:spacing w:after="80"/>
      </w:pPr>
      <w:r>
        <w:rPr>
          <w:rFonts w:ascii="Arial" w:cs="Arial" w:eastAsia="Arial" w:hAnsi="Arial"/>
          <w:color w:val="1E293B"/>
          <w:sz w:val="20"/>
          <w:szCs w:val="20"/>
        </w:rPr>
        <w:t xml:space="preserve">Most comprehensive feature set in literature (42 features vs 5–15 in prior GIS-MCDA work)</w:t>
      </w:r>
    </w:p>
    <w:p>
      <w:pPr>
        <w:pStyle w:val="ListParagraph"/>
        <w:numPr>
          <w:ilvl w:val="0"/>
          <w:numId w:val="3"/>
        </w:numPr>
        <w:spacing w:after="80"/>
      </w:pPr>
      <w:r>
        <w:rPr>
          <w:rFonts w:ascii="Arial" w:cs="Arial" w:eastAsia="Arial" w:hAnsi="Arial"/>
          <w:color w:val="1E293B"/>
          <w:sz w:val="20"/>
          <w:szCs w:val="20"/>
        </w:rPr>
        <w:t xml:space="preserve">First district-level demand-supply gap quantification for Telangana and Andhra Pradesh from primary government sources</w:t>
      </w:r>
    </w:p>
    <w:p>
      <w:pPr>
        <w:pStyle w:val="ListParagraph"/>
        <w:numPr>
          <w:ilvl w:val="0"/>
          <w:numId w:val="3"/>
        </w:numPr>
        <w:spacing w:after="80"/>
      </w:pPr>
      <w:r>
        <w:rPr>
          <w:rFonts w:ascii="Arial" w:cs="Arial" w:eastAsia="Arial" w:hAnsi="Arial"/>
          <w:color w:val="1E293B"/>
          <w:sz w:val="20"/>
          <w:szCs w:val="20"/>
        </w:rPr>
        <w:t xml:space="preserve">Validated accuracy (R²=0.88) published with reproducible methodology — competing commercial tools publish no accuracy</w:t>
      </w:r>
    </w:p>
    <w:p>
      <w:pPr>
        <w:pStyle w:val="ListParagraph"/>
        <w:numPr>
          <w:ilvl w:val="0"/>
          <w:numId w:val="3"/>
        </w:numPr>
        <w:spacing w:after="80"/>
      </w:pPr>
      <w:r>
        <w:rPr>
          <w:rFonts w:ascii="Arial" w:cs="Arial" w:eastAsia="Arial" w:hAnsi="Arial"/>
          <w:color w:val="1E293B"/>
          <w:sz w:val="20"/>
          <w:szCs w:val="20"/>
        </w:rPr>
        <w:t xml:space="preserve">End-to-end deployed system: web dashboard + REST API + PDF reports, not just an analysis paper</w:t>
      </w:r>
    </w:p>
    <w:p>
      <w:pPr>
        <w:pStyle w:val="ListParagraph"/>
        <w:numPr>
          <w:ilvl w:val="0"/>
          <w:numId w:val="3"/>
        </w:numPr>
        <w:spacing w:after="80"/>
      </w:pPr>
      <w:r>
        <w:rPr>
          <w:rFonts w:ascii="Arial" w:cs="Arial" w:eastAsia="Arial" w:hAnsi="Arial"/>
          <w:color w:val="1E293B"/>
          <w:sz w:val="20"/>
          <w:szCs w:val="20"/>
        </w:rPr>
        <w:t xml:space="preserve">Fully open-source (MIT licence) with reproducible pipeline</w:t>
      </w:r>
    </w:p>
    <w:p/>
    <w:p>
      <w:pPr>
        <w:pStyle w:val="Heading2"/>
        <w:spacing w:before="360" w:after="160"/>
      </w:pPr>
      <w:r>
        <w:rPr>
          <w:rFonts w:ascii="Arial" w:cs="Arial" w:eastAsia="Arial" w:hAnsi="Arial"/>
          <w:b/>
          <w:bCs/>
          <w:color w:val="1E293B"/>
          <w:sz w:val="28"/>
          <w:szCs w:val="28"/>
        </w:rPr>
        <w:t xml:space="preserve">8.4  Key Figures (12 Total)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BD5E1" w:sz="1"/>
              <w:left w:val="single" w:color="CBD5E1" w:sz="1"/>
              <w:bottom w:val="single" w:color="CBD5E1" w:sz="1"/>
              <w:right w:val="single" w:color="CBD5E1" w:sz="1"/>
            </w:tcBorders>
            <w:shd w:fill="0F172A"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Figure</w:t>
            </w:r>
          </w:p>
        </w:tc>
        <w:tc>
          <w:tcPr>
            <w:tcW w:type="dxa" w:w="8160"/>
            <w:tcBorders>
              <w:top w:val="single" w:color="CBD5E1" w:sz="1"/>
              <w:left w:val="single" w:color="CBD5E1" w:sz="1"/>
              <w:bottom w:val="single" w:color="CBD5E1" w:sz="1"/>
              <w:right w:val="single" w:color="CBD5E1" w:sz="1"/>
            </w:tcBorders>
            <w:shd w:fill="0F172A"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Description</w:t>
            </w:r>
          </w:p>
        </w:tc>
      </w:tr>
      <w:tr>
        <w:tc>
          <w:tcPr>
            <w:tcW w:type="dxa" w:w="1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Figure 1</w:t>
            </w:r>
          </w:p>
        </w:tc>
        <w:tc>
          <w:tcPr>
            <w:tcW w:type="dxa" w:w="8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Study area map: India with state boundaries, candidate sites (30K), existing plants (127), TG + AP highlighted</w:t>
            </w:r>
          </w:p>
        </w:tc>
      </w:tr>
      <w:tr>
        <w:tc>
          <w:tcPr>
            <w:tcW w:type="dxa" w:w="12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Figure 2</w:t>
            </w:r>
          </w:p>
        </w:tc>
        <w:tc>
          <w:tcPr>
            <w:tcW w:type="dxa" w:w="81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Methodology flowchart: Raw data → Feature engineering → ML → Generation/Economics → Dashboard/API</w:t>
            </w:r>
          </w:p>
        </w:tc>
      </w:tr>
      <w:tr>
        <w:tc>
          <w:tcPr>
            <w:tcW w:type="dxa" w:w="1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Figure 3</w:t>
            </w:r>
          </w:p>
        </w:tc>
        <w:tc>
          <w:tcPr>
            <w:tcW w:type="dxa" w:w="8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Multi-panel data sources: GHI heatmap, LULC classification, DEM elevation, road network for TG</w:t>
            </w:r>
          </w:p>
        </w:tc>
      </w:tr>
      <w:tr>
        <w:tc>
          <w:tcPr>
            <w:tcW w:type="dxa" w:w="12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Figure 4</w:t>
            </w:r>
          </w:p>
        </w:tc>
        <w:tc>
          <w:tcPr>
            <w:tcW w:type="dxa" w:w="81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SHAP feature importance bar chart — top 15 features; confirms GHI dominance (30%)</w:t>
            </w:r>
          </w:p>
        </w:tc>
      </w:tr>
      <w:tr>
        <w:tc>
          <w:tcPr>
            <w:tcW w:type="dxa" w:w="1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Figure 5 (a,b,c)</w:t>
            </w:r>
          </w:p>
        </w:tc>
        <w:tc>
          <w:tcPr>
            <w:tcW w:type="dxa" w:w="8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Model performance: (a) predicted vs actual scatter, (b) residual distribution, (c) residuals vs GHI</w:t>
            </w:r>
          </w:p>
        </w:tc>
      </w:tr>
      <w:tr>
        <w:tc>
          <w:tcPr>
            <w:tcW w:type="dxa" w:w="12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Figure 6</w:t>
            </w:r>
          </w:p>
        </w:tc>
        <w:tc>
          <w:tcPr>
            <w:tcW w:type="dxa" w:w="81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Telangana suitability choropleth map — sites colour-coded by composite suitability score 0–1</w:t>
            </w:r>
          </w:p>
        </w:tc>
      </w:tr>
      <w:tr>
        <w:tc>
          <w:tcPr>
            <w:tcW w:type="dxa" w:w="1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Figure 7</w:t>
            </w:r>
          </w:p>
        </w:tc>
        <w:tc>
          <w:tcPr>
            <w:tcW w:type="dxa" w:w="8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Resource-infrastructure trade-off scatter: X=GHI, Y=accessibility, colour=suitability, size=capacity</w:t>
            </w:r>
          </w:p>
        </w:tc>
      </w:tr>
      <w:tr>
        <w:tc>
          <w:tcPr>
            <w:tcW w:type="dxa" w:w="12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Figure 8</w:t>
            </w:r>
          </w:p>
        </w:tc>
        <w:tc>
          <w:tcPr>
            <w:tcW w:type="dxa" w:w="81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Radar chart comparing 5 case-study sites across 8 dimensions</w:t>
            </w:r>
          </w:p>
        </w:tc>
      </w:tr>
      <w:tr>
        <w:tc>
          <w:tcPr>
            <w:tcW w:type="dxa" w:w="1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Figure 9</w:t>
            </w:r>
          </w:p>
        </w:tc>
        <w:tc>
          <w:tcPr>
            <w:tcW w:type="dxa" w:w="8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LCOE tornado chart — sensitivity to CAPEX, tariff, GHI, discount rate</w:t>
            </w:r>
          </w:p>
        </w:tc>
      </w:tr>
      <w:tr>
        <w:tc>
          <w:tcPr>
            <w:tcW w:type="dxa" w:w="12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Figure 10</w:t>
            </w:r>
          </w:p>
        </w:tc>
        <w:tc>
          <w:tcPr>
            <w:tcW w:type="dxa" w:w="81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Boxplots: GHI + temp + accessibility by state (geographic patterns)</w:t>
            </w:r>
          </w:p>
        </w:tc>
      </w:tr>
      <w:tr>
        <w:tc>
          <w:tcPr>
            <w:tcW w:type="dxa" w:w="1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Figure 11</w:t>
            </w:r>
          </w:p>
        </w:tc>
        <w:tc>
          <w:tcPr>
            <w:tcW w:type="dxa" w:w="8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Monthly generation profile — typical vs extreme seasonality cases</w:t>
            </w:r>
          </w:p>
        </w:tc>
      </w:tr>
      <w:tr>
        <w:tc>
          <w:tcPr>
            <w:tcW w:type="dxa" w:w="12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Figure 12</w:t>
            </w:r>
          </w:p>
        </w:tc>
        <w:tc>
          <w:tcPr>
            <w:tcW w:type="dxa" w:w="81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Validation scatter: predicted vs actual generation for 127 plants; R²=0.88 annotated</w:t>
            </w:r>
          </w:p>
        </w:tc>
      </w:tr>
    </w:tbl>
    <w:p>
      <w:r>
        <w:br w:type="page"/>
      </w:r>
    </w:p>
    <w:p>
      <w:pPr>
        <w:pStyle w:val="Heading1"/>
        <w:pBdr>
          <w:bottom w:val="single" w:color="E8590C" w:sz="8" w:space="1"/>
        </w:pBdr>
        <w:spacing w:before="480" w:after="200"/>
      </w:pPr>
      <w:r>
        <w:rPr>
          <w:rFonts w:ascii="Arial" w:cs="Arial" w:eastAsia="Arial" w:hAnsi="Arial"/>
          <w:b/>
          <w:bCs/>
          <w:color w:val="E8590C"/>
          <w:sz w:val="36"/>
          <w:szCs w:val="36"/>
        </w:rPr>
        <w:t xml:space="preserve">PART 9 — SYSTEM ARCHITECTURE &amp; TECH STACK</w:t>
      </w:r>
    </w:p>
    <w:p>
      <w:pPr>
        <w:pStyle w:val="Heading2"/>
        <w:spacing w:before="360" w:after="160"/>
      </w:pPr>
      <w:r>
        <w:rPr>
          <w:rFonts w:ascii="Arial" w:cs="Arial" w:eastAsia="Arial" w:hAnsi="Arial"/>
          <w:b/>
          <w:bCs/>
          <w:color w:val="1E293B"/>
          <w:sz w:val="28"/>
          <w:szCs w:val="28"/>
        </w:rPr>
        <w:t xml:space="preserve">9.1  Platform Architecture</w:t>
      </w:r>
    </w:p>
    <w:p>
      <w:pPr>
        <w:spacing w:after="120"/>
      </w:pPr>
      <w:r>
        <w:rPr>
          <w:rFonts w:ascii="Arial" w:cs="Arial" w:eastAsia="Arial" w:hAnsi="Arial"/>
          <w:color w:val="1E293B"/>
          <w:sz w:val="20"/>
          <w:szCs w:val="20"/>
        </w:rPr>
        <w:t xml:space="preserve">The platform has three distinct but integrated modules sharing common infrastructure: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400"/>
        <w:gridCol w:w="2360"/>
      </w:tblGrid>
      <w:tr>
        <w:tc>
          <w:tcPr>
            <w:tcW w:type="dxa" w:w="2200"/>
            <w:tcBorders>
              <w:top w:val="single" w:color="CBD5E1" w:sz="1"/>
              <w:left w:val="single" w:color="CBD5E1" w:sz="1"/>
              <w:bottom w:val="single" w:color="CBD5E1" w:sz="1"/>
              <w:right w:val="single" w:color="CBD5E1" w:sz="1"/>
            </w:tcBorders>
            <w:shd w:fill="0F172A"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Module</w:t>
            </w:r>
          </w:p>
        </w:tc>
        <w:tc>
          <w:tcPr>
            <w:tcW w:type="dxa" w:w="2400"/>
            <w:tcBorders>
              <w:top w:val="single" w:color="CBD5E1" w:sz="1"/>
              <w:left w:val="single" w:color="CBD5E1" w:sz="1"/>
              <w:bottom w:val="single" w:color="CBD5E1" w:sz="1"/>
              <w:right w:val="single" w:color="CBD5E1" w:sz="1"/>
            </w:tcBorders>
            <w:shd w:fill="0F172A"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Scale</w:t>
            </w:r>
          </w:p>
        </w:tc>
        <w:tc>
          <w:tcPr>
            <w:tcW w:type="dxa" w:w="2400"/>
            <w:tcBorders>
              <w:top w:val="single" w:color="CBD5E1" w:sz="1"/>
              <w:left w:val="single" w:color="CBD5E1" w:sz="1"/>
              <w:bottom w:val="single" w:color="CBD5E1" w:sz="1"/>
              <w:right w:val="single" w:color="CBD5E1" w:sz="1"/>
            </w:tcBorders>
            <w:shd w:fill="0F172A"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Users</w:t>
            </w:r>
          </w:p>
        </w:tc>
        <w:tc>
          <w:tcPr>
            <w:tcW w:type="dxa" w:w="2360"/>
            <w:tcBorders>
              <w:top w:val="single" w:color="CBD5E1" w:sz="1"/>
              <w:left w:val="single" w:color="CBD5E1" w:sz="1"/>
              <w:bottom w:val="single" w:color="CBD5E1" w:sz="1"/>
              <w:right w:val="single" w:color="CBD5E1" w:sz="1"/>
            </w:tcBorders>
            <w:shd w:fill="0F172A"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Timeline</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Module 1: Utility-Scale Analysis</w:t>
            </w:r>
          </w:p>
        </w:tc>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30K sites, 50–500 MW farms</w:t>
            </w:r>
          </w:p>
        </w:tc>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Developers, government, researchers</w:t>
            </w:r>
          </w:p>
        </w:tc>
        <w:tc>
          <w:tcPr>
            <w:tcW w:type="dxa" w:w="23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Months 1–4 (Primary)</w:t>
            </w:r>
          </w:p>
        </w:tc>
      </w:tr>
      <w:tr>
        <w:tc>
          <w:tcPr>
            <w:tcW w:type="dxa" w:w="22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Module 2: Rooftop Analysis</w:t>
            </w:r>
          </w:p>
        </w:tc>
        <w:tc>
          <w:tcPr>
            <w:tcW w:type="dxa" w:w="24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300M buildings, 1–100 kW</w:t>
            </w:r>
          </w:p>
        </w:tc>
        <w:tc>
          <w:tcPr>
            <w:tcW w:type="dxa" w:w="24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Homeowners, commercial users</w:t>
            </w:r>
          </w:p>
        </w:tc>
        <w:tc>
          <w:tcPr>
            <w:tcW w:type="dxa" w:w="23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Months 5–8 (Extension)</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Module 3: Shared Services</w:t>
            </w:r>
          </w:p>
        </w:tc>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Solar data, tariffs, economics, maps, PDF export</w:t>
            </w:r>
          </w:p>
        </w:tc>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All users</w:t>
            </w:r>
          </w:p>
        </w:tc>
        <w:tc>
          <w:tcPr>
            <w:tcW w:type="dxa" w:w="23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Built alongside Module 1</w:t>
            </w:r>
          </w:p>
        </w:tc>
      </w:tr>
    </w:tbl>
    <w:p/>
    <w:p>
      <w:pPr>
        <w:pStyle w:val="Heading2"/>
        <w:spacing w:before="360" w:after="160"/>
      </w:pPr>
      <w:r>
        <w:rPr>
          <w:rFonts w:ascii="Arial" w:cs="Arial" w:eastAsia="Arial" w:hAnsi="Arial"/>
          <w:b/>
          <w:bCs/>
          <w:color w:val="1E293B"/>
          <w:sz w:val="28"/>
          <w:szCs w:val="28"/>
        </w:rPr>
        <w:t xml:space="preserve">9.2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560"/>
      </w:tblGrid>
      <w:tr>
        <w:tc>
          <w:tcPr>
            <w:tcW w:type="dxa" w:w="2000"/>
            <w:tcBorders>
              <w:top w:val="single" w:color="CBD5E1" w:sz="1"/>
              <w:left w:val="single" w:color="CBD5E1" w:sz="1"/>
              <w:bottom w:val="single" w:color="CBD5E1" w:sz="1"/>
              <w:right w:val="single" w:color="CBD5E1" w:sz="1"/>
            </w:tcBorders>
            <w:shd w:fill="0F172A"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Layer</w:t>
            </w:r>
          </w:p>
        </w:tc>
        <w:tc>
          <w:tcPr>
            <w:tcW w:type="dxa" w:w="2800"/>
            <w:tcBorders>
              <w:top w:val="single" w:color="CBD5E1" w:sz="1"/>
              <w:left w:val="single" w:color="CBD5E1" w:sz="1"/>
              <w:bottom w:val="single" w:color="CBD5E1" w:sz="1"/>
              <w:right w:val="single" w:color="CBD5E1" w:sz="1"/>
            </w:tcBorders>
            <w:shd w:fill="0F172A"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Technology</w:t>
            </w:r>
          </w:p>
        </w:tc>
        <w:tc>
          <w:tcPr>
            <w:tcW w:type="dxa" w:w="4560"/>
            <w:tcBorders>
              <w:top w:val="single" w:color="CBD5E1" w:sz="1"/>
              <w:left w:val="single" w:color="CBD5E1" w:sz="1"/>
              <w:bottom w:val="single" w:color="CBD5E1" w:sz="1"/>
              <w:right w:val="single" w:color="CBD5E1" w:sz="1"/>
            </w:tcBorders>
            <w:shd w:fill="0F172A"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Purpose</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Data Processing</w:t>
            </w:r>
          </w:p>
        </w:tc>
        <w:tc>
          <w:tcPr>
            <w:tcW w:type="dxa" w:w="2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Python 3.11, Pandas, GeoPandas, Rasterio, SciPy</w:t>
            </w:r>
          </w:p>
        </w:tc>
        <w:tc>
          <w:tcPr>
            <w:tcW w:type="dxa" w:w="4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ETL pipeline, feature extraction, spatial operations</w:t>
            </w:r>
          </w:p>
        </w:tc>
      </w:tr>
      <w:tr>
        <w:tc>
          <w:tcPr>
            <w:tcW w:type="dxa" w:w="20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Machine Learning</w:t>
            </w:r>
          </w:p>
        </w:tc>
        <w:tc>
          <w:tcPr>
            <w:tcW w:type="dxa" w:w="28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XGBoost, Scikit-learn, SHAP, Google Earth Engine (AlphaEarth)</w:t>
            </w:r>
          </w:p>
        </w:tc>
        <w:tc>
          <w:tcPr>
            <w:tcW w:type="dxa" w:w="45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Model training, validation, explainability, embeddings</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Spatial Database</w:t>
            </w:r>
          </w:p>
        </w:tc>
        <w:tc>
          <w:tcPr>
            <w:tcW w:type="dxa" w:w="2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PostgreSQL 15 + PostGIS 3.3</w:t>
            </w:r>
          </w:p>
        </w:tc>
        <w:tc>
          <w:tcPr>
            <w:tcW w:type="dxa" w:w="4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30K candidate sites + 300M buildings with spatial indexing</w:t>
            </w:r>
          </w:p>
        </w:tc>
      </w:tr>
      <w:tr>
        <w:tc>
          <w:tcPr>
            <w:tcW w:type="dxa" w:w="20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API Backend</w:t>
            </w:r>
          </w:p>
        </w:tc>
        <w:tc>
          <w:tcPr>
            <w:tcW w:type="dxa" w:w="28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FastAPI (Python)</w:t>
            </w:r>
          </w:p>
        </w:tc>
        <w:tc>
          <w:tcPr>
            <w:tcW w:type="dxa" w:w="45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REST endpoints: /utility/analyze, /rooftop/analyze, /batch</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Cache Layer</w:t>
            </w:r>
          </w:p>
        </w:tc>
        <w:tc>
          <w:tcPr>
            <w:tcW w:type="dxa" w:w="2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Redis</w:t>
            </w:r>
          </w:p>
        </w:tc>
        <w:tc>
          <w:tcPr>
            <w:tcW w:type="dxa" w:w="4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&lt; 2-second response time for pre-computed queries</w:t>
            </w:r>
          </w:p>
        </w:tc>
      </w:tr>
      <w:tr>
        <w:tc>
          <w:tcPr>
            <w:tcW w:type="dxa" w:w="20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Frontend</w:t>
            </w:r>
          </w:p>
        </w:tc>
        <w:tc>
          <w:tcPr>
            <w:tcW w:type="dxa" w:w="28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React + Leaflet + Recharts</w:t>
            </w:r>
          </w:p>
        </w:tc>
        <w:tc>
          <w:tcPr>
            <w:tcW w:type="dxa" w:w="45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Interactive map, site cards, comparison tool, charts</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Hosting</w:t>
            </w:r>
          </w:p>
        </w:tc>
        <w:tc>
          <w:tcPr>
            <w:tcW w:type="dxa" w:w="2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Vercel (frontend), AWS/GCP (backend + DB)</w:t>
            </w:r>
          </w:p>
        </w:tc>
        <w:tc>
          <w:tcPr>
            <w:tcW w:type="dxa" w:w="4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Free tier sufficient for development; scale on demand</w:t>
            </w:r>
          </w:p>
        </w:tc>
      </w:tr>
      <w:tr>
        <w:tc>
          <w:tcPr>
            <w:tcW w:type="dxa" w:w="20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Version Control</w:t>
            </w:r>
          </w:p>
        </w:tc>
        <w:tc>
          <w:tcPr>
            <w:tcW w:type="dxa" w:w="28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GitHub (MIT licence)</w:t>
            </w:r>
          </w:p>
        </w:tc>
        <w:tc>
          <w:tcPr>
            <w:tcW w:type="dxa" w:w="45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Open-source; all code, notebooks, and documentation</w:t>
            </w:r>
          </w:p>
        </w:tc>
      </w:tr>
    </w:tbl>
    <w:p/>
    <w:p>
      <w:pPr>
        <w:pStyle w:val="Heading2"/>
        <w:spacing w:before="360" w:after="160"/>
      </w:pPr>
      <w:r>
        <w:rPr>
          <w:rFonts w:ascii="Arial" w:cs="Arial" w:eastAsia="Arial" w:hAnsi="Arial"/>
          <w:b/>
          <w:bCs/>
          <w:color w:val="1E293B"/>
          <w:sz w:val="28"/>
          <w:szCs w:val="28"/>
        </w:rPr>
        <w:t xml:space="preserve">9.3  Database Schema (6 Tables)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5560"/>
      </w:tblGrid>
      <w:tr>
        <w:tc>
          <w:tcPr>
            <w:tcW w:type="dxa" w:w="2400"/>
            <w:tcBorders>
              <w:top w:val="single" w:color="CBD5E1" w:sz="1"/>
              <w:left w:val="single" w:color="CBD5E1" w:sz="1"/>
              <w:bottom w:val="single" w:color="CBD5E1" w:sz="1"/>
              <w:right w:val="single" w:color="CBD5E1" w:sz="1"/>
            </w:tcBorders>
            <w:shd w:fill="0F172A"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Table</w:t>
            </w:r>
          </w:p>
        </w:tc>
        <w:tc>
          <w:tcPr>
            <w:tcW w:type="dxa" w:w="1400"/>
            <w:tcBorders>
              <w:top w:val="single" w:color="CBD5E1" w:sz="1"/>
              <w:left w:val="single" w:color="CBD5E1" w:sz="1"/>
              <w:bottom w:val="single" w:color="CBD5E1" w:sz="1"/>
              <w:right w:val="single" w:color="CBD5E1" w:sz="1"/>
            </w:tcBorders>
            <w:shd w:fill="0F172A"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Rows</w:t>
            </w:r>
          </w:p>
        </w:tc>
        <w:tc>
          <w:tcPr>
            <w:tcW w:type="dxa" w:w="5560"/>
            <w:tcBorders>
              <w:top w:val="single" w:color="CBD5E1" w:sz="1"/>
              <w:left w:val="single" w:color="CBD5E1" w:sz="1"/>
              <w:bottom w:val="single" w:color="CBD5E1" w:sz="1"/>
              <w:right w:val="single" w:color="CBD5E1" w:sz="1"/>
            </w:tcBorders>
            <w:shd w:fill="0F172A"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Purpose</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candidate_sites</w:t>
            </w:r>
          </w:p>
        </w:tc>
        <w:tc>
          <w:tcPr>
            <w:tcW w:type="dxa" w:w="1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~30,000</w:t>
            </w:r>
          </w:p>
        </w:tc>
        <w:tc>
          <w:tcPr>
            <w:tcW w:type="dxa" w:w="5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All candidate utility sites with 42 features + geometry (PostGIS Point)</w:t>
            </w:r>
          </w:p>
        </w:tc>
      </w:tr>
      <w:tr>
        <w:tc>
          <w:tcPr>
            <w:tcW w:type="dxa" w:w="24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existing_plants</w:t>
            </w:r>
          </w:p>
        </w:tc>
        <w:tc>
          <w:tcPr>
            <w:tcW w:type="dxa" w:w="14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~700</w:t>
            </w:r>
          </w:p>
        </w:tc>
        <w:tc>
          <w:tcPr>
            <w:tcW w:type="dxa" w:w="55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Training data: real plants with capacity, generation, location, quality tier</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model_predictions</w:t>
            </w:r>
          </w:p>
        </w:tc>
        <w:tc>
          <w:tcPr>
            <w:tcW w:type="dxa" w:w="1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~30,000</w:t>
            </w:r>
          </w:p>
        </w:tc>
        <w:tc>
          <w:tcPr>
            <w:tcW w:type="dxa" w:w="5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Cached ML results: suitability score, generation, confidence interval, SHAP values (JSONB)</w:t>
            </w:r>
          </w:p>
        </w:tc>
      </w:tr>
      <w:tr>
        <w:tc>
          <w:tcPr>
            <w:tcW w:type="dxa" w:w="24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analysis_cache</w:t>
            </w:r>
          </w:p>
        </w:tc>
        <w:tc>
          <w:tcPr>
            <w:tcW w:type="dxa" w:w="14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Variable</w:t>
            </w:r>
          </w:p>
        </w:tc>
        <w:tc>
          <w:tcPr>
            <w:tcW w:type="dxa" w:w="55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Redis-backed API cache; MD5 query hash → results; expires 24h</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buildings</w:t>
            </w:r>
          </w:p>
        </w:tc>
        <w:tc>
          <w:tcPr>
            <w:tcW w:type="dxa" w:w="1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~300M (partitioned)</w:t>
            </w:r>
          </w:p>
        </w:tc>
        <w:tc>
          <w:tcPr>
            <w:tcW w:type="dxa" w:w="5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Building footprints by state for rooftop module (Phase 2)</w:t>
            </w:r>
          </w:p>
        </w:tc>
      </w:tr>
      <w:tr>
        <w:tc>
          <w:tcPr>
            <w:tcW w:type="dxa" w:w="24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rooftop_analysis</w:t>
            </w:r>
          </w:p>
        </w:tc>
        <w:tc>
          <w:tcPr>
            <w:tcW w:type="dxa" w:w="14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~50M pre-computed</w:t>
            </w:r>
          </w:p>
        </w:tc>
        <w:tc>
          <w:tcPr>
            <w:tcW w:type="dxa" w:w="55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Pre-computed rooftop assessments for top 10 cities</w:t>
            </w:r>
          </w:p>
        </w:tc>
      </w:tr>
    </w:tbl>
    <w:p>
      <w:r>
        <w:br w:type="page"/>
      </w:r>
    </w:p>
    <w:p>
      <w:pPr>
        <w:pStyle w:val="Heading1"/>
        <w:pBdr>
          <w:bottom w:val="single" w:color="E8590C" w:sz="8" w:space="1"/>
        </w:pBdr>
        <w:spacing w:before="480" w:after="200"/>
      </w:pPr>
      <w:r>
        <w:rPr>
          <w:rFonts w:ascii="Arial" w:cs="Arial" w:eastAsia="Arial" w:hAnsi="Arial"/>
          <w:b/>
          <w:bCs/>
          <w:color w:val="E8590C"/>
          <w:sz w:val="36"/>
          <w:szCs w:val="36"/>
        </w:rPr>
        <w:t xml:space="preserve">PART 10 — BUSINESS MODEL &amp; REVENUE PROJECTIONS</w:t>
      </w:r>
    </w:p>
    <w:p>
      <w:pPr>
        <w:pStyle w:val="Heading2"/>
        <w:spacing w:before="360" w:after="160"/>
      </w:pPr>
      <w:r>
        <w:rPr>
          <w:rFonts w:ascii="Arial" w:cs="Arial" w:eastAsia="Arial" w:hAnsi="Arial"/>
          <w:b/>
          <w:bCs/>
          <w:color w:val="1E293B"/>
          <w:sz w:val="28"/>
          <w:szCs w:val="28"/>
        </w:rPr>
        <w:t xml:space="preserve">10.1  Three-Tier Freemium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3200"/>
        <w:gridCol w:w="3160"/>
      </w:tblGrid>
      <w:tr>
        <w:tc>
          <w:tcPr>
            <w:tcW w:type="dxa" w:w="1400"/>
            <w:tcBorders>
              <w:top w:val="single" w:color="CBD5E1" w:sz="1"/>
              <w:left w:val="single" w:color="CBD5E1" w:sz="1"/>
              <w:bottom w:val="single" w:color="CBD5E1" w:sz="1"/>
              <w:right w:val="single" w:color="CBD5E1" w:sz="1"/>
            </w:tcBorders>
            <w:shd w:fill="0F172A"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Tier</w:t>
            </w:r>
          </w:p>
        </w:tc>
        <w:tc>
          <w:tcPr>
            <w:tcW w:type="dxa" w:w="1600"/>
            <w:tcBorders>
              <w:top w:val="single" w:color="CBD5E1" w:sz="1"/>
              <w:left w:val="single" w:color="CBD5E1" w:sz="1"/>
              <w:bottom w:val="single" w:color="CBD5E1" w:sz="1"/>
              <w:right w:val="single" w:color="CBD5E1" w:sz="1"/>
            </w:tcBorders>
            <w:shd w:fill="0F172A"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Price</w:t>
            </w:r>
          </w:p>
        </w:tc>
        <w:tc>
          <w:tcPr>
            <w:tcW w:type="dxa" w:w="3200"/>
            <w:tcBorders>
              <w:top w:val="single" w:color="CBD5E1" w:sz="1"/>
              <w:left w:val="single" w:color="CBD5E1" w:sz="1"/>
              <w:bottom w:val="single" w:color="CBD5E1" w:sz="1"/>
              <w:right w:val="single" w:color="CBD5E1" w:sz="1"/>
            </w:tcBorders>
            <w:shd w:fill="0F172A"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Features</w:t>
            </w:r>
          </w:p>
        </w:tc>
        <w:tc>
          <w:tcPr>
            <w:tcW w:type="dxa" w:w="3160"/>
            <w:tcBorders>
              <w:top w:val="single" w:color="CBD5E1" w:sz="1"/>
              <w:left w:val="single" w:color="CBD5E1" w:sz="1"/>
              <w:bottom w:val="single" w:color="CBD5E1" w:sz="1"/>
              <w:right w:val="single" w:color="CBD5E1" w:sz="1"/>
            </w:tcBorders>
            <w:shd w:fill="0F172A"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Target</w:t>
            </w:r>
          </w:p>
        </w:tc>
      </w:tr>
      <w:tr>
        <w:tc>
          <w:tcPr>
            <w:tcW w:type="dxa" w:w="1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FREE</w:t>
            </w:r>
          </w:p>
        </w:tc>
        <w:tc>
          <w:tcPr>
            <w:tcW w:type="dxa" w:w="1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₹0</w:t>
            </w:r>
          </w:p>
        </w:tc>
        <w:tc>
          <w:tcPr>
            <w:tcW w:type="dxa" w:w="3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Top 10 sites per search, basic info (GHI, capacity, location), 100 API req/month, watermarked PDF</w:t>
            </w:r>
          </w:p>
        </w:tc>
        <w:tc>
          <w:tcPr>
            <w:tcW w:type="dxa" w:w="3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Students, academics, government (public data users)</w:t>
            </w:r>
          </w:p>
        </w:tc>
      </w:tr>
      <w:tr>
        <w:tc>
          <w:tcPr>
            <w:tcW w:type="dxa" w:w="14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PRO</w:t>
            </w:r>
          </w:p>
        </w:tc>
        <w:tc>
          <w:tcPr>
            <w:tcW w:type="dxa" w:w="1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₹50,000/year</w:t>
            </w:r>
          </w:p>
        </w:tc>
        <w:tc>
          <w:tcPr>
            <w:tcW w:type="dxa" w:w="32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Top 50 sites, full economic analysis (LCOE, NPV), monthly profiles, 10-site comparison, 1000 API req/month</w:t>
            </w:r>
          </w:p>
        </w:tc>
        <w:tc>
          <w:tcPr>
            <w:tcW w:type="dxa" w:w="31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Small-medium developers, consultants, researchers</w:t>
            </w:r>
          </w:p>
        </w:tc>
      </w:tr>
      <w:tr>
        <w:tc>
          <w:tcPr>
            <w:tcW w:type="dxa" w:w="1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ENTERPRISE</w:t>
            </w:r>
          </w:p>
        </w:tc>
        <w:tc>
          <w:tcPr>
            <w:tcW w:type="dxa" w:w="1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₹5–20 lakhs/year</w:t>
            </w:r>
          </w:p>
        </w:tc>
        <w:tc>
          <w:tcPr>
            <w:tcW w:type="dxa" w:w="3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Unlimited, white-label, custom ML fine-tuning, portfolio optimizer, API webhooks, priority 24h support, on-premise option</w:t>
            </w:r>
          </w:p>
        </w:tc>
        <w:tc>
          <w:tcPr>
            <w:tcW w:type="dxa" w:w="3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Adani, Tata, ReNew, government agencies, banks</w:t>
            </w:r>
          </w:p>
        </w:tc>
      </w:tr>
      <w:tr>
        <w:tc>
          <w:tcPr>
            <w:tcW w:type="dxa" w:w="14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CONSULTING</w:t>
            </w:r>
          </w:p>
        </w:tc>
        <w:tc>
          <w:tcPr>
            <w:tcW w:type="dxa" w:w="1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₹2–5 lakhs/project</w:t>
            </w:r>
          </w:p>
        </w:tc>
        <w:tc>
          <w:tcPr>
            <w:tcW w:type="dxa" w:w="32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Custom state analysis, field verification support, due diligence, training workshops</w:t>
            </w:r>
          </w:p>
        </w:tc>
        <w:tc>
          <w:tcPr>
            <w:tcW w:type="dxa" w:w="31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All tiers (upsell)</w:t>
            </w:r>
          </w:p>
        </w:tc>
      </w:tr>
    </w:tbl>
    <w:p/>
    <w:p>
      <w:pPr>
        <w:pStyle w:val="Heading2"/>
        <w:spacing w:before="360" w:after="160"/>
      </w:pPr>
      <w:r>
        <w:rPr>
          <w:rFonts w:ascii="Arial" w:cs="Arial" w:eastAsia="Arial" w:hAnsi="Arial"/>
          <w:b/>
          <w:bCs/>
          <w:color w:val="1E293B"/>
          <w:sz w:val="28"/>
          <w:szCs w:val="28"/>
        </w:rPr>
        <w:t xml:space="preserve">10.2  5-Year Revenue Projection</w:t>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1000"/>
        <w:gridCol w:w="1400"/>
        <w:gridCol w:w="1800"/>
        <w:gridCol w:w="1800"/>
        <w:gridCol w:w="1800"/>
        <w:gridCol w:w="2560"/>
      </w:tblGrid>
      <w:tr>
        <w:tc>
          <w:tcPr>
            <w:tcW w:type="dxa" w:w="1000"/>
            <w:tcBorders>
              <w:top w:val="single" w:color="CBD5E1" w:sz="1"/>
              <w:left w:val="single" w:color="CBD5E1" w:sz="1"/>
              <w:bottom w:val="single" w:color="CBD5E1" w:sz="1"/>
              <w:right w:val="single" w:color="CBD5E1" w:sz="1"/>
            </w:tcBorders>
            <w:shd w:fill="0F172A"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Year</w:t>
            </w:r>
          </w:p>
        </w:tc>
        <w:tc>
          <w:tcPr>
            <w:tcW w:type="dxa" w:w="1400"/>
            <w:tcBorders>
              <w:top w:val="single" w:color="CBD5E1" w:sz="1"/>
              <w:left w:val="single" w:color="CBD5E1" w:sz="1"/>
              <w:bottom w:val="single" w:color="CBD5E1" w:sz="1"/>
              <w:right w:val="single" w:color="CBD5E1" w:sz="1"/>
            </w:tcBorders>
            <w:shd w:fill="0F172A"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Free Users</w:t>
            </w:r>
          </w:p>
        </w:tc>
        <w:tc>
          <w:tcPr>
            <w:tcW w:type="dxa" w:w="1800"/>
            <w:tcBorders>
              <w:top w:val="single" w:color="CBD5E1" w:sz="1"/>
              <w:left w:val="single" w:color="CBD5E1" w:sz="1"/>
              <w:bottom w:val="single" w:color="CBD5E1" w:sz="1"/>
              <w:right w:val="single" w:color="CBD5E1" w:sz="1"/>
            </w:tcBorders>
            <w:shd w:fill="0F172A"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Pro Revenue</w:t>
            </w:r>
          </w:p>
        </w:tc>
        <w:tc>
          <w:tcPr>
            <w:tcW w:type="dxa" w:w="1800"/>
            <w:tcBorders>
              <w:top w:val="single" w:color="CBD5E1" w:sz="1"/>
              <w:left w:val="single" w:color="CBD5E1" w:sz="1"/>
              <w:bottom w:val="single" w:color="CBD5E1" w:sz="1"/>
              <w:right w:val="single" w:color="CBD5E1" w:sz="1"/>
            </w:tcBorders>
            <w:shd w:fill="0F172A"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Enterprise Revenue</w:t>
            </w:r>
          </w:p>
        </w:tc>
        <w:tc>
          <w:tcPr>
            <w:tcW w:type="dxa" w:w="1800"/>
            <w:tcBorders>
              <w:top w:val="single" w:color="CBD5E1" w:sz="1"/>
              <w:left w:val="single" w:color="CBD5E1" w:sz="1"/>
              <w:bottom w:val="single" w:color="CBD5E1" w:sz="1"/>
              <w:right w:val="single" w:color="CBD5E1" w:sz="1"/>
            </w:tcBorders>
            <w:shd w:fill="0F172A"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Consulting</w:t>
            </w:r>
          </w:p>
        </w:tc>
        <w:tc>
          <w:tcPr>
            <w:tcW w:type="dxa" w:w="2560"/>
            <w:tcBorders>
              <w:top w:val="single" w:color="CBD5E1" w:sz="1"/>
              <w:left w:val="single" w:color="CBD5E1" w:sz="1"/>
              <w:bottom w:val="single" w:color="CBD5E1" w:sz="1"/>
              <w:right w:val="single" w:color="CBD5E1" w:sz="1"/>
            </w:tcBorders>
            <w:shd w:fill="0F172A"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Total</w:t>
            </w:r>
          </w:p>
        </w:tc>
      </w:tr>
      <w:tr>
        <w:tc>
          <w:tcPr>
            <w:tcW w:type="dxa" w:w="1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2026 (Launch)</w:t>
            </w:r>
          </w:p>
        </w:tc>
        <w:tc>
          <w:tcPr>
            <w:tcW w:type="dxa" w:w="1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500</w:t>
            </w:r>
          </w:p>
        </w:tc>
        <w:tc>
          <w:tcPr>
            <w:tcW w:type="dxa" w:w="1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₹5L (10 customers)</w:t>
            </w:r>
          </w:p>
        </w:tc>
        <w:tc>
          <w:tcPr>
            <w:tcW w:type="dxa" w:w="1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₹10L (1 customer)</w:t>
            </w:r>
          </w:p>
        </w:tc>
        <w:tc>
          <w:tcPr>
            <w:tcW w:type="dxa" w:w="1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₹6L (2 projects)</w:t>
            </w:r>
          </w:p>
        </w:tc>
        <w:tc>
          <w:tcPr>
            <w:tcW w:type="dxa" w:w="2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₹21 Lakhs</w:t>
            </w:r>
          </w:p>
        </w:tc>
      </w:tr>
      <w:tr>
        <w:tc>
          <w:tcPr>
            <w:tcW w:type="dxa" w:w="10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2027 (Growth)</w:t>
            </w:r>
          </w:p>
        </w:tc>
        <w:tc>
          <w:tcPr>
            <w:tcW w:type="dxa" w:w="14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2,000</w:t>
            </w:r>
          </w:p>
        </w:tc>
        <w:tc>
          <w:tcPr>
            <w:tcW w:type="dxa" w:w="18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₹12.5L (25)</w:t>
            </w:r>
          </w:p>
        </w:tc>
        <w:tc>
          <w:tcPr>
            <w:tcW w:type="dxa" w:w="18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₹36L (3)</w:t>
            </w:r>
          </w:p>
        </w:tc>
        <w:tc>
          <w:tcPr>
            <w:tcW w:type="dxa" w:w="18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₹15L (5)</w:t>
            </w:r>
          </w:p>
        </w:tc>
        <w:tc>
          <w:tcPr>
            <w:tcW w:type="dxa" w:w="25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₹63.5 Lakhs</w:t>
            </w:r>
          </w:p>
        </w:tc>
      </w:tr>
      <w:tr>
        <w:tc>
          <w:tcPr>
            <w:tcW w:type="dxa" w:w="1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2028 (Scaling)</w:t>
            </w:r>
          </w:p>
        </w:tc>
        <w:tc>
          <w:tcPr>
            <w:tcW w:type="dxa" w:w="1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5,000</w:t>
            </w:r>
          </w:p>
        </w:tc>
        <w:tc>
          <w:tcPr>
            <w:tcW w:type="dxa" w:w="1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₹25L (50)</w:t>
            </w:r>
          </w:p>
        </w:tc>
        <w:tc>
          <w:tcPr>
            <w:tcW w:type="dxa" w:w="1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₹1.2Cr (8)</w:t>
            </w:r>
          </w:p>
        </w:tc>
        <w:tc>
          <w:tcPr>
            <w:tcW w:type="dxa" w:w="1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₹45L (15)</w:t>
            </w:r>
          </w:p>
        </w:tc>
        <w:tc>
          <w:tcPr>
            <w:tcW w:type="dxa" w:w="2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₹1.9 Cr</w:t>
            </w:r>
          </w:p>
        </w:tc>
      </w:tr>
      <w:tr>
        <w:tc>
          <w:tcPr>
            <w:tcW w:type="dxa" w:w="10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2030 (Maturity)</w:t>
            </w:r>
          </w:p>
        </w:tc>
        <w:tc>
          <w:tcPr>
            <w:tcW w:type="dxa" w:w="14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10,000</w:t>
            </w:r>
          </w:p>
        </w:tc>
        <w:tc>
          <w:tcPr>
            <w:tcW w:type="dxa" w:w="18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₹50L (100)</w:t>
            </w:r>
          </w:p>
        </w:tc>
        <w:tc>
          <w:tcPr>
            <w:tcW w:type="dxa" w:w="18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₹3Cr (15)</w:t>
            </w:r>
          </w:p>
        </w:tc>
        <w:tc>
          <w:tcPr>
            <w:tcW w:type="dxa" w:w="18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₹1.2Cr (30)</w:t>
            </w:r>
          </w:p>
        </w:tc>
        <w:tc>
          <w:tcPr>
            <w:tcW w:type="dxa" w:w="25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₹4.7 Cr</w:t>
            </w:r>
          </w:p>
        </w:tc>
      </w:tr>
    </w:tbl>
    <w:p>
      <w:r>
        <w:br w:type="page"/>
      </w:r>
    </w:p>
    <w:p>
      <w:pPr>
        <w:pStyle w:val="Heading1"/>
        <w:pBdr>
          <w:bottom w:val="single" w:color="E8590C" w:sz="8" w:space="1"/>
        </w:pBdr>
        <w:spacing w:before="480" w:after="200"/>
      </w:pPr>
      <w:r>
        <w:rPr>
          <w:rFonts w:ascii="Arial" w:cs="Arial" w:eastAsia="Arial" w:hAnsi="Arial"/>
          <w:b/>
          <w:bCs/>
          <w:color w:val="E8590C"/>
          <w:sz w:val="36"/>
          <w:szCs w:val="36"/>
        </w:rPr>
        <w:t xml:space="preserve">PART 11 — 16-WEEK IMPLEMENTATION TIMELINE</w:t>
      </w:r>
    </w:p>
    <w:p>
      <w:pPr>
        <w:pStyle w:val="Heading2"/>
        <w:spacing w:before="360" w:after="160"/>
      </w:pPr>
      <w:r>
        <w:rPr>
          <w:rFonts w:ascii="Arial" w:cs="Arial" w:eastAsia="Arial" w:hAnsi="Arial"/>
          <w:b/>
          <w:bCs/>
          <w:color w:val="1E293B"/>
          <w:sz w:val="28"/>
          <w:szCs w:val="28"/>
        </w:rPr>
        <w:t xml:space="preserve">11.1  Month-by-Month Overview</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000"/>
        <w:gridCol w:w="1000"/>
        <w:gridCol w:w="2600"/>
        <w:gridCol w:w="5000"/>
      </w:tblGrid>
      <w:tr>
        <w:tc>
          <w:tcPr>
            <w:tcW w:type="dxa" w:w="1000"/>
            <w:tcBorders>
              <w:top w:val="single" w:color="CBD5E1" w:sz="1"/>
              <w:left w:val="single" w:color="CBD5E1" w:sz="1"/>
              <w:bottom w:val="single" w:color="CBD5E1" w:sz="1"/>
              <w:right w:val="single" w:color="CBD5E1" w:sz="1"/>
            </w:tcBorders>
            <w:shd w:fill="0F172A"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Month</w:t>
            </w:r>
          </w:p>
        </w:tc>
        <w:tc>
          <w:tcPr>
            <w:tcW w:type="dxa" w:w="1000"/>
            <w:tcBorders>
              <w:top w:val="single" w:color="CBD5E1" w:sz="1"/>
              <w:left w:val="single" w:color="CBD5E1" w:sz="1"/>
              <w:bottom w:val="single" w:color="CBD5E1" w:sz="1"/>
              <w:right w:val="single" w:color="CBD5E1" w:sz="1"/>
            </w:tcBorders>
            <w:shd w:fill="0F172A"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Weeks</w:t>
            </w:r>
          </w:p>
        </w:tc>
        <w:tc>
          <w:tcPr>
            <w:tcW w:type="dxa" w:w="2600"/>
            <w:tcBorders>
              <w:top w:val="single" w:color="CBD5E1" w:sz="1"/>
              <w:left w:val="single" w:color="CBD5E1" w:sz="1"/>
              <w:bottom w:val="single" w:color="CBD5E1" w:sz="1"/>
              <w:right w:val="single" w:color="CBD5E1" w:sz="1"/>
            </w:tcBorders>
            <w:shd w:fill="0F172A"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Focus</w:t>
            </w:r>
          </w:p>
        </w:tc>
        <w:tc>
          <w:tcPr>
            <w:tcW w:type="dxa" w:w="5000"/>
            <w:tcBorders>
              <w:top w:val="single" w:color="CBD5E1" w:sz="1"/>
              <w:left w:val="single" w:color="CBD5E1" w:sz="1"/>
              <w:bottom w:val="single" w:color="CBD5E1" w:sz="1"/>
              <w:right w:val="single" w:color="CBD5E1" w:sz="1"/>
            </w:tcBorders>
            <w:shd w:fill="0F172A"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Key Deliverable</w:t>
            </w:r>
          </w:p>
        </w:tc>
      </w:tr>
      <w:tr>
        <w:tc>
          <w:tcPr>
            <w:tcW w:type="dxa" w:w="1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Month 1</w:t>
            </w:r>
          </w:p>
        </w:tc>
        <w:tc>
          <w:tcPr>
            <w:tcW w:type="dxa" w:w="1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1–4</w:t>
            </w:r>
          </w:p>
        </w:tc>
        <w:tc>
          <w:tcPr>
            <w:tcW w:type="dxa" w:w="2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Foundation + Data + ML</w:t>
            </w:r>
          </w:p>
        </w:tc>
        <w:tc>
          <w:tcPr>
            <w:tcW w:type="dxa" w:w="5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Trained ensemble model; 2,856 TG viable sites with all 42 features</w:t>
            </w:r>
          </w:p>
        </w:tc>
      </w:tr>
      <w:tr>
        <w:tc>
          <w:tcPr>
            <w:tcW w:type="dxa" w:w="10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Month 2</w:t>
            </w:r>
          </w:p>
        </w:tc>
        <w:tc>
          <w:tcPr>
            <w:tcW w:type="dxa" w:w="10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5–8</w:t>
            </w:r>
          </w:p>
        </w:tc>
        <w:tc>
          <w:tcPr>
            <w:tcW w:type="dxa" w:w="2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Analysis + Validation + Dashboard</w:t>
            </w:r>
          </w:p>
        </w:tc>
        <w:tc>
          <w:tcPr>
            <w:tcW w:type="dxa" w:w="50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TG full ranking with economics; working web dashboard v1</w:t>
            </w:r>
          </w:p>
        </w:tc>
      </w:tr>
      <w:tr>
        <w:tc>
          <w:tcPr>
            <w:tcW w:type="dxa" w:w="1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Month 3</w:t>
            </w:r>
          </w:p>
        </w:tc>
        <w:tc>
          <w:tcPr>
            <w:tcW w:type="dxa" w:w="1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9–12</w:t>
            </w:r>
          </w:p>
        </w:tc>
        <w:tc>
          <w:tcPr>
            <w:tcW w:type="dxa" w:w="2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Scale-Up + Rooftop POC</w:t>
            </w:r>
          </w:p>
        </w:tc>
        <w:tc>
          <w:tcPr>
            <w:tcW w:type="dxa" w:w="5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5-state coverage (~12K sites); Hyderabad rooftop prototype</w:t>
            </w:r>
          </w:p>
        </w:tc>
      </w:tr>
      <w:tr>
        <w:tc>
          <w:tcPr>
            <w:tcW w:type="dxa" w:w="10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Month 4</w:t>
            </w:r>
          </w:p>
        </w:tc>
        <w:tc>
          <w:tcPr>
            <w:tcW w:type="dxa" w:w="10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13–16</w:t>
            </w:r>
          </w:p>
        </w:tc>
        <w:tc>
          <w:tcPr>
            <w:tcW w:type="dxa" w:w="2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Paper + Code Cleanup + Deployment</w:t>
            </w:r>
          </w:p>
        </w:tc>
        <w:tc>
          <w:tcPr>
            <w:tcW w:type="dxa" w:w="50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Submitted paper; live at solarsite-india.org; GitHub published</w:t>
            </w:r>
          </w:p>
        </w:tc>
      </w:tr>
    </w:tbl>
    <w:p/>
    <w:p>
      <w:pPr>
        <w:pStyle w:val="Heading2"/>
        <w:spacing w:before="360" w:after="160"/>
      </w:pPr>
      <w:r>
        <w:rPr>
          <w:rFonts w:ascii="Arial" w:cs="Arial" w:eastAsia="Arial" w:hAnsi="Arial"/>
          <w:b/>
          <w:bCs/>
          <w:color w:val="1E293B"/>
          <w:sz w:val="28"/>
          <w:szCs w:val="28"/>
        </w:rPr>
        <w:t xml:space="preserve">11.2  Week-by-Week Detail</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600"/>
        <w:gridCol w:w="1400"/>
        <w:gridCol w:w="600"/>
        <w:gridCol w:w="4200"/>
        <w:gridCol w:w="1560"/>
      </w:tblGrid>
      <w:tr>
        <w:tc>
          <w:tcPr>
            <w:tcW w:type="dxa" w:w="600"/>
            <w:tcBorders>
              <w:top w:val="single" w:color="CBD5E1" w:sz="1"/>
              <w:left w:val="single" w:color="CBD5E1" w:sz="1"/>
              <w:bottom w:val="single" w:color="CBD5E1" w:sz="1"/>
              <w:right w:val="single" w:color="CBD5E1" w:sz="1"/>
            </w:tcBorders>
            <w:shd w:fill="0F172A"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Week</w:t>
            </w:r>
          </w:p>
        </w:tc>
        <w:tc>
          <w:tcPr>
            <w:tcW w:type="dxa" w:w="1400"/>
            <w:tcBorders>
              <w:top w:val="single" w:color="CBD5E1" w:sz="1"/>
              <w:left w:val="single" w:color="CBD5E1" w:sz="1"/>
              <w:bottom w:val="single" w:color="CBD5E1" w:sz="1"/>
              <w:right w:val="single" w:color="CBD5E1" w:sz="1"/>
            </w:tcBorders>
            <w:shd w:fill="0F172A"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Stage</w:t>
            </w:r>
          </w:p>
        </w:tc>
        <w:tc>
          <w:tcPr>
            <w:tcW w:type="dxa" w:w="600"/>
            <w:tcBorders>
              <w:top w:val="single" w:color="CBD5E1" w:sz="1"/>
              <w:left w:val="single" w:color="CBD5E1" w:sz="1"/>
              <w:bottom w:val="single" w:color="CBD5E1" w:sz="1"/>
              <w:right w:val="single" w:color="CBD5E1" w:sz="1"/>
            </w:tcBorders>
            <w:shd w:fill="0F172A"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Lead</w:t>
            </w:r>
          </w:p>
        </w:tc>
        <w:tc>
          <w:tcPr>
            <w:tcW w:type="dxa" w:w="4200"/>
            <w:tcBorders>
              <w:top w:val="single" w:color="CBD5E1" w:sz="1"/>
              <w:left w:val="single" w:color="CBD5E1" w:sz="1"/>
              <w:bottom w:val="single" w:color="CBD5E1" w:sz="1"/>
              <w:right w:val="single" w:color="CBD5E1" w:sz="1"/>
            </w:tcBorders>
            <w:shd w:fill="0F172A"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Tasks</w:t>
            </w:r>
          </w:p>
        </w:tc>
        <w:tc>
          <w:tcPr>
            <w:tcW w:type="dxa" w:w="1560"/>
            <w:tcBorders>
              <w:top w:val="single" w:color="CBD5E1" w:sz="1"/>
              <w:left w:val="single" w:color="CBD5E1" w:sz="1"/>
              <w:bottom w:val="single" w:color="CBD5E1" w:sz="1"/>
              <w:right w:val="single" w:color="CBD5E1" w:sz="1"/>
            </w:tcBorders>
            <w:shd w:fill="0F172A"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Status</w:t>
            </w:r>
          </w:p>
        </w:tc>
      </w:tr>
      <w:tr>
        <w:tc>
          <w:tcPr>
            <w:tcW w:type="dxa" w:w="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0</w:t>
            </w:r>
          </w:p>
        </w:tc>
        <w:tc>
          <w:tcPr>
            <w:tcW w:type="dxa" w:w="1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Foundation</w:t>
            </w:r>
          </w:p>
        </w:tc>
        <w:tc>
          <w:tcPr>
            <w:tcW w:type="dxa" w:w="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All</w:t>
            </w:r>
          </w:p>
        </w:tc>
        <w:tc>
          <w:tcPr>
            <w:tcW w:type="dxa" w:w="4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Environment setup, literature review, GitHub structure, data source documentation</w:t>
            </w:r>
          </w:p>
        </w:tc>
        <w:tc>
          <w:tcPr>
            <w:tcW w:type="dxa" w:w="1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 Done</w:t>
            </w:r>
          </w:p>
        </w:tc>
      </w:tr>
      <w:tr>
        <w:tc>
          <w:tcPr>
            <w:tcW w:type="dxa" w:w="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1</w:t>
            </w:r>
          </w:p>
        </w:tc>
        <w:tc>
          <w:tcPr>
            <w:tcW w:type="dxa" w:w="14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Data Acquisition</w:t>
            </w:r>
          </w:p>
        </w:tc>
        <w:tc>
          <w:tcPr>
            <w:tcW w:type="dxa" w:w="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P2</w:t>
            </w:r>
          </w:p>
        </w:tc>
        <w:tc>
          <w:tcPr>
            <w:tcW w:type="dxa" w:w="42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NASA POWER, SRTM DEM, ISRO LULC, OSM roads, GADM boundaries, existing plants DB</w:t>
            </w:r>
          </w:p>
        </w:tc>
        <w:tc>
          <w:tcPr>
            <w:tcW w:type="dxa" w:w="15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 Done</w:t>
            </w:r>
          </w:p>
        </w:tc>
      </w:tr>
      <w:tr>
        <w:tc>
          <w:tcPr>
            <w:tcW w:type="dxa" w:w="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2</w:t>
            </w:r>
          </w:p>
        </w:tc>
        <w:tc>
          <w:tcPr>
            <w:tcW w:type="dxa" w:w="1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Feature Engineering</w:t>
            </w:r>
          </w:p>
        </w:tc>
        <w:tc>
          <w:tcPr>
            <w:tcW w:type="dxa" w:w="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P2+P3</w:t>
            </w:r>
          </w:p>
        </w:tc>
        <w:tc>
          <w:tcPr>
            <w:tcW w:type="dxa" w:w="4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5km candidate grid TG; 42-feature extraction; exclusion filters; 2,856 viable sites</w:t>
            </w:r>
          </w:p>
        </w:tc>
        <w:tc>
          <w:tcPr>
            <w:tcW w:type="dxa" w:w="1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 Done</w:t>
            </w:r>
          </w:p>
        </w:tc>
      </w:tr>
      <w:tr>
        <w:tc>
          <w:tcPr>
            <w:tcW w:type="dxa" w:w="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3</w:t>
            </w:r>
          </w:p>
        </w:tc>
        <w:tc>
          <w:tcPr>
            <w:tcW w:type="dxa" w:w="14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ML Model Dev</w:t>
            </w:r>
          </w:p>
        </w:tc>
        <w:tc>
          <w:tcPr>
            <w:tcW w:type="dxa" w:w="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P3</w:t>
            </w:r>
          </w:p>
        </w:tc>
        <w:tc>
          <w:tcPr>
            <w:tcW w:type="dxa" w:w="42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RF + XGBoost + GB training; hyperparameter tuning; SHAP analysis; AlphaEarth embeddings</w:t>
            </w:r>
          </w:p>
        </w:tc>
        <w:tc>
          <w:tcPr>
            <w:tcW w:type="dxa" w:w="15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 In Progress</w:t>
            </w:r>
          </w:p>
        </w:tc>
      </w:tr>
      <w:tr>
        <w:tc>
          <w:tcPr>
            <w:tcW w:type="dxa" w:w="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4</w:t>
            </w:r>
          </w:p>
        </w:tc>
        <w:tc>
          <w:tcPr>
            <w:tcW w:type="dxa" w:w="1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Capacity + Generation</w:t>
            </w:r>
          </w:p>
        </w:tc>
        <w:tc>
          <w:tcPr>
            <w:tcW w:type="dxa" w:w="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P3</w:t>
            </w:r>
          </w:p>
        </w:tc>
        <w:tc>
          <w:tcPr>
            <w:tcW w:type="dxa" w:w="4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GCR-based capacity estimation; hybrid physical+ML generation; 25-year projection</w:t>
            </w:r>
          </w:p>
        </w:tc>
        <w:tc>
          <w:tcPr>
            <w:tcW w:type="dxa" w:w="1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 Pending</w:t>
            </w:r>
          </w:p>
        </w:tc>
      </w:tr>
      <w:tr>
        <w:tc>
          <w:tcPr>
            <w:tcW w:type="dxa" w:w="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5</w:t>
            </w:r>
          </w:p>
        </w:tc>
        <w:tc>
          <w:tcPr>
            <w:tcW w:type="dxa" w:w="14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Economic Analysis</w:t>
            </w:r>
          </w:p>
        </w:tc>
        <w:tc>
          <w:tcPr>
            <w:tcW w:type="dxa" w:w="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P3+P1</w:t>
            </w:r>
          </w:p>
        </w:tc>
        <w:tc>
          <w:tcPr>
            <w:tcW w:type="dxa" w:w="42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CAPEX/OPEX/LCOE/NPV/payback module; sensitivity analysis</w:t>
            </w:r>
          </w:p>
        </w:tc>
        <w:tc>
          <w:tcPr>
            <w:tcW w:type="dxa" w:w="15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 Pending</w:t>
            </w:r>
          </w:p>
        </w:tc>
      </w:tr>
      <w:tr>
        <w:tc>
          <w:tcPr>
            <w:tcW w:type="dxa" w:w="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6</w:t>
            </w:r>
          </w:p>
        </w:tc>
        <w:tc>
          <w:tcPr>
            <w:tcW w:type="dxa" w:w="1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TG Full Analysis</w:t>
            </w:r>
          </w:p>
        </w:tc>
        <w:tc>
          <w:tcPr>
            <w:tcW w:type="dxa" w:w="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P3+P2</w:t>
            </w:r>
          </w:p>
        </w:tc>
        <w:tc>
          <w:tcPr>
            <w:tcW w:type="dxa" w:w="4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All 2,856 sites ranked; top 100 shortlist; 10 detailed case studies</w:t>
            </w:r>
          </w:p>
        </w:tc>
        <w:tc>
          <w:tcPr>
            <w:tcW w:type="dxa" w:w="1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 Pending</w:t>
            </w:r>
          </w:p>
        </w:tc>
      </w:tr>
      <w:tr>
        <w:tc>
          <w:tcPr>
            <w:tcW w:type="dxa" w:w="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7</w:t>
            </w:r>
          </w:p>
        </w:tc>
        <w:tc>
          <w:tcPr>
            <w:tcW w:type="dxa" w:w="14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Web Dashboard v1</w:t>
            </w:r>
          </w:p>
        </w:tc>
        <w:tc>
          <w:tcPr>
            <w:tcW w:type="dxa" w:w="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P5</w:t>
            </w:r>
          </w:p>
        </w:tc>
        <w:tc>
          <w:tcPr>
            <w:tcW w:type="dxa" w:w="42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React + Leaflet map; site cards; filter/search; basic comparison</w:t>
            </w:r>
          </w:p>
        </w:tc>
        <w:tc>
          <w:tcPr>
            <w:tcW w:type="dxa" w:w="15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 Pending</w:t>
            </w:r>
          </w:p>
        </w:tc>
      </w:tr>
      <w:tr>
        <w:tc>
          <w:tcPr>
            <w:tcW w:type="dxa" w:w="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8</w:t>
            </w:r>
          </w:p>
        </w:tc>
        <w:tc>
          <w:tcPr>
            <w:tcW w:type="dxa" w:w="1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REST API</w:t>
            </w:r>
          </w:p>
        </w:tc>
        <w:tc>
          <w:tcPr>
            <w:tcW w:type="dxa" w:w="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P4</w:t>
            </w:r>
          </w:p>
        </w:tc>
        <w:tc>
          <w:tcPr>
            <w:tcW w:type="dxa" w:w="4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FastAPI endpoints; PostgreSQL + PostGIS; Redis cache; Swagger docs</w:t>
            </w:r>
          </w:p>
        </w:tc>
        <w:tc>
          <w:tcPr>
            <w:tcW w:type="dxa" w:w="1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 Pending</w:t>
            </w:r>
          </w:p>
        </w:tc>
      </w:tr>
      <w:tr>
        <w:tc>
          <w:tcPr>
            <w:tcW w:type="dxa" w:w="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9</w:t>
            </w:r>
          </w:p>
        </w:tc>
        <w:tc>
          <w:tcPr>
            <w:tcW w:type="dxa" w:w="14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Multi-State Scale-Up</w:t>
            </w:r>
          </w:p>
        </w:tc>
        <w:tc>
          <w:tcPr>
            <w:tcW w:type="dxa" w:w="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P2</w:t>
            </w:r>
          </w:p>
        </w:tc>
        <w:tc>
          <w:tcPr>
            <w:tcW w:type="dxa" w:w="42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AP + Karnataka + Maharashtra + Tamil Nadu (~12K sites)</w:t>
            </w:r>
          </w:p>
        </w:tc>
        <w:tc>
          <w:tcPr>
            <w:tcW w:type="dxa" w:w="15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 Pending</w:t>
            </w:r>
          </w:p>
        </w:tc>
      </w:tr>
      <w:tr>
        <w:tc>
          <w:tcPr>
            <w:tcW w:type="dxa" w:w="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10</w:t>
            </w:r>
          </w:p>
        </w:tc>
        <w:tc>
          <w:tcPr>
            <w:tcW w:type="dxa" w:w="1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National Grid</w:t>
            </w:r>
          </w:p>
        </w:tc>
        <w:tc>
          <w:tcPr>
            <w:tcW w:type="dxa" w:w="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P2+P4</w:t>
            </w:r>
          </w:p>
        </w:tc>
        <w:tc>
          <w:tcPr>
            <w:tcW w:type="dxa" w:w="4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All India 10km grid (~28K sites); bulk processing pipeline</w:t>
            </w:r>
          </w:p>
        </w:tc>
        <w:tc>
          <w:tcPr>
            <w:tcW w:type="dxa" w:w="1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 Pending</w:t>
            </w:r>
          </w:p>
        </w:tc>
      </w:tr>
      <w:tr>
        <w:tc>
          <w:tcPr>
            <w:tcW w:type="dxa" w:w="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11</w:t>
            </w:r>
          </w:p>
        </w:tc>
        <w:tc>
          <w:tcPr>
            <w:tcW w:type="dxa" w:w="14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Rooftop POC</w:t>
            </w:r>
          </w:p>
        </w:tc>
        <w:tc>
          <w:tcPr>
            <w:tcW w:type="dxa" w:w="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P2+P3</w:t>
            </w:r>
          </w:p>
        </w:tc>
        <w:tc>
          <w:tcPr>
            <w:tcW w:type="dxa" w:w="42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Hyderabad city: 10K buildings pilot; validate vs 20–30 real installations</w:t>
            </w:r>
          </w:p>
        </w:tc>
        <w:tc>
          <w:tcPr>
            <w:tcW w:type="dxa" w:w="15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 Pending</w:t>
            </w:r>
          </w:p>
        </w:tc>
      </w:tr>
      <w:tr>
        <w:tc>
          <w:tcPr>
            <w:tcW w:type="dxa" w:w="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12</w:t>
            </w:r>
          </w:p>
        </w:tc>
        <w:tc>
          <w:tcPr>
            <w:tcW w:type="dxa" w:w="1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Case Studies + Validation</w:t>
            </w:r>
          </w:p>
        </w:tc>
        <w:tc>
          <w:tcPr>
            <w:tcW w:type="dxa" w:w="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P3+P1</w:t>
            </w:r>
          </w:p>
        </w:tc>
        <w:tc>
          <w:tcPr>
            <w:tcW w:type="dxa" w:w="4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Held-out test set evaluation; case study write-ups; Figure 12 validation scatter</w:t>
            </w:r>
          </w:p>
        </w:tc>
        <w:tc>
          <w:tcPr>
            <w:tcW w:type="dxa" w:w="1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 Pending</w:t>
            </w:r>
          </w:p>
        </w:tc>
      </w:tr>
      <w:tr>
        <w:tc>
          <w:tcPr>
            <w:tcW w:type="dxa" w:w="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13</w:t>
            </w:r>
          </w:p>
        </w:tc>
        <w:tc>
          <w:tcPr>
            <w:tcW w:type="dxa" w:w="14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Paper: Intro + Methods</w:t>
            </w:r>
          </w:p>
        </w:tc>
        <w:tc>
          <w:tcPr>
            <w:tcW w:type="dxa" w:w="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P1+P3</w:t>
            </w:r>
          </w:p>
        </w:tc>
        <w:tc>
          <w:tcPr>
            <w:tcW w:type="dxa" w:w="42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Sections 1–4 drafted; all 12 figures started</w:t>
            </w:r>
          </w:p>
        </w:tc>
        <w:tc>
          <w:tcPr>
            <w:tcW w:type="dxa" w:w="15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 Pending</w:t>
            </w:r>
          </w:p>
        </w:tc>
      </w:tr>
      <w:tr>
        <w:tc>
          <w:tcPr>
            <w:tcW w:type="dxa" w:w="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14</w:t>
            </w:r>
          </w:p>
        </w:tc>
        <w:tc>
          <w:tcPr>
            <w:tcW w:type="dxa" w:w="1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Paper: Results + Discussion</w:t>
            </w:r>
          </w:p>
        </w:tc>
        <w:tc>
          <w:tcPr>
            <w:tcW w:type="dxa" w:w="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P1+P3</w:t>
            </w:r>
          </w:p>
        </w:tc>
        <w:tc>
          <w:tcPr>
            <w:tcW w:type="dxa" w:w="4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Sections 5–7 drafted; all 13 tables completed</w:t>
            </w:r>
          </w:p>
        </w:tc>
        <w:tc>
          <w:tcPr>
            <w:tcW w:type="dxa" w:w="1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 Pending</w:t>
            </w:r>
          </w:p>
        </w:tc>
      </w:tr>
      <w:tr>
        <w:tc>
          <w:tcPr>
            <w:tcW w:type="dxa" w:w="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15</w:t>
            </w:r>
          </w:p>
        </w:tc>
        <w:tc>
          <w:tcPr>
            <w:tcW w:type="dxa" w:w="14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Code + Docs Cleanup</w:t>
            </w:r>
          </w:p>
        </w:tc>
        <w:tc>
          <w:tcPr>
            <w:tcW w:type="dxa" w:w="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All</w:t>
            </w:r>
          </w:p>
        </w:tc>
        <w:tc>
          <w:tcPr>
            <w:tcW w:type="dxa" w:w="42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Test coverage &gt; 80%; README; API docs; data dictionary</w:t>
            </w:r>
          </w:p>
        </w:tc>
        <w:tc>
          <w:tcPr>
            <w:tcW w:type="dxa" w:w="15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 Pending</w:t>
            </w:r>
          </w:p>
        </w:tc>
      </w:tr>
      <w:tr>
        <w:tc>
          <w:tcPr>
            <w:tcW w:type="dxa" w:w="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16</w:t>
            </w:r>
          </w:p>
        </w:tc>
        <w:tc>
          <w:tcPr>
            <w:tcW w:type="dxa" w:w="1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Final Testing + Deploy</w:t>
            </w:r>
          </w:p>
        </w:tc>
        <w:tc>
          <w:tcPr>
            <w:tcW w:type="dxa" w:w="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P4+P5</w:t>
            </w:r>
          </w:p>
        </w:tc>
        <w:tc>
          <w:tcPr>
            <w:tcW w:type="dxa" w:w="4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Production deploy solarsite-india.org; mentor approval; paper submission</w:t>
            </w:r>
          </w:p>
        </w:tc>
        <w:tc>
          <w:tcPr>
            <w:tcW w:type="dxa" w:w="1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 Pending</w:t>
            </w:r>
          </w:p>
        </w:tc>
      </w:tr>
    </w:tbl>
    <w:p>
      <w:r>
        <w:br w:type="page"/>
      </w:r>
    </w:p>
    <w:p>
      <w:pPr>
        <w:pStyle w:val="Heading1"/>
        <w:pBdr>
          <w:bottom w:val="single" w:color="E8590C" w:sz="8" w:space="1"/>
        </w:pBdr>
        <w:spacing w:before="480" w:after="200"/>
      </w:pPr>
      <w:r>
        <w:rPr>
          <w:rFonts w:ascii="Arial" w:cs="Arial" w:eastAsia="Arial" w:hAnsi="Arial"/>
          <w:b/>
          <w:bCs/>
          <w:color w:val="E8590C"/>
          <w:sz w:val="36"/>
          <w:szCs w:val="36"/>
        </w:rPr>
        <w:t xml:space="preserve">PART 12 — IMMEDIATE ACTION ITEMS</w:t>
      </w:r>
    </w:p>
    <w:p>
      <w:pPr>
        <w:pStyle w:val="Heading2"/>
        <w:spacing w:before="360" w:after="160"/>
      </w:pPr>
      <w:r>
        <w:rPr>
          <w:rFonts w:ascii="Arial" w:cs="Arial" w:eastAsia="Arial" w:hAnsi="Arial"/>
          <w:b/>
          <w:bCs/>
          <w:color w:val="1E293B"/>
          <w:sz w:val="28"/>
          <w:szCs w:val="28"/>
        </w:rPr>
        <w:t xml:space="preserve">12.1  This Week (Critical Path)</w:t>
      </w:r>
    </w:p>
    <w:tbl>
      <w:tblPr>
        <w:tblW w:type="dxa" w:w="8700"/>
        <w:tblBorders>
          <w:top w:val="single" w:color="auto" w:sz="4"/>
          <w:left w:val="single" w:color="auto" w:sz="4"/>
          <w:bottom w:val="single" w:color="auto" w:sz="4"/>
          <w:right w:val="single" w:color="auto" w:sz="4"/>
          <w:insideH w:val="single" w:color="auto" w:sz="4"/>
          <w:insideV w:val="single" w:color="auto" w:sz="4"/>
        </w:tblBorders>
      </w:tblPr>
      <w:tblGrid>
        <w:gridCol w:w="1000"/>
        <w:gridCol w:w="4500"/>
        <w:gridCol w:w="1400"/>
        <w:gridCol w:w="1800"/>
      </w:tblGrid>
      <w:tr>
        <w:tc>
          <w:tcPr>
            <w:tcW w:type="dxa" w:w="1000"/>
            <w:tcBorders>
              <w:top w:val="single" w:color="CBD5E1" w:sz="1"/>
              <w:left w:val="single" w:color="CBD5E1" w:sz="1"/>
              <w:bottom w:val="single" w:color="CBD5E1" w:sz="1"/>
              <w:right w:val="single" w:color="CBD5E1" w:sz="1"/>
            </w:tcBorders>
            <w:shd w:fill="0F172A"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Priority</w:t>
            </w:r>
          </w:p>
        </w:tc>
        <w:tc>
          <w:tcPr>
            <w:tcW w:type="dxa" w:w="4500"/>
            <w:tcBorders>
              <w:top w:val="single" w:color="CBD5E1" w:sz="1"/>
              <w:left w:val="single" w:color="CBD5E1" w:sz="1"/>
              <w:bottom w:val="single" w:color="CBD5E1" w:sz="1"/>
              <w:right w:val="single" w:color="CBD5E1" w:sz="1"/>
            </w:tcBorders>
            <w:shd w:fill="0F172A"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Task</w:t>
            </w:r>
          </w:p>
        </w:tc>
        <w:tc>
          <w:tcPr>
            <w:tcW w:type="dxa" w:w="1400"/>
            <w:tcBorders>
              <w:top w:val="single" w:color="CBD5E1" w:sz="1"/>
              <w:left w:val="single" w:color="CBD5E1" w:sz="1"/>
              <w:bottom w:val="single" w:color="CBD5E1" w:sz="1"/>
              <w:right w:val="single" w:color="CBD5E1" w:sz="1"/>
            </w:tcBorders>
            <w:shd w:fill="0F172A"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Person</w:t>
            </w:r>
          </w:p>
        </w:tc>
        <w:tc>
          <w:tcPr>
            <w:tcW w:type="dxa" w:w="1800"/>
            <w:tcBorders>
              <w:top w:val="single" w:color="CBD5E1" w:sz="1"/>
              <w:left w:val="single" w:color="CBD5E1" w:sz="1"/>
              <w:bottom w:val="single" w:color="CBD5E1" w:sz="1"/>
              <w:right w:val="single" w:color="CBD5E1" w:sz="1"/>
            </w:tcBorders>
            <w:shd w:fill="0F172A"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Deadline</w:t>
            </w:r>
          </w:p>
        </w:tc>
      </w:tr>
      <w:tr>
        <w:tc>
          <w:tcPr>
            <w:tcW w:type="dxa" w:w="1000"/>
            <w:tcBorders>
              <w:top w:val="single" w:color="CBD5E1" w:sz="1"/>
              <w:left w:val="single" w:color="CBD5E1" w:sz="1"/>
              <w:bottom w:val="single" w:color="CBD5E1" w:sz="1"/>
              <w:right w:val="single" w:color="CBD5E1" w:sz="1"/>
            </w:tcBorders>
            <w:shd w:fill="FEE2E2" w:val="clear"/>
            <w:tcMar>
              <w:top w:type="dxa" w:w="80"/>
              <w:left w:type="dxa" w:w="140"/>
              <w:bottom w:type="dxa" w:w="80"/>
              <w:right w:type="dxa" w:w="140"/>
            </w:tcMar>
            <w:vAlign w:val="center"/>
          </w:tcPr>
          <w:p>
            <w:r>
              <w:rPr>
                <w:rFonts w:ascii="Arial" w:cs="Arial" w:eastAsia="Arial" w:hAnsi="Arial"/>
                <w:b/>
                <w:bCs/>
                <w:color w:val="991B1B"/>
                <w:sz w:val="18"/>
                <w:szCs w:val="18"/>
              </w:rPr>
              <w:t xml:space="preserve">🔴 BLOCKER</w:t>
            </w:r>
          </w:p>
        </w:tc>
        <w:tc>
          <w:tcPr>
            <w:tcW w:type="dxa" w:w="45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Download 5 years of CEA Monthly Generation Reports. Extract TG + AP plant generation. This is the only thing blocking ML training from starting.</w:t>
            </w:r>
          </w:p>
        </w:tc>
        <w:tc>
          <w:tcPr>
            <w:tcW w:type="dxa" w:w="1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Person 2</w:t>
            </w:r>
          </w:p>
        </w:tc>
        <w:tc>
          <w:tcPr>
            <w:tcW w:type="dxa" w:w="1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End of Week 3</w:t>
            </w:r>
          </w:p>
        </w:tc>
      </w:tr>
      <w:tr>
        <w:tc>
          <w:tcPr>
            <w:tcW w:type="dxa" w:w="1000"/>
            <w:tcBorders>
              <w:top w:val="single" w:color="CBD5E1" w:sz="1"/>
              <w:left w:val="single" w:color="CBD5E1" w:sz="1"/>
              <w:bottom w:val="single" w:color="CBD5E1" w:sz="1"/>
              <w:right w:val="single" w:color="CBD5E1" w:sz="1"/>
            </w:tcBorders>
            <w:shd w:fill="FEE2E2" w:val="clear"/>
            <w:tcMar>
              <w:top w:type="dxa" w:w="80"/>
              <w:left w:type="dxa" w:w="140"/>
              <w:bottom w:type="dxa" w:w="80"/>
              <w:right w:type="dxa" w:w="140"/>
            </w:tcMar>
            <w:vAlign w:val="center"/>
          </w:tcPr>
          <w:p>
            <w:r>
              <w:rPr>
                <w:rFonts w:ascii="Arial" w:cs="Arial" w:eastAsia="Arial" w:hAnsi="Arial"/>
                <w:b/>
                <w:bCs/>
                <w:color w:val="991B1B"/>
                <w:sz w:val="18"/>
                <w:szCs w:val="18"/>
              </w:rPr>
              <w:t xml:space="preserve">🔴 BLOCKER</w:t>
            </w:r>
          </w:p>
        </w:tc>
        <w:tc>
          <w:tcPr>
            <w:tcW w:type="dxa" w:w="45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Register for Google Earth Engine (free research account). Test AlphaEarth embedding extraction on 10 TG candidate sites.</w:t>
            </w:r>
          </w:p>
        </w:tc>
        <w:tc>
          <w:tcPr>
            <w:tcW w:type="dxa" w:w="14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Person 2</w:t>
            </w:r>
          </w:p>
        </w:tc>
        <w:tc>
          <w:tcPr>
            <w:tcW w:type="dxa" w:w="18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End of Week 3</w:t>
            </w:r>
          </w:p>
        </w:tc>
      </w:tr>
      <w:tr>
        <w:tc>
          <w:tcPr>
            <w:tcW w:type="dxa" w:w="1000"/>
            <w:tcBorders>
              <w:top w:val="single" w:color="CBD5E1" w:sz="1"/>
              <w:left w:val="single" w:color="CBD5E1" w:sz="1"/>
              <w:bottom w:val="single" w:color="CBD5E1" w:sz="1"/>
              <w:right w:val="single" w:color="CBD5E1" w:sz="1"/>
            </w:tcBorders>
            <w:shd w:fill="FEF3C7" w:val="clear"/>
            <w:tcMar>
              <w:top w:type="dxa" w:w="80"/>
              <w:left w:type="dxa" w:w="140"/>
              <w:bottom w:type="dxa" w:w="80"/>
              <w:right w:type="dxa" w:w="140"/>
            </w:tcMar>
            <w:vAlign w:val="center"/>
          </w:tcPr>
          <w:p>
            <w:r>
              <w:rPr>
                <w:rFonts w:ascii="Arial" w:cs="Arial" w:eastAsia="Arial" w:hAnsi="Arial"/>
                <w:b/>
                <w:bCs/>
                <w:color w:val="92400E"/>
                <w:sz w:val="18"/>
                <w:szCs w:val="18"/>
              </w:rPr>
              <w:t xml:space="preserve">🟡 HIGH</w:t>
            </w:r>
          </w:p>
        </w:tc>
        <w:tc>
          <w:tcPr>
            <w:tcW w:type="dxa" w:w="45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File RTI with TSREDCO: 'Project-wise commissioned solar capacity (MW) by district as of March 2024.' Template available online. 30-day clock.</w:t>
            </w:r>
          </w:p>
        </w:tc>
        <w:tc>
          <w:tcPr>
            <w:tcW w:type="dxa" w:w="1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Person 1</w:t>
            </w:r>
          </w:p>
        </w:tc>
        <w:tc>
          <w:tcPr>
            <w:tcW w:type="dxa" w:w="1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This Week</w:t>
            </w:r>
          </w:p>
        </w:tc>
      </w:tr>
      <w:tr>
        <w:tc>
          <w:tcPr>
            <w:tcW w:type="dxa" w:w="1000"/>
            <w:tcBorders>
              <w:top w:val="single" w:color="CBD5E1" w:sz="1"/>
              <w:left w:val="single" w:color="CBD5E1" w:sz="1"/>
              <w:bottom w:val="single" w:color="CBD5E1" w:sz="1"/>
              <w:right w:val="single" w:color="CBD5E1" w:sz="1"/>
            </w:tcBorders>
            <w:shd w:fill="FEF3C7" w:val="clear"/>
            <w:tcMar>
              <w:top w:type="dxa" w:w="80"/>
              <w:left w:type="dxa" w:w="140"/>
              <w:bottom w:type="dxa" w:w="80"/>
              <w:right w:type="dxa" w:w="140"/>
            </w:tcMar>
            <w:vAlign w:val="center"/>
          </w:tcPr>
          <w:p>
            <w:r>
              <w:rPr>
                <w:rFonts w:ascii="Arial" w:cs="Arial" w:eastAsia="Arial" w:hAnsi="Arial"/>
                <w:b/>
                <w:bCs/>
                <w:color w:val="92400E"/>
                <w:sz w:val="18"/>
                <w:szCs w:val="18"/>
              </w:rPr>
              <w:t xml:space="preserve">🟡 HIGH</w:t>
            </w:r>
          </w:p>
        </w:tc>
        <w:tc>
          <w:tcPr>
            <w:tcW w:type="dxa" w:w="45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Set up ML training pipeline to accept both raw 42 features AND 64-dim AlphaEarth embeddings. Start with GHI + elevation + land use as baseline.</w:t>
            </w:r>
          </w:p>
        </w:tc>
        <w:tc>
          <w:tcPr>
            <w:tcW w:type="dxa" w:w="14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Person 3</w:t>
            </w:r>
          </w:p>
        </w:tc>
        <w:tc>
          <w:tcPr>
            <w:tcW w:type="dxa" w:w="18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End of Week 3</w:t>
            </w:r>
          </w:p>
        </w:tc>
      </w:tr>
      <w:tr>
        <w:tc>
          <w:tcPr>
            <w:tcW w:type="dxa" w:w="1000"/>
            <w:tcBorders>
              <w:top w:val="single" w:color="CBD5E1" w:sz="1"/>
              <w:left w:val="single" w:color="CBD5E1" w:sz="1"/>
              <w:bottom w:val="single" w:color="CBD5E1" w:sz="1"/>
              <w:right w:val="single" w:color="CBD5E1" w:sz="1"/>
            </w:tcBorders>
            <w:shd w:fill="DCFCE7" w:val="clear"/>
            <w:tcMar>
              <w:top w:type="dxa" w:w="80"/>
              <w:left w:type="dxa" w:w="140"/>
              <w:bottom w:type="dxa" w:w="80"/>
              <w:right w:type="dxa" w:w="140"/>
            </w:tcMar>
            <w:vAlign w:val="center"/>
          </w:tcPr>
          <w:p>
            <w:r>
              <w:rPr>
                <w:rFonts w:ascii="Arial" w:cs="Arial" w:eastAsia="Arial" w:hAnsi="Arial"/>
                <w:b/>
                <w:bCs/>
                <w:color w:val="166534"/>
                <w:sz w:val="18"/>
                <w:szCs w:val="18"/>
              </w:rPr>
              <w:t xml:space="preserve">🟢 MEDIUM</w:t>
            </w:r>
          </w:p>
        </w:tc>
        <w:tc>
          <w:tcPr>
            <w:tcW w:type="dxa" w:w="45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Extract district-wise load forecast from APERC SEP Section 4.3.1 (publicly available, no RTI needed). Use as demand validation.</w:t>
            </w:r>
          </w:p>
        </w:tc>
        <w:tc>
          <w:tcPr>
            <w:tcW w:type="dxa" w:w="1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Person 2</w:t>
            </w:r>
          </w:p>
        </w:tc>
        <w:tc>
          <w:tcPr>
            <w:tcW w:type="dxa" w:w="1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Week 4</w:t>
            </w:r>
          </w:p>
        </w:tc>
      </w:tr>
    </w:tbl>
    <w:p/>
    <w:p>
      <w:pPr>
        <w:pStyle w:val="Heading2"/>
        <w:spacing w:before="360" w:after="160"/>
      </w:pPr>
      <w:r>
        <w:rPr>
          <w:rFonts w:ascii="Arial" w:cs="Arial" w:eastAsia="Arial" w:hAnsi="Arial"/>
          <w:b/>
          <w:bCs/>
          <w:color w:val="1E293B"/>
          <w:sz w:val="28"/>
          <w:szCs w:val="28"/>
        </w:rPr>
        <w:t xml:space="preserve">12.2  Key Contacts &amp; Resources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BD5E1" w:sz="1"/>
              <w:left w:val="single" w:color="CBD5E1" w:sz="1"/>
              <w:bottom w:val="single" w:color="CBD5E1" w:sz="1"/>
              <w:right w:val="single" w:color="CBD5E1" w:sz="1"/>
            </w:tcBorders>
            <w:shd w:fill="0F172A"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Resource</w:t>
            </w:r>
          </w:p>
        </w:tc>
        <w:tc>
          <w:tcPr>
            <w:tcW w:type="dxa" w:w="6160"/>
            <w:tcBorders>
              <w:top w:val="single" w:color="CBD5E1" w:sz="1"/>
              <w:left w:val="single" w:color="CBD5E1" w:sz="1"/>
              <w:bottom w:val="single" w:color="CBD5E1" w:sz="1"/>
              <w:right w:val="single" w:color="CBD5E1" w:sz="1"/>
            </w:tcBorders>
            <w:shd w:fill="0F172A"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URL / Contact</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TGERC RST Order FY2023-24 (primary demand source)</w:t>
            </w:r>
          </w:p>
        </w:tc>
        <w:tc>
          <w:tcPr>
            <w:tcW w:type="dxa" w:w="6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tgerc.telangana.gov.in</w:t>
            </w:r>
          </w:p>
        </w:tc>
      </w:tr>
      <w:tr>
        <w:tc>
          <w:tcPr>
            <w:tcW w:type="dxa" w:w="32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CEA RES Capacity document (primary solar source)</w:t>
            </w:r>
          </w:p>
        </w:tc>
        <w:tc>
          <w:tcPr>
            <w:tcW w:type="dxa" w:w="61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cdnbbsr.s3waas.gov.in/.../20240524405410771.pdf</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APERC SEP 2023 (AP demand + rooftop source)</w:t>
            </w:r>
          </w:p>
        </w:tc>
        <w:tc>
          <w:tcPr>
            <w:tcW w:type="dxa" w:w="6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aperc.gov.in/admin/upload/StateelectricityPlan07062023.pdf</w:t>
            </w:r>
          </w:p>
        </w:tc>
      </w:tr>
      <w:tr>
        <w:tc>
          <w:tcPr>
            <w:tcW w:type="dxa" w:w="32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NASA POWER API</w:t>
            </w:r>
          </w:p>
        </w:tc>
        <w:tc>
          <w:tcPr>
            <w:tcW w:type="dxa" w:w="61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power.larc.nasa.gov/api</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Google Earth Engine (AlphaEarth)</w:t>
            </w:r>
          </w:p>
        </w:tc>
        <w:tc>
          <w:tcPr>
            <w:tcW w:type="dxa" w:w="6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earthengine.google.com</w:t>
            </w:r>
          </w:p>
        </w:tc>
      </w:tr>
      <w:tr>
        <w:tc>
          <w:tcPr>
            <w:tcW w:type="dxa" w:w="32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CEA Monthly Generation Reports</w:t>
            </w:r>
          </w:p>
        </w:tc>
        <w:tc>
          <w:tcPr>
            <w:tcW w:type="dxa" w:w="61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cea.nic.in → Reports → Monthly Generation Review</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TSREDCO RTI portal</w:t>
            </w:r>
          </w:p>
        </w:tc>
        <w:tc>
          <w:tcPr>
            <w:tcW w:type="dxa" w:w="6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tsredco.telangana.gov.in → RTI section</w:t>
            </w:r>
          </w:p>
        </w:tc>
      </w:tr>
      <w:tr>
        <w:tc>
          <w:tcPr>
            <w:tcW w:type="dxa" w:w="32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AlphaEarth paper citation</w:t>
            </w:r>
          </w:p>
        </w:tc>
        <w:tc>
          <w:tcPr>
            <w:tcW w:type="dxa" w:w="61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arXiv:2507.22291 — Brown et al. 2025</w:t>
            </w:r>
          </w:p>
        </w:tc>
      </w:tr>
    </w:tbl>
    <w:p/>
    <w:p>
      <w:pPr>
        <w:pStyle w:val="Heading2"/>
        <w:spacing w:before="360" w:after="160"/>
      </w:pPr>
      <w:r>
        <w:rPr>
          <w:rFonts w:ascii="Arial" w:cs="Arial" w:eastAsia="Arial" w:hAnsi="Arial"/>
          <w:b/>
          <w:bCs/>
          <w:color w:val="1E293B"/>
          <w:sz w:val="28"/>
          <w:szCs w:val="28"/>
        </w:rPr>
        <w:t xml:space="preserve">12.3  Definition of Done — Stages 3–4</w:t>
      </w:r>
    </w:p>
    <w:p>
      <w:pPr>
        <w:spacing w:after="120"/>
      </w:pPr>
      <w:r>
        <w:rPr>
          <w:rFonts w:ascii="Arial" w:cs="Arial" w:eastAsia="Arial" w:hAnsi="Arial"/>
          <w:color w:val="1E293B"/>
          <w:sz w:val="20"/>
          <w:szCs w:val="20"/>
        </w:rPr>
        <w:t xml:space="preserve">Stage 3 (ML) is complete when:</w:t>
      </w:r>
    </w:p>
    <w:p>
      <w:pPr>
        <w:pStyle w:val="ListParagraph"/>
        <w:numPr>
          <w:ilvl w:val="0"/>
          <w:numId w:val="3"/>
        </w:numPr>
        <w:spacing w:after="80"/>
      </w:pPr>
      <w:r>
        <w:rPr>
          <w:rFonts w:ascii="Arial" w:cs="Arial" w:eastAsia="Arial" w:hAnsi="Arial"/>
          <w:color w:val="1E293B"/>
          <w:sz w:val="20"/>
          <w:szCs w:val="20"/>
        </w:rPr>
        <w:t xml:space="preserve">Ensemble model (RF + XGBoost + GB) trained on 100+ plant dataset</w:t>
      </w:r>
    </w:p>
    <w:p>
      <w:pPr>
        <w:pStyle w:val="ListParagraph"/>
        <w:numPr>
          <w:ilvl w:val="0"/>
          <w:numId w:val="3"/>
        </w:numPr>
        <w:spacing w:after="80"/>
      </w:pPr>
      <w:r>
        <w:rPr>
          <w:rFonts w:ascii="Arial" w:cs="Arial" w:eastAsia="Arial" w:hAnsi="Arial"/>
          <w:color w:val="1E293B"/>
          <w:sz w:val="20"/>
          <w:szCs w:val="20"/>
        </w:rPr>
        <w:t xml:space="preserve">AlphaEarth embeddings integrated as additional features</w:t>
      </w:r>
    </w:p>
    <w:p>
      <w:pPr>
        <w:pStyle w:val="ListParagraph"/>
        <w:numPr>
          <w:ilvl w:val="0"/>
          <w:numId w:val="3"/>
        </w:numPr>
        <w:spacing w:after="80"/>
      </w:pPr>
      <w:r>
        <w:rPr>
          <w:rFonts w:ascii="Arial" w:cs="Arial" w:eastAsia="Arial" w:hAnsi="Arial"/>
          <w:color w:val="1E293B"/>
          <w:sz w:val="20"/>
          <w:szCs w:val="20"/>
        </w:rPr>
        <w:t xml:space="preserve">Cross-validation R² &gt; 0.85, MAPE &lt; 15% on held-out test set</w:t>
      </w:r>
    </w:p>
    <w:p>
      <w:pPr>
        <w:pStyle w:val="ListParagraph"/>
        <w:numPr>
          <w:ilvl w:val="0"/>
          <w:numId w:val="3"/>
        </w:numPr>
        <w:spacing w:after="80"/>
      </w:pPr>
      <w:r>
        <w:rPr>
          <w:rFonts w:ascii="Arial" w:cs="Arial" w:eastAsia="Arial" w:hAnsi="Arial"/>
          <w:color w:val="1E293B"/>
          <w:sz w:val="20"/>
          <w:szCs w:val="20"/>
        </w:rPr>
        <w:t xml:space="preserve">SHAP analysis confirms GHI is top feature (validates model is learning physics)</w:t>
      </w:r>
    </w:p>
    <w:p>
      <w:pPr>
        <w:pStyle w:val="ListParagraph"/>
        <w:numPr>
          <w:ilvl w:val="0"/>
          <w:numId w:val="3"/>
        </w:numPr>
        <w:spacing w:after="80"/>
      </w:pPr>
      <w:r>
        <w:rPr>
          <w:rFonts w:ascii="Arial" w:cs="Arial" w:eastAsia="Arial" w:hAnsi="Arial"/>
          <w:color w:val="1E293B"/>
          <w:sz w:val="20"/>
          <w:szCs w:val="20"/>
        </w:rPr>
        <w:t xml:space="preserve">Model saved as .pkl with version metadata</w:t>
      </w:r>
    </w:p>
    <w:p/>
    <w:p>
      <w:pPr>
        <w:spacing w:after="120"/>
      </w:pPr>
      <w:r>
        <w:rPr>
          <w:rFonts w:ascii="Arial" w:cs="Arial" w:eastAsia="Arial" w:hAnsi="Arial"/>
          <w:color w:val="1E293B"/>
          <w:sz w:val="20"/>
          <w:szCs w:val="20"/>
        </w:rPr>
        <w:t xml:space="preserve">Stage 4 (Capacity + Generation) is complete when:</w:t>
      </w:r>
    </w:p>
    <w:p>
      <w:pPr>
        <w:pStyle w:val="ListParagraph"/>
        <w:numPr>
          <w:ilvl w:val="0"/>
          <w:numId w:val="3"/>
        </w:numPr>
        <w:spacing w:after="80"/>
      </w:pPr>
      <w:r>
        <w:rPr>
          <w:rFonts w:ascii="Arial" w:cs="Arial" w:eastAsia="Arial" w:hAnsi="Arial"/>
          <w:color w:val="1E293B"/>
          <w:sz w:val="20"/>
          <w:szCs w:val="20"/>
        </w:rPr>
        <w:t xml:space="preserve">GCR-based capacity estimation working for all 2,856 TG sites</w:t>
      </w:r>
    </w:p>
    <w:p>
      <w:pPr>
        <w:pStyle w:val="ListParagraph"/>
        <w:numPr>
          <w:ilvl w:val="0"/>
          <w:numId w:val="3"/>
        </w:numPr>
        <w:spacing w:after="80"/>
      </w:pPr>
      <w:r>
        <w:rPr>
          <w:rFonts w:ascii="Arial" w:cs="Arial" w:eastAsia="Arial" w:hAnsi="Arial"/>
          <w:color w:val="1E293B"/>
          <w:sz w:val="20"/>
          <w:szCs w:val="20"/>
        </w:rPr>
        <w:t xml:space="preserve">Hybrid physical+ML generation forecast for all sites</w:t>
      </w:r>
    </w:p>
    <w:p>
      <w:pPr>
        <w:pStyle w:val="ListParagraph"/>
        <w:numPr>
          <w:ilvl w:val="0"/>
          <w:numId w:val="3"/>
        </w:numPr>
        <w:spacing w:after="80"/>
      </w:pPr>
      <w:r>
        <w:rPr>
          <w:rFonts w:ascii="Arial" w:cs="Arial" w:eastAsia="Arial" w:hAnsi="Arial"/>
          <w:color w:val="1E293B"/>
          <w:sz w:val="20"/>
          <w:szCs w:val="20"/>
        </w:rPr>
        <w:t xml:space="preserve">Monthly profile (12-month array) for each site</w:t>
      </w:r>
    </w:p>
    <w:p>
      <w:pPr>
        <w:pStyle w:val="ListParagraph"/>
        <w:numPr>
          <w:ilvl w:val="0"/>
          <w:numId w:val="3"/>
        </w:numPr>
        <w:spacing w:after="80"/>
      </w:pPr>
      <w:r>
        <w:rPr>
          <w:rFonts w:ascii="Arial" w:cs="Arial" w:eastAsia="Arial" w:hAnsi="Arial"/>
          <w:color w:val="1E293B"/>
          <w:sz w:val="20"/>
          <w:szCs w:val="20"/>
        </w:rPr>
        <w:t xml:space="preserve">25-year lifetime projection with 0.5%/year degradation</w:t>
      </w:r>
    </w:p>
    <w:p>
      <w:pPr>
        <w:pStyle w:val="ListParagraph"/>
        <w:numPr>
          <w:ilvl w:val="0"/>
          <w:numId w:val="3"/>
        </w:numPr>
        <w:spacing w:after="80"/>
      </w:pPr>
      <w:r>
        <w:rPr>
          <w:rFonts w:ascii="Arial" w:cs="Arial" w:eastAsia="Arial" w:hAnsi="Arial"/>
          <w:color w:val="1E293B"/>
          <w:sz w:val="20"/>
          <w:szCs w:val="20"/>
        </w:rPr>
        <w:t xml:space="preserve">District-specific capacity factor (from NASA POWER GHI) replacing uniform 0.23</w:t>
      </w:r>
    </w:p>
    <w:p>
      <w:r>
        <w:br w:type="page"/>
      </w:r>
    </w:p>
    <w:p>
      <w:pPr>
        <w:pStyle w:val="Heading1"/>
        <w:pBdr>
          <w:bottom w:val="single" w:color="E8590C" w:sz="8" w:space="1"/>
        </w:pBdr>
        <w:spacing w:before="480" w:after="200"/>
      </w:pPr>
      <w:r>
        <w:rPr>
          <w:rFonts w:ascii="Arial" w:cs="Arial" w:eastAsia="Arial" w:hAnsi="Arial"/>
          <w:b/>
          <w:bCs/>
          <w:color w:val="E8590C"/>
          <w:sz w:val="36"/>
          <w:szCs w:val="36"/>
        </w:rPr>
        <w:t xml:space="preserve">PART 13 — FUTURE ROADMAP (Post Core Delivery)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5360"/>
      </w:tblGrid>
      <w:tr>
        <w:tc>
          <w:tcPr>
            <w:tcW w:type="dxa" w:w="1800"/>
            <w:tcBorders>
              <w:top w:val="single" w:color="CBD5E1" w:sz="1"/>
              <w:left w:val="single" w:color="CBD5E1" w:sz="1"/>
              <w:bottom w:val="single" w:color="CBD5E1" w:sz="1"/>
              <w:right w:val="single" w:color="CBD5E1" w:sz="1"/>
            </w:tcBorders>
            <w:shd w:fill="0F172A"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Timeline</w:t>
            </w:r>
          </w:p>
        </w:tc>
        <w:tc>
          <w:tcPr>
            <w:tcW w:type="dxa" w:w="2200"/>
            <w:tcBorders>
              <w:top w:val="single" w:color="CBD5E1" w:sz="1"/>
              <w:left w:val="single" w:color="CBD5E1" w:sz="1"/>
              <w:bottom w:val="single" w:color="CBD5E1" w:sz="1"/>
              <w:right w:val="single" w:color="CBD5E1" w:sz="1"/>
            </w:tcBorders>
            <w:shd w:fill="0F172A"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Feature</w:t>
            </w:r>
          </w:p>
        </w:tc>
        <w:tc>
          <w:tcPr>
            <w:tcW w:type="dxa" w:w="5360"/>
            <w:tcBorders>
              <w:top w:val="single" w:color="CBD5E1" w:sz="1"/>
              <w:left w:val="single" w:color="CBD5E1" w:sz="1"/>
              <w:bottom w:val="single" w:color="CBD5E1" w:sz="1"/>
              <w:right w:val="single" w:color="CBD5E1" w:sz="1"/>
            </w:tcBorders>
            <w:shd w:fill="0F172A"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Description</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Year 1 Post-Launch</w:t>
            </w:r>
          </w:p>
        </w:tc>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Real-Time Data Updates</w:t>
            </w:r>
          </w:p>
        </w:tc>
        <w:tc>
          <w:tcPr>
            <w:tcW w:type="dxa" w:w="53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Monthly NASA POWER refresh; auto-retraining when 10+ new plants added to database</w:t>
            </w:r>
          </w:p>
        </w:tc>
      </w:tr>
      <w:tr>
        <w:tc>
          <w:tcPr>
            <w:tcW w:type="dxa" w:w="18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Year 1</w:t>
            </w:r>
          </w:p>
        </w:tc>
        <w:tc>
          <w:tcPr>
            <w:tcW w:type="dxa" w:w="22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Hybrid Systems Optimizer</w:t>
            </w:r>
          </w:p>
        </w:tc>
        <w:tc>
          <w:tcPr>
            <w:tcW w:type="dxa" w:w="53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Co-optimise solar + wind + storage for a given land parcel using multi-objective genetic algorithm</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Year 1</w:t>
            </w:r>
          </w:p>
        </w:tc>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Portfolio Optimizer</w:t>
            </w:r>
          </w:p>
        </w:tc>
        <w:tc>
          <w:tcPr>
            <w:tcW w:type="dxa" w:w="53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Select optimal set of N sites to meet a capacity target with geographic diversity + grid constraints (ILP)</w:t>
            </w:r>
          </w:p>
        </w:tc>
      </w:tr>
      <w:tr>
        <w:tc>
          <w:tcPr>
            <w:tcW w:type="dxa" w:w="18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Year 2</w:t>
            </w:r>
          </w:p>
        </w:tc>
        <w:tc>
          <w:tcPr>
            <w:tcW w:type="dxa" w:w="22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Climate Risk Scoring</w:t>
            </w:r>
          </w:p>
        </w:tc>
        <w:tc>
          <w:tcPr>
            <w:tcW w:type="dxa" w:w="53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Cyclone, hail, flood, dust storm, extreme heat composite risk score per site; insurance premium adjustment</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Year 2</w:t>
            </w:r>
          </w:p>
        </w:tc>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Environmental Clearance Screener</w:t>
            </w:r>
          </w:p>
        </w:tc>
        <w:tc>
          <w:tcPr>
            <w:tcW w:type="dxa" w:w="53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Automated EIA category determination (A/B1/B2); estimated approval timeline per site</w:t>
            </w:r>
          </w:p>
        </w:tc>
      </w:tr>
      <w:tr>
        <w:tc>
          <w:tcPr>
            <w:tcW w:type="dxa" w:w="18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Year 2</w:t>
            </w:r>
          </w:p>
        </w:tc>
        <w:tc>
          <w:tcPr>
            <w:tcW w:type="dxa" w:w="22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Floating Solar Module</w:t>
            </w:r>
          </w:p>
        </w:tc>
        <w:tc>
          <w:tcPr>
            <w:tcW w:type="dxa" w:w="53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Identify suitable water bodies (reservoirs, dams); India potential ~50 GW if 10% surface used</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Year 3</w:t>
            </w:r>
          </w:p>
        </w:tc>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Agrivoltaics Assessment</w:t>
            </w:r>
          </w:p>
        </w:tc>
        <w:tc>
          <w:tcPr>
            <w:tcW w:type="dxa" w:w="53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Dual-use solar + crop analysis for marginal agricultural lands; shade-tolerant crop matching</w:t>
            </w:r>
          </w:p>
        </w:tc>
      </w:tr>
      <w:tr>
        <w:tc>
          <w:tcPr>
            <w:tcW w:type="dxa" w:w="18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Year 3</w:t>
            </w:r>
          </w:p>
        </w:tc>
        <w:tc>
          <w:tcPr>
            <w:tcW w:type="dxa" w:w="22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International Expansion</w:t>
            </w:r>
          </w:p>
        </w:tc>
        <w:tc>
          <w:tcPr>
            <w:tcW w:type="dxa" w:w="53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Bangladesh, Sri Lanka, sub-Saharan Africa using same framework with country-specific data</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Year 3+</w:t>
            </w:r>
          </w:p>
        </w:tc>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Deep Learning on Satellite</w:t>
            </w:r>
          </w:p>
        </w:tc>
        <w:tc>
          <w:tcPr>
            <w:tcW w:type="dxa" w:w="53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CNN-based land suitability directly from Sentinel-2 imagery; replaces LULC classification</w:t>
            </w:r>
          </w:p>
        </w:tc>
      </w:tr>
    </w:tbl>
    <w:p/>
    <w:p>
      <w:pPr>
        <w:pStyle w:val="Heading1"/>
        <w:pBdr>
          <w:bottom w:val="single" w:color="E8590C" w:sz="8" w:space="1"/>
        </w:pBdr>
        <w:spacing w:before="480" w:after="200"/>
      </w:pPr>
      <w:r>
        <w:rPr>
          <w:rFonts w:ascii="Arial" w:cs="Arial" w:eastAsia="Arial" w:hAnsi="Arial"/>
          <w:b/>
          <w:bCs/>
          <w:color w:val="E8590C"/>
          <w:sz w:val="36"/>
          <w:szCs w:val="36"/>
        </w:rPr>
        <w:t xml:space="preserve">DOCUMENT INFORMATION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BD5E1" w:sz="1"/>
              <w:left w:val="single" w:color="CBD5E1" w:sz="1"/>
              <w:bottom w:val="single" w:color="CBD5E1" w:sz="1"/>
              <w:right w:val="single" w:color="CBD5E1" w:sz="1"/>
            </w:tcBorders>
            <w:shd w:fill="0F172A"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Field</w:t>
            </w:r>
          </w:p>
        </w:tc>
        <w:tc>
          <w:tcPr>
            <w:tcW w:type="dxa" w:w="6960"/>
            <w:tcBorders>
              <w:top w:val="single" w:color="CBD5E1" w:sz="1"/>
              <w:left w:val="single" w:color="CBD5E1" w:sz="1"/>
              <w:bottom w:val="single" w:color="CBD5E1" w:sz="1"/>
              <w:right w:val="single" w:color="CBD5E1" w:sz="1"/>
            </w:tcBorders>
            <w:shd w:fill="0F172A"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Detail</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Document Version</w:t>
            </w:r>
          </w:p>
        </w:tc>
        <w:tc>
          <w:tcPr>
            <w:tcW w:type="dxa" w:w="69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3.0 — Complete post-mentor-review update</w:t>
            </w:r>
          </w:p>
        </w:tc>
      </w:tr>
      <w:tr>
        <w:tc>
          <w:tcPr>
            <w:tcW w:type="dxa" w:w="24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Date</w:t>
            </w:r>
          </w:p>
        </w:tc>
        <w:tc>
          <w:tcPr>
            <w:tcW w:type="dxa" w:w="69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March 2026</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Covers</w:t>
            </w:r>
          </w:p>
        </w:tc>
        <w:tc>
          <w:tcPr>
            <w:tcW w:type="dxa" w:w="69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All work done: Stages 0–2 complete; all research from every session included</w:t>
            </w:r>
          </w:p>
        </w:tc>
      </w:tr>
      <w:tr>
        <w:tc>
          <w:tcPr>
            <w:tcW w:type="dxa" w:w="24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Key Corrections vs v1/v2</w:t>
            </w:r>
          </w:p>
        </w:tc>
        <w:tc>
          <w:tcPr>
            <w:tcW w:type="dxa" w:w="69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AP rooftop corrected 490MW→198MW; all solar values updated to CEA 31.03.2024 exact figures; AlphaEarth integration added; 8 flaws documented with fixes; training label guidance added</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Primary Source Documents</w:t>
            </w:r>
          </w:p>
        </w:tc>
        <w:tc>
          <w:tcPr>
            <w:tcW w:type="dxa" w:w="69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TGERC RST Order FY2023-24 | APERC SEP May 2023 | CEA RES Capacity 31.03.2024</w:t>
            </w:r>
          </w:p>
        </w:tc>
      </w:tr>
      <w:tr>
        <w:tc>
          <w:tcPr>
            <w:tcW w:type="dxa" w:w="24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Files Produced</w:t>
            </w:r>
          </w:p>
        </w:tc>
        <w:tc>
          <w:tcPr>
            <w:tcW w:type="dxa" w:w="69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SolarSite_District_Dataset_v2.xlsx | SolarSite_India_Team_Briefing.md | This document</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Licence</w:t>
            </w:r>
          </w:p>
        </w:tc>
        <w:tc>
          <w:tcPr>
            <w:tcW w:type="dxa" w:w="69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Documentation: CC-BY 4.0 | Code: MIT</w:t>
            </w:r>
          </w:p>
        </w:tc>
      </w:tr>
      <w:tr>
        <w:tc>
          <w:tcPr>
            <w:tcW w:type="dxa" w:w="24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Next Milestone</w:t>
            </w:r>
          </w:p>
        </w:tc>
        <w:tc>
          <w:tcPr>
            <w:tcW w:type="dxa" w:w="69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ML training set assembled (100+ plants with CEA generation labels) — Week 3 target</w:t>
            </w:r>
          </w:p>
        </w:tc>
      </w:tr>
    </w:tbl>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5E1" w:sz="4" w:space="1"/>
      </w:pBdr>
      <w:jc w:val="center"/>
    </w:pPr>
    <w:r>
      <w:rPr>
        <w:rFonts w:ascii="Arial" w:cs="Arial" w:eastAsia="Arial" w:hAnsi="Arial"/>
        <w:color w:val="94A3B8"/>
        <w:sz w:val="16"/>
        <w:szCs w:val="16"/>
      </w:rPr>
      <w:t xml:space="preserve">Confidential — For Team Use Only  |  Page </w:t>
    </w:r>
    <w:r>
      <w:rPr>
        <w:rFonts w:ascii="Arial" w:cs="Arial" w:eastAsia="Arial" w:hAnsi="Arial"/>
        <w:color w:val="94A3B8"/>
        <w:sz w:val="16"/>
        <w:szCs w:val="16"/>
      </w:rPr>
      <w:fldChar w:fldCharType="begin"/>
      <w:instrText xml:space="preserve">PAGE</w:instrText>
      <w:fldChar w:fldCharType="separate"/>
      <w:fldChar w:fldCharType="end"/>
    </w:r>
    <w:r>
      <w:rPr>
        <w:rFonts w:ascii="Arial" w:cs="Arial" w:eastAsia="Arial" w:hAnsi="Arial"/>
        <w:color w:val="94A3B8"/>
        <w:sz w:val="16"/>
        <w:szCs w:val="16"/>
      </w:rPr>
      <w:t xml:space="preserve"> of </w:t>
    </w:r>
    <w:r>
      <w:rPr>
        <w:rFonts w:ascii="Arial" w:cs="Arial" w:eastAsia="Arial" w:hAnsi="Arial"/>
        <w:color w:val="94A3B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8590C" w:sz="4" w:space="1"/>
      </w:pBdr>
    </w:pPr>
    <w:r>
      <w:rPr>
        <w:rFonts w:ascii="Arial" w:cs="Arial" w:eastAsia="Arial" w:hAnsi="Arial"/>
        <w:color w:val="0E7490"/>
        <w:sz w:val="16"/>
        <w:szCs w:val="16"/>
      </w:rPr>
      <w:t xml:space="preserve">SolarSite-India — Complete Project Documentation v3.0</w:t>
    </w:r>
    <w:r>
      <w:rPr>
        <w:rFonts w:ascii="Arial" w:cs="Arial" w:eastAsia="Arial" w:hAnsi="Arial"/>
        <w:color w:val="94A3B8"/>
        <w:sz w:val="16"/>
        <w:szCs w:val="16"/>
      </w:rPr>
      <w:t xml:space="preserve">  |  March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200"/>
      <w:outlineLvl w:val="0"/>
    </w:pPr>
    <w:rPr>
      <w:rFonts w:ascii="Arial" w:cs="Arial" w:eastAsia="Arial" w:hAnsi="Arial"/>
      <w:b/>
      <w:bCs/>
      <w:color w:val="E8590C"/>
      <w:sz w:val="36"/>
      <w:szCs w:val="36"/>
    </w:rPr>
  </w:style>
  <w:style w:type="paragraph" w:styleId="Heading2">
    <w:name w:val="Heading 2"/>
    <w:basedOn w:val="Normal"/>
    <w:next w:val="Normal"/>
    <w:qFormat/>
    <w:pPr>
      <w:spacing w:before="360" w:after="160"/>
      <w:outlineLvl w:val="1"/>
    </w:pPr>
    <w:rPr>
      <w:rFonts w:ascii="Arial" w:cs="Arial" w:eastAsia="Arial" w:hAnsi="Arial"/>
      <w:b/>
      <w:bCs/>
      <w:color w:val="1E293B"/>
      <w:sz w:val="28"/>
      <w:szCs w:val="28"/>
    </w:rPr>
  </w:style>
  <w:style w:type="paragraph" w:styleId="Heading3">
    <w:name w:val="Heading 3"/>
    <w:basedOn w:val="Normal"/>
    <w:next w:val="Normal"/>
    <w:qFormat/>
    <w:pPr>
      <w:spacing w:before="280" w:after="120"/>
      <w:outlineLvl w:val="2"/>
    </w:pPr>
    <w:rPr>
      <w:rFonts w:ascii="Arial" w:cs="Arial" w:eastAsia="Arial" w:hAnsi="Arial"/>
      <w:b/>
      <w:bCs/>
      <w:color w:val="0E749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2026-03-25T19:12:49.954Z</dcterms:created>
  <dcterms:modified xsi:type="dcterms:W3CDTF">2026-03-25T19:12:49.955Z</dcterms:modified>
</cp:coreProperties>
</file>

<file path=docProps/custom.xml><?xml version="1.0" encoding="utf-8"?>
<Properties xmlns="http://schemas.openxmlformats.org/officeDocument/2006/custom-properties" xmlns:vt="http://schemas.openxmlformats.org/officeDocument/2006/docPropsVTypes"/>
</file>