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EBD8" w14:textId="2FCDD8E2" w:rsidR="008F749C" w:rsidRDefault="00FD16AF" w:rsidP="00EF6E08">
      <w:pPr>
        <w:rPr>
          <w:b/>
          <w:bCs/>
          <w:sz w:val="24"/>
          <w:szCs w:val="24"/>
        </w:rPr>
      </w:pPr>
      <w:r w:rsidRPr="00FD16AF">
        <w:rPr>
          <w:b/>
          <w:bCs/>
          <w:sz w:val="24"/>
          <w:szCs w:val="24"/>
        </w:rPr>
        <w:t xml:space="preserve">Project: </w:t>
      </w:r>
      <w:proofErr w:type="spellStart"/>
      <w:r w:rsidRPr="00FD16AF">
        <w:rPr>
          <w:b/>
          <w:bCs/>
          <w:sz w:val="24"/>
          <w:szCs w:val="24"/>
        </w:rPr>
        <w:t>AuraGlow</w:t>
      </w:r>
      <w:proofErr w:type="spellEnd"/>
      <w:r w:rsidRPr="00FD16AF">
        <w:rPr>
          <w:b/>
          <w:bCs/>
          <w:sz w:val="24"/>
          <w:szCs w:val="24"/>
        </w:rPr>
        <w:t xml:space="preserve"> Organics Performance &amp; Retention Audit</w:t>
      </w:r>
    </w:p>
    <w:p w14:paraId="7B609E60" w14:textId="77777777" w:rsidR="00FD16AF" w:rsidRPr="00486702" w:rsidRDefault="00FD16AF" w:rsidP="00EF6E08">
      <w:pPr>
        <w:rPr>
          <w:sz w:val="24"/>
          <w:szCs w:val="24"/>
        </w:rPr>
      </w:pPr>
    </w:p>
    <w:p w14:paraId="568B1799" w14:textId="77777777" w:rsidR="008214FC" w:rsidRPr="00486702" w:rsidRDefault="008214FC" w:rsidP="008214FC">
      <w:pPr>
        <w:rPr>
          <w:b/>
          <w:bCs/>
          <w:sz w:val="24"/>
          <w:szCs w:val="24"/>
        </w:rPr>
      </w:pPr>
      <w:r w:rsidRPr="00486702">
        <w:rPr>
          <w:b/>
          <w:bCs/>
          <w:sz w:val="24"/>
          <w:szCs w:val="24"/>
        </w:rPr>
        <w:t>Section 1: Data Infrastructure Audit &amp; Hygiene Discoveries</w:t>
      </w:r>
    </w:p>
    <w:p w14:paraId="3115306F" w14:textId="77777777" w:rsidR="008214FC" w:rsidRPr="00486702" w:rsidRDefault="008214FC" w:rsidP="008214FC">
      <w:pPr>
        <w:numPr>
          <w:ilvl w:val="0"/>
          <w:numId w:val="8"/>
        </w:numPr>
        <w:rPr>
          <w:sz w:val="24"/>
          <w:szCs w:val="24"/>
        </w:rPr>
      </w:pPr>
      <w:r w:rsidRPr="00486702">
        <w:rPr>
          <w:b/>
          <w:bCs/>
          <w:sz w:val="24"/>
          <w:szCs w:val="24"/>
        </w:rPr>
        <w:t>Database Schema &amp; Structural Verification:</w:t>
      </w:r>
      <w:r w:rsidRPr="00486702">
        <w:rPr>
          <w:sz w:val="24"/>
          <w:szCs w:val="24"/>
        </w:rPr>
        <w:t xml:space="preserve"> Conducted a structural audit using administrative metadata commands (PRAGMA </w:t>
      </w:r>
      <w:proofErr w:type="spellStart"/>
      <w:r w:rsidRPr="00486702">
        <w:rPr>
          <w:sz w:val="24"/>
          <w:szCs w:val="24"/>
        </w:rPr>
        <w:t>show_tables</w:t>
      </w:r>
      <w:proofErr w:type="spellEnd"/>
      <w:r w:rsidRPr="00486702">
        <w:rPr>
          <w:sz w:val="24"/>
          <w:szCs w:val="24"/>
        </w:rPr>
        <w:t xml:space="preserve">;) to verify data model integrity before executing analytical calculations. Confirmed that all 7 core operational tables (customers, orders, </w:t>
      </w:r>
      <w:proofErr w:type="spellStart"/>
      <w:r w:rsidRPr="00486702">
        <w:rPr>
          <w:sz w:val="24"/>
          <w:szCs w:val="24"/>
        </w:rPr>
        <w:t>order_items</w:t>
      </w:r>
      <w:proofErr w:type="spellEnd"/>
      <w:r w:rsidRPr="00486702">
        <w:rPr>
          <w:sz w:val="24"/>
          <w:szCs w:val="24"/>
        </w:rPr>
        <w:t xml:space="preserve">, </w:t>
      </w:r>
      <w:proofErr w:type="spellStart"/>
      <w:r w:rsidRPr="00486702">
        <w:rPr>
          <w:sz w:val="24"/>
          <w:szCs w:val="24"/>
        </w:rPr>
        <w:t>ad_spend</w:t>
      </w:r>
      <w:proofErr w:type="spellEnd"/>
      <w:r w:rsidRPr="00486702">
        <w:rPr>
          <w:sz w:val="24"/>
          <w:szCs w:val="24"/>
        </w:rPr>
        <w:t xml:space="preserve">, sessions, regions, and </w:t>
      </w:r>
      <w:proofErr w:type="spellStart"/>
      <w:r w:rsidRPr="00486702">
        <w:rPr>
          <w:sz w:val="24"/>
          <w:szCs w:val="24"/>
        </w:rPr>
        <w:t>promo_calendar</w:t>
      </w:r>
      <w:proofErr w:type="spellEnd"/>
      <w:r w:rsidRPr="00486702">
        <w:rPr>
          <w:sz w:val="24"/>
          <w:szCs w:val="24"/>
        </w:rPr>
        <w:t>) were present, uncorrupted, and properly cross-referenced. This ensured that multi-table relational joins would execute without throwing missing-relation or structure validation errors.</w:t>
      </w:r>
    </w:p>
    <w:p w14:paraId="14EFE2BA" w14:textId="77777777" w:rsidR="008214FC" w:rsidRPr="00486702" w:rsidRDefault="008214FC" w:rsidP="008214FC">
      <w:pPr>
        <w:numPr>
          <w:ilvl w:val="0"/>
          <w:numId w:val="8"/>
        </w:numPr>
        <w:rPr>
          <w:sz w:val="24"/>
          <w:szCs w:val="24"/>
        </w:rPr>
      </w:pPr>
      <w:r w:rsidRPr="00486702">
        <w:rPr>
          <w:b/>
          <w:bCs/>
          <w:sz w:val="24"/>
          <w:szCs w:val="24"/>
        </w:rPr>
        <w:t>Internal System &amp; Testing Noise:</w:t>
      </w:r>
      <w:r w:rsidRPr="00486702">
        <w:rPr>
          <w:sz w:val="24"/>
          <w:szCs w:val="24"/>
        </w:rPr>
        <w:t xml:space="preserve"> Audited the customers database profile table using value counts on the system flags. Discovered </w:t>
      </w:r>
      <w:r w:rsidRPr="00486702">
        <w:rPr>
          <w:b/>
          <w:bCs/>
          <w:sz w:val="24"/>
          <w:szCs w:val="24"/>
        </w:rPr>
        <w:t>30 internal/test staff accounts</w:t>
      </w:r>
      <w:r w:rsidRPr="00486702">
        <w:rPr>
          <w:sz w:val="24"/>
          <w:szCs w:val="24"/>
        </w:rPr>
        <w:t xml:space="preserve"> (</w:t>
      </w:r>
      <w:proofErr w:type="spellStart"/>
      <w:r w:rsidRPr="00486702">
        <w:rPr>
          <w:sz w:val="24"/>
          <w:szCs w:val="24"/>
        </w:rPr>
        <w:t>is_internal</w:t>
      </w:r>
      <w:proofErr w:type="spellEnd"/>
      <w:r w:rsidRPr="00486702">
        <w:rPr>
          <w:sz w:val="24"/>
          <w:szCs w:val="24"/>
        </w:rPr>
        <w:t xml:space="preserve"> = TRUE) alongside </w:t>
      </w:r>
      <w:r w:rsidRPr="00486702">
        <w:rPr>
          <w:b/>
          <w:bCs/>
          <w:sz w:val="24"/>
          <w:szCs w:val="24"/>
        </w:rPr>
        <w:t>204,368 genuine customer records</w:t>
      </w:r>
      <w:r w:rsidRPr="00486702">
        <w:rPr>
          <w:sz w:val="24"/>
          <w:szCs w:val="24"/>
        </w:rPr>
        <w:t xml:space="preserve">. These 30 profiles were systematically excluded from all subsequent marketing and conversion performance queries, as internal employee testing </w:t>
      </w:r>
      <w:proofErr w:type="spellStart"/>
      <w:r w:rsidRPr="00486702">
        <w:rPr>
          <w:sz w:val="24"/>
          <w:szCs w:val="24"/>
        </w:rPr>
        <w:t>behavior</w:t>
      </w:r>
      <w:proofErr w:type="spellEnd"/>
      <w:r w:rsidRPr="00486702">
        <w:rPr>
          <w:sz w:val="24"/>
          <w:szCs w:val="24"/>
        </w:rPr>
        <w:t xml:space="preserve"> does not reflect true organic market consumer response and would inflate conversion lift.</w:t>
      </w:r>
    </w:p>
    <w:p w14:paraId="51D9A939" w14:textId="77777777" w:rsidR="008214FC" w:rsidRPr="00486702" w:rsidRDefault="008214FC" w:rsidP="008214FC">
      <w:pPr>
        <w:numPr>
          <w:ilvl w:val="0"/>
          <w:numId w:val="8"/>
        </w:numPr>
        <w:rPr>
          <w:sz w:val="24"/>
          <w:szCs w:val="24"/>
        </w:rPr>
      </w:pPr>
      <w:r w:rsidRPr="00486702">
        <w:rPr>
          <w:b/>
          <w:bCs/>
          <w:sz w:val="24"/>
          <w:szCs w:val="24"/>
        </w:rPr>
        <w:t>Transaction Status Volatility:</w:t>
      </w:r>
      <w:r w:rsidRPr="00486702">
        <w:rPr>
          <w:sz w:val="24"/>
          <w:szCs w:val="24"/>
        </w:rPr>
        <w:t xml:space="preserve"> Audited the transaction records within the orders table. Discovered </w:t>
      </w:r>
      <w:r w:rsidRPr="00486702">
        <w:rPr>
          <w:b/>
          <w:bCs/>
          <w:sz w:val="24"/>
          <w:szCs w:val="24"/>
        </w:rPr>
        <w:t>327,588 completed records</w:t>
      </w:r>
      <w:r w:rsidRPr="00486702">
        <w:rPr>
          <w:sz w:val="24"/>
          <w:szCs w:val="24"/>
        </w:rPr>
        <w:t xml:space="preserve">, </w:t>
      </w:r>
      <w:r w:rsidRPr="00486702">
        <w:rPr>
          <w:b/>
          <w:bCs/>
          <w:sz w:val="24"/>
          <w:szCs w:val="24"/>
        </w:rPr>
        <w:t>6,979 cancelled records</w:t>
      </w:r>
      <w:r w:rsidRPr="00486702">
        <w:rPr>
          <w:sz w:val="24"/>
          <w:szCs w:val="24"/>
        </w:rPr>
        <w:t xml:space="preserve">, and </w:t>
      </w:r>
      <w:r w:rsidRPr="00486702">
        <w:rPr>
          <w:b/>
          <w:bCs/>
          <w:sz w:val="24"/>
          <w:szCs w:val="24"/>
        </w:rPr>
        <w:t>15,352 refunded records</w:t>
      </w:r>
      <w:r w:rsidRPr="00486702">
        <w:rPr>
          <w:sz w:val="24"/>
          <w:szCs w:val="24"/>
        </w:rPr>
        <w:t xml:space="preserve">. To ensure financial reporting integrity, a strict filter was applied across all business queries to capture </w:t>
      </w:r>
      <w:r w:rsidRPr="00486702">
        <w:rPr>
          <w:i/>
          <w:iCs/>
          <w:sz w:val="24"/>
          <w:szCs w:val="24"/>
        </w:rPr>
        <w:t>only</w:t>
      </w:r>
      <w:r w:rsidRPr="00486702">
        <w:rPr>
          <w:sz w:val="24"/>
          <w:szCs w:val="24"/>
        </w:rPr>
        <w:t xml:space="preserve"> transactions where status = 'completed'. Counting uncompleted or returned orders would give a false-positive representation of top-line revenue that the business never actually retained.</w:t>
      </w:r>
    </w:p>
    <w:p w14:paraId="263DDDA1" w14:textId="77777777" w:rsidR="008214FC" w:rsidRPr="00486702" w:rsidRDefault="008214FC" w:rsidP="008214FC">
      <w:pPr>
        <w:numPr>
          <w:ilvl w:val="0"/>
          <w:numId w:val="8"/>
        </w:numPr>
        <w:rPr>
          <w:sz w:val="24"/>
          <w:szCs w:val="24"/>
        </w:rPr>
      </w:pPr>
      <w:r w:rsidRPr="00486702">
        <w:rPr>
          <w:b/>
          <w:bCs/>
          <w:sz w:val="24"/>
          <w:szCs w:val="24"/>
        </w:rPr>
        <w:t>Experimental Group Geographic Mapping:</w:t>
      </w:r>
      <w:r w:rsidRPr="00486702">
        <w:rPr>
          <w:sz w:val="24"/>
          <w:szCs w:val="24"/>
        </w:rPr>
        <w:t xml:space="preserve"> Audited the data maps inside the regions table to verify the distribution of the A/B test setup. Confirmed that the 10 operational territories are cleanly split into two equal structural clusters of 5 regions each, allowing for a balanced group comparison:</w:t>
      </w:r>
    </w:p>
    <w:p w14:paraId="2E6C2EE0" w14:textId="77777777" w:rsidR="008214FC" w:rsidRPr="00486702" w:rsidRDefault="008214FC" w:rsidP="008214FC">
      <w:pPr>
        <w:numPr>
          <w:ilvl w:val="1"/>
          <w:numId w:val="8"/>
        </w:numPr>
        <w:rPr>
          <w:sz w:val="24"/>
          <w:szCs w:val="24"/>
        </w:rPr>
      </w:pPr>
      <w:r w:rsidRPr="00486702">
        <w:rPr>
          <w:i/>
          <w:iCs/>
          <w:sz w:val="24"/>
          <w:szCs w:val="24"/>
        </w:rPr>
        <w:t>Treatment (Test) Cohort:</w:t>
      </w:r>
      <w:r w:rsidRPr="00486702">
        <w:rPr>
          <w:sz w:val="24"/>
          <w:szCs w:val="24"/>
        </w:rPr>
        <w:t xml:space="preserve"> California, Northeast, Pacific Northwest, Mid-Atlantic, Florida.</w:t>
      </w:r>
    </w:p>
    <w:p w14:paraId="074F027F" w14:textId="77777777" w:rsidR="008214FC" w:rsidRPr="00486702" w:rsidRDefault="008214FC" w:rsidP="008214FC">
      <w:pPr>
        <w:numPr>
          <w:ilvl w:val="1"/>
          <w:numId w:val="8"/>
        </w:numPr>
        <w:rPr>
          <w:sz w:val="24"/>
          <w:szCs w:val="24"/>
        </w:rPr>
      </w:pPr>
      <w:r w:rsidRPr="00486702">
        <w:rPr>
          <w:i/>
          <w:iCs/>
          <w:sz w:val="24"/>
          <w:szCs w:val="24"/>
        </w:rPr>
        <w:t>Control (Holdout) Cohort:</w:t>
      </w:r>
      <w:r w:rsidRPr="00486702">
        <w:rPr>
          <w:sz w:val="24"/>
          <w:szCs w:val="24"/>
        </w:rPr>
        <w:t xml:space="preserve"> Texas, Southeast, Great Lakes, Midwest Plains, Mountain.</w:t>
      </w:r>
    </w:p>
    <w:p w14:paraId="7D1F81AC" w14:textId="77777777" w:rsidR="008214FC" w:rsidRPr="00486702" w:rsidRDefault="00000000" w:rsidP="008214FC">
      <w:pPr>
        <w:rPr>
          <w:sz w:val="24"/>
          <w:szCs w:val="24"/>
        </w:rPr>
      </w:pPr>
      <w:r>
        <w:rPr>
          <w:sz w:val="24"/>
          <w:szCs w:val="24"/>
        </w:rPr>
        <w:pict w14:anchorId="4152E0F9">
          <v:rect id="_x0000_i1025" style="width:0;height:1.5pt" o:hralign="center" o:hrstd="t" o:hr="t" fillcolor="#a0a0a0" stroked="f"/>
        </w:pict>
      </w:r>
    </w:p>
    <w:p w14:paraId="3CBEA4E3" w14:textId="77777777" w:rsidR="008214FC" w:rsidRPr="00486702" w:rsidRDefault="008214FC" w:rsidP="008214FC">
      <w:pPr>
        <w:rPr>
          <w:b/>
          <w:bCs/>
          <w:sz w:val="24"/>
          <w:szCs w:val="24"/>
        </w:rPr>
      </w:pPr>
      <w:r w:rsidRPr="00486702">
        <w:rPr>
          <w:b/>
          <w:bCs/>
          <w:sz w:val="24"/>
          <w:szCs w:val="24"/>
        </w:rPr>
        <w:t>Section 2: Question 1 — Spring Refill Promotion Assumptions</w:t>
      </w:r>
    </w:p>
    <w:p w14:paraId="78C8669D" w14:textId="77777777" w:rsidR="008214FC" w:rsidRPr="00486702" w:rsidRDefault="008214FC" w:rsidP="008214FC">
      <w:pPr>
        <w:numPr>
          <w:ilvl w:val="0"/>
          <w:numId w:val="9"/>
        </w:numPr>
        <w:rPr>
          <w:sz w:val="24"/>
          <w:szCs w:val="24"/>
        </w:rPr>
      </w:pPr>
      <w:r w:rsidRPr="00486702">
        <w:rPr>
          <w:b/>
          <w:bCs/>
          <w:sz w:val="24"/>
          <w:szCs w:val="24"/>
        </w:rPr>
        <w:t>Standardized Baseline Period:</w:t>
      </w:r>
      <w:r w:rsidRPr="00486702">
        <w:rPr>
          <w:sz w:val="24"/>
          <w:szCs w:val="24"/>
        </w:rPr>
        <w:t xml:space="preserve"> A strict </w:t>
      </w:r>
      <w:r w:rsidRPr="00486702">
        <w:rPr>
          <w:b/>
          <w:bCs/>
          <w:sz w:val="24"/>
          <w:szCs w:val="24"/>
        </w:rPr>
        <w:t>31-day measurement window</w:t>
      </w:r>
      <w:r w:rsidRPr="00486702">
        <w:rPr>
          <w:sz w:val="24"/>
          <w:szCs w:val="24"/>
        </w:rPr>
        <w:t xml:space="preserve"> (March 1 to March 31, 2026) was established to evaluate the campaign. This period perfectly encapsulates the active lifecycle of the promotion as defined in the company calendar, providing a clean comparison before long-term customer retention or purchase-hangover effects occur.</w:t>
      </w:r>
    </w:p>
    <w:p w14:paraId="3B15802F" w14:textId="77777777" w:rsidR="008214FC" w:rsidRPr="00486702" w:rsidRDefault="008214FC" w:rsidP="008214FC">
      <w:pPr>
        <w:numPr>
          <w:ilvl w:val="0"/>
          <w:numId w:val="9"/>
        </w:numPr>
        <w:rPr>
          <w:sz w:val="24"/>
          <w:szCs w:val="24"/>
        </w:rPr>
      </w:pPr>
      <w:r w:rsidRPr="00486702">
        <w:rPr>
          <w:b/>
          <w:bCs/>
          <w:sz w:val="24"/>
          <w:szCs w:val="24"/>
        </w:rPr>
        <w:lastRenderedPageBreak/>
        <w:t>Geographic Baseline Equivalency:</w:t>
      </w:r>
      <w:r w:rsidRPr="00486702">
        <w:rPr>
          <w:sz w:val="24"/>
          <w:szCs w:val="24"/>
        </w:rPr>
        <w:t xml:space="preserve"> It is assumed that the 5 Test regions and the 5 Holdout regions possess comparable organic purchasing baselines. This structural assumption is necessary to calculate the incremental lift by directly subtracting the Holdout metrics from the Test metrics.</w:t>
      </w:r>
    </w:p>
    <w:p w14:paraId="42E35B53" w14:textId="77777777" w:rsidR="008214FC" w:rsidRPr="00486702" w:rsidRDefault="00000000" w:rsidP="008214FC">
      <w:pPr>
        <w:rPr>
          <w:sz w:val="24"/>
          <w:szCs w:val="24"/>
        </w:rPr>
      </w:pPr>
      <w:r>
        <w:rPr>
          <w:sz w:val="24"/>
          <w:szCs w:val="24"/>
        </w:rPr>
        <w:pict w14:anchorId="238D8222">
          <v:rect id="_x0000_i1026" style="width:0;height:1.5pt" o:hralign="center" o:hrstd="t" o:hr="t" fillcolor="#a0a0a0" stroked="f"/>
        </w:pict>
      </w:r>
    </w:p>
    <w:p w14:paraId="2733473C" w14:textId="77777777" w:rsidR="008214FC" w:rsidRPr="00486702" w:rsidRDefault="008214FC" w:rsidP="008214FC">
      <w:pPr>
        <w:rPr>
          <w:b/>
          <w:bCs/>
          <w:sz w:val="24"/>
          <w:szCs w:val="24"/>
        </w:rPr>
      </w:pPr>
      <w:r w:rsidRPr="00486702">
        <w:rPr>
          <w:b/>
          <w:bCs/>
          <w:sz w:val="24"/>
          <w:szCs w:val="24"/>
        </w:rPr>
        <w:t>Section 3: Question 2 — 90-Day Cohort Retention Hygiene</w:t>
      </w:r>
    </w:p>
    <w:p w14:paraId="75409898" w14:textId="77777777" w:rsidR="008214FC" w:rsidRPr="00486702" w:rsidRDefault="008214FC" w:rsidP="008214FC">
      <w:pPr>
        <w:numPr>
          <w:ilvl w:val="0"/>
          <w:numId w:val="10"/>
        </w:numPr>
        <w:rPr>
          <w:sz w:val="24"/>
          <w:szCs w:val="24"/>
        </w:rPr>
      </w:pPr>
      <w:r w:rsidRPr="00486702">
        <w:rPr>
          <w:b/>
          <w:bCs/>
          <w:sz w:val="24"/>
          <w:szCs w:val="24"/>
        </w:rPr>
        <w:t>90-Day Cohort Window Capping:</w:t>
      </w:r>
      <w:r w:rsidRPr="00486702">
        <w:rPr>
          <w:sz w:val="24"/>
          <w:szCs w:val="24"/>
        </w:rPr>
        <w:t xml:space="preserve"> Implemented a comprehensive cohort analysis grouped by calendar months using DATE_TRUNC to track changing customer retention trends over time. To maintain an unbiased historical baseline and avoid right-censoring data drops, the observation pool was restricted to include </w:t>
      </w:r>
      <w:r w:rsidRPr="00486702">
        <w:rPr>
          <w:i/>
          <w:iCs/>
          <w:sz w:val="24"/>
          <w:szCs w:val="24"/>
        </w:rPr>
        <w:t>only</w:t>
      </w:r>
      <w:r w:rsidRPr="00486702">
        <w:rPr>
          <w:sz w:val="24"/>
          <w:szCs w:val="24"/>
        </w:rPr>
        <w:t xml:space="preserve"> customer profiles registered between January 1, 2025, and March 31, 2026. This guaranteed that every single consumer cohort possessed a complete 90-day performance window before the final data extract boundary of June 30, 2026.</w:t>
      </w:r>
    </w:p>
    <w:p w14:paraId="4A2AEA37" w14:textId="77777777" w:rsidR="008214FC" w:rsidRPr="00486702" w:rsidRDefault="008214FC" w:rsidP="008214FC">
      <w:pPr>
        <w:numPr>
          <w:ilvl w:val="0"/>
          <w:numId w:val="10"/>
        </w:numPr>
        <w:rPr>
          <w:sz w:val="24"/>
          <w:szCs w:val="24"/>
        </w:rPr>
      </w:pPr>
      <w:r w:rsidRPr="00486702">
        <w:rPr>
          <w:b/>
          <w:bCs/>
          <w:sz w:val="24"/>
          <w:szCs w:val="24"/>
        </w:rPr>
        <w:t>Product Category Entry-Point Matrix:</w:t>
      </w:r>
      <w:r w:rsidRPr="00486702">
        <w:rPr>
          <w:sz w:val="24"/>
          <w:szCs w:val="24"/>
        </w:rPr>
        <w:t xml:space="preserve"> Computed the 90-day repeat purchase rate segmented by the customer's initial product category choice (</w:t>
      </w:r>
      <w:proofErr w:type="spellStart"/>
      <w:proofErr w:type="gramStart"/>
      <w:r w:rsidRPr="00486702">
        <w:rPr>
          <w:sz w:val="24"/>
          <w:szCs w:val="24"/>
        </w:rPr>
        <w:t>c.first</w:t>
      </w:r>
      <w:proofErr w:type="gramEnd"/>
      <w:r w:rsidRPr="00486702">
        <w:rPr>
          <w:sz w:val="24"/>
          <w:szCs w:val="24"/>
        </w:rPr>
        <w:t>_order_category</w:t>
      </w:r>
      <w:proofErr w:type="spellEnd"/>
      <w:r w:rsidRPr="00486702">
        <w:rPr>
          <w:sz w:val="24"/>
          <w:szCs w:val="24"/>
        </w:rPr>
        <w:t>). The analysis revealed an exceptionally uniform distribution across all 6 product categories, spanning a tight margin of 33.09% (Serums) to 34.00% (Body). This mathematical flatline successfully disproves the hypothesis of a product-related or category-specific retention failure, isolating the core business issue as an acquisition-side marketing mix anomaly.</w:t>
      </w:r>
    </w:p>
    <w:p w14:paraId="6B682881" w14:textId="77777777" w:rsidR="008214FC" w:rsidRPr="00486702" w:rsidRDefault="00000000" w:rsidP="008214FC">
      <w:pPr>
        <w:rPr>
          <w:sz w:val="24"/>
          <w:szCs w:val="24"/>
        </w:rPr>
      </w:pPr>
      <w:r>
        <w:rPr>
          <w:sz w:val="24"/>
          <w:szCs w:val="24"/>
        </w:rPr>
        <w:pict w14:anchorId="06C60562">
          <v:rect id="_x0000_i1027" style="width:0;height:1.5pt" o:hralign="center" o:hrstd="t" o:hr="t" fillcolor="#a0a0a0" stroked="f"/>
        </w:pict>
      </w:r>
    </w:p>
    <w:p w14:paraId="15E6C59E" w14:textId="77777777" w:rsidR="008214FC" w:rsidRPr="00486702" w:rsidRDefault="008214FC" w:rsidP="008214FC">
      <w:pPr>
        <w:rPr>
          <w:b/>
          <w:bCs/>
          <w:sz w:val="24"/>
          <w:szCs w:val="24"/>
        </w:rPr>
      </w:pPr>
      <w:r w:rsidRPr="00486702">
        <w:rPr>
          <w:b/>
          <w:bCs/>
          <w:sz w:val="24"/>
          <w:szCs w:val="24"/>
        </w:rPr>
        <w:t>Section 4: Question 3 — Budget Capital Constraints</w:t>
      </w:r>
    </w:p>
    <w:p w14:paraId="5137EF7A" w14:textId="77777777" w:rsidR="008214FC" w:rsidRPr="00486702" w:rsidRDefault="008214FC" w:rsidP="008214FC">
      <w:pPr>
        <w:numPr>
          <w:ilvl w:val="0"/>
          <w:numId w:val="11"/>
        </w:numPr>
        <w:rPr>
          <w:sz w:val="24"/>
          <w:szCs w:val="24"/>
        </w:rPr>
      </w:pPr>
      <w:r w:rsidRPr="00486702">
        <w:rPr>
          <w:b/>
          <w:bCs/>
          <w:sz w:val="24"/>
          <w:szCs w:val="24"/>
        </w:rPr>
        <w:t>Trailing Quarter Spend Aggregation:</w:t>
      </w:r>
      <w:r w:rsidRPr="00486702">
        <w:rPr>
          <w:sz w:val="24"/>
          <w:szCs w:val="24"/>
        </w:rPr>
        <w:t xml:space="preserve"> In accordance with the budgetary framework outlined by the marketing lead, the available capital pool for July to September 2026 was calculated by aggregating historical channel outflows between April 1, 2026, and June 30, 2026. Enforced explicit chronological table boundaries to calculate the precise total budget allocation baseline of </w:t>
      </w:r>
      <w:r w:rsidRPr="00486702">
        <w:rPr>
          <w:b/>
          <w:bCs/>
          <w:sz w:val="24"/>
          <w:szCs w:val="24"/>
        </w:rPr>
        <w:t>$1,105,991.99</w:t>
      </w:r>
      <w:r w:rsidRPr="00486702">
        <w:rPr>
          <w:sz w:val="24"/>
          <w:szCs w:val="24"/>
        </w:rPr>
        <w:t xml:space="preserve"> across all trackable expenditure channels.</w:t>
      </w:r>
    </w:p>
    <w:p w14:paraId="69EAF42F" w14:textId="77777777" w:rsidR="008214FC" w:rsidRPr="00486702" w:rsidRDefault="00000000" w:rsidP="008214FC">
      <w:pPr>
        <w:rPr>
          <w:sz w:val="24"/>
          <w:szCs w:val="24"/>
        </w:rPr>
      </w:pPr>
      <w:r>
        <w:rPr>
          <w:sz w:val="24"/>
          <w:szCs w:val="24"/>
        </w:rPr>
        <w:pict w14:anchorId="75C92876">
          <v:rect id="_x0000_i1028" style="width:0;height:1.5pt" o:hralign="center" o:hrstd="t" o:hr="t" fillcolor="#a0a0a0" stroked="f"/>
        </w:pict>
      </w:r>
    </w:p>
    <w:p w14:paraId="75A6993F" w14:textId="77777777" w:rsidR="008214FC" w:rsidRPr="00486702" w:rsidRDefault="008214FC" w:rsidP="008214FC">
      <w:pPr>
        <w:rPr>
          <w:b/>
          <w:bCs/>
          <w:sz w:val="24"/>
          <w:szCs w:val="24"/>
        </w:rPr>
      </w:pPr>
      <w:r w:rsidRPr="00486702">
        <w:rPr>
          <w:b/>
          <w:bCs/>
          <w:sz w:val="24"/>
          <w:szCs w:val="24"/>
        </w:rPr>
        <w:t>Section 5: AI Tool Usage &amp; Code Verification Log</w:t>
      </w:r>
    </w:p>
    <w:p w14:paraId="1351EE7D" w14:textId="058B3733" w:rsidR="008214FC" w:rsidRPr="00486702" w:rsidRDefault="008214FC" w:rsidP="008214FC">
      <w:pPr>
        <w:numPr>
          <w:ilvl w:val="0"/>
          <w:numId w:val="12"/>
        </w:numPr>
        <w:rPr>
          <w:sz w:val="24"/>
          <w:szCs w:val="24"/>
        </w:rPr>
      </w:pPr>
      <w:r w:rsidRPr="00486702">
        <w:rPr>
          <w:b/>
          <w:bCs/>
          <w:sz w:val="24"/>
          <w:szCs w:val="24"/>
        </w:rPr>
        <w:t>Database Write-Lock Guardrails:</w:t>
      </w:r>
      <w:r w:rsidRPr="00486702">
        <w:rPr>
          <w:sz w:val="24"/>
          <w:szCs w:val="24"/>
        </w:rPr>
        <w:t xml:space="preserve"> Initial AI-generated setup scripts provided generic connection blocks using </w:t>
      </w:r>
      <w:proofErr w:type="spellStart"/>
      <w:proofErr w:type="gramStart"/>
      <w:r w:rsidRPr="00486702">
        <w:rPr>
          <w:sz w:val="24"/>
          <w:szCs w:val="24"/>
        </w:rPr>
        <w:t>duckdb.connect</w:t>
      </w:r>
      <w:proofErr w:type="spellEnd"/>
      <w:proofErr w:type="gramEnd"/>
      <w:r w:rsidRPr="00486702">
        <w:rPr>
          <w:sz w:val="24"/>
          <w:szCs w:val="24"/>
        </w:rPr>
        <w:t>('</w:t>
      </w:r>
      <w:proofErr w:type="spellStart"/>
      <w:proofErr w:type="gramStart"/>
      <w:r w:rsidR="005E1596">
        <w:rPr>
          <w:sz w:val="24"/>
          <w:szCs w:val="24"/>
        </w:rPr>
        <w:t>a</w:t>
      </w:r>
      <w:r w:rsidR="005E1596" w:rsidRPr="005E1596">
        <w:rPr>
          <w:sz w:val="24"/>
          <w:szCs w:val="24"/>
        </w:rPr>
        <w:t>uraglow</w:t>
      </w:r>
      <w:proofErr w:type="spellEnd"/>
      <w:r w:rsidR="005E1596" w:rsidRPr="005E1596">
        <w:rPr>
          <w:sz w:val="24"/>
          <w:szCs w:val="24"/>
        </w:rPr>
        <w:t>.</w:t>
      </w:r>
      <w:r w:rsidRPr="00486702">
        <w:rPr>
          <w:sz w:val="24"/>
          <w:szCs w:val="24"/>
        </w:rPr>
        <w:t>.</w:t>
      </w:r>
      <w:proofErr w:type="spellStart"/>
      <w:proofErr w:type="gramEnd"/>
      <w:r w:rsidRPr="00486702">
        <w:rPr>
          <w:sz w:val="24"/>
          <w:szCs w:val="24"/>
        </w:rPr>
        <w:t>duckdb</w:t>
      </w:r>
      <w:proofErr w:type="spellEnd"/>
      <w:r w:rsidRPr="00486702">
        <w:rPr>
          <w:sz w:val="24"/>
          <w:szCs w:val="24"/>
        </w:rPr>
        <w:t xml:space="preserve">'). I modified this logic to explicitly pass the </w:t>
      </w:r>
      <w:proofErr w:type="spellStart"/>
      <w:r w:rsidRPr="00486702">
        <w:rPr>
          <w:sz w:val="24"/>
          <w:szCs w:val="24"/>
        </w:rPr>
        <w:t>read_only</w:t>
      </w:r>
      <w:proofErr w:type="spellEnd"/>
      <w:r w:rsidRPr="00486702">
        <w:rPr>
          <w:sz w:val="24"/>
          <w:szCs w:val="24"/>
        </w:rPr>
        <w:t>=True parameter. This architectural guardrail prevented multi-client file conflicts and avoided script crashes when the database was simultaneously open in development tools like Python and external SQL IDEs.</w:t>
      </w:r>
    </w:p>
    <w:p w14:paraId="4936FAC4" w14:textId="77777777" w:rsidR="008214FC" w:rsidRPr="00486702" w:rsidRDefault="008214FC" w:rsidP="008214FC">
      <w:pPr>
        <w:numPr>
          <w:ilvl w:val="0"/>
          <w:numId w:val="12"/>
        </w:numPr>
        <w:rPr>
          <w:sz w:val="24"/>
          <w:szCs w:val="24"/>
        </w:rPr>
      </w:pPr>
      <w:r w:rsidRPr="00486702">
        <w:rPr>
          <w:b/>
          <w:bCs/>
          <w:sz w:val="24"/>
          <w:szCs w:val="24"/>
        </w:rPr>
        <w:t>Timestamp Filter Optimization:</w:t>
      </w:r>
      <w:r w:rsidRPr="00486702">
        <w:rPr>
          <w:sz w:val="24"/>
          <w:szCs w:val="24"/>
        </w:rPr>
        <w:t xml:space="preserve"> Initial AI-generated query structures applied a standard WHERE </w:t>
      </w:r>
      <w:proofErr w:type="spellStart"/>
      <w:r w:rsidRPr="00486702">
        <w:rPr>
          <w:sz w:val="24"/>
          <w:szCs w:val="24"/>
        </w:rPr>
        <w:t>order_ts</w:t>
      </w:r>
      <w:proofErr w:type="spellEnd"/>
      <w:r w:rsidRPr="00486702">
        <w:rPr>
          <w:sz w:val="24"/>
          <w:szCs w:val="24"/>
        </w:rPr>
        <w:t xml:space="preserve"> BETWEEN '2026-03-01' AND '2026-03-31' filter. I audited this logic and corrected it to &gt;= '2026-03-01' AND &lt; '2026-04-01'. Because database </w:t>
      </w:r>
      <w:r w:rsidRPr="00486702">
        <w:rPr>
          <w:sz w:val="24"/>
          <w:szCs w:val="24"/>
        </w:rPr>
        <w:lastRenderedPageBreak/>
        <w:t>engines expand a standalone date string to midnight (00:00:00), using BETWEEN would completely drop any sales transactions that occurred during the final 24 hours of March 31st, causing an undercount of an entire day's worth of business revenue.</w:t>
      </w:r>
    </w:p>
    <w:p w14:paraId="5D3F045F" w14:textId="77777777" w:rsidR="008214FC" w:rsidRPr="00486702" w:rsidRDefault="008214FC" w:rsidP="008214FC">
      <w:pPr>
        <w:numPr>
          <w:ilvl w:val="0"/>
          <w:numId w:val="12"/>
        </w:numPr>
        <w:rPr>
          <w:sz w:val="24"/>
          <w:szCs w:val="24"/>
        </w:rPr>
      </w:pPr>
      <w:r w:rsidRPr="00486702">
        <w:rPr>
          <w:b/>
          <w:bCs/>
          <w:sz w:val="24"/>
          <w:szCs w:val="24"/>
        </w:rPr>
        <w:t>Incremental Profit Safeguards:</w:t>
      </w:r>
      <w:r w:rsidRPr="00486702">
        <w:rPr>
          <w:sz w:val="24"/>
          <w:szCs w:val="24"/>
        </w:rPr>
        <w:t xml:space="preserve"> Standard generative AI prompts failed to account for control group baselines and attempted to measure performance by applying the 65% profit margin rule directly against the gross revenue of the Test group. I overrode this by structuring a multi-step financial variable equation that explicitly isolated the </w:t>
      </w:r>
      <w:r w:rsidRPr="00486702">
        <w:rPr>
          <w:b/>
          <w:bCs/>
          <w:sz w:val="24"/>
          <w:szCs w:val="24"/>
        </w:rPr>
        <w:t>incremental lift</w:t>
      </w:r>
      <w:r w:rsidRPr="00486702">
        <w:rPr>
          <w:sz w:val="24"/>
          <w:szCs w:val="24"/>
        </w:rPr>
        <w:t xml:space="preserve"> (Test revenue minus Holdout revenue) before calculating margin returns, ensuring regular organic baseline revenue was not falsely credited to the marketing campaign.</w:t>
      </w:r>
    </w:p>
    <w:p w14:paraId="5597A22D" w14:textId="77777777" w:rsidR="008214FC" w:rsidRPr="00486702" w:rsidRDefault="008214FC" w:rsidP="008214FC">
      <w:pPr>
        <w:numPr>
          <w:ilvl w:val="0"/>
          <w:numId w:val="12"/>
        </w:numPr>
        <w:rPr>
          <w:sz w:val="24"/>
          <w:szCs w:val="24"/>
        </w:rPr>
      </w:pPr>
      <w:r w:rsidRPr="00486702">
        <w:rPr>
          <w:b/>
          <w:bCs/>
          <w:sz w:val="24"/>
          <w:szCs w:val="24"/>
        </w:rPr>
        <w:t>Deduplication and Schema Mapping Validation:</w:t>
      </w:r>
      <w:r w:rsidRPr="00486702">
        <w:rPr>
          <w:sz w:val="24"/>
          <w:szCs w:val="24"/>
        </w:rPr>
        <w:t xml:space="preserve"> When generating properties like the user’s original acquisition channel, the AI model attempted to select columns directly from the transaction log (SELECT </w:t>
      </w:r>
      <w:proofErr w:type="spellStart"/>
      <w:proofErr w:type="gramStart"/>
      <w:r w:rsidRPr="00486702">
        <w:rPr>
          <w:sz w:val="24"/>
          <w:szCs w:val="24"/>
        </w:rPr>
        <w:t>o.acquisition</w:t>
      </w:r>
      <w:proofErr w:type="gramEnd"/>
      <w:r w:rsidRPr="00486702">
        <w:rPr>
          <w:sz w:val="24"/>
          <w:szCs w:val="24"/>
        </w:rPr>
        <w:t>_channel</w:t>
      </w:r>
      <w:proofErr w:type="spellEnd"/>
      <w:r w:rsidRPr="00486702">
        <w:rPr>
          <w:sz w:val="24"/>
          <w:szCs w:val="24"/>
        </w:rPr>
        <w:t xml:space="preserve"> FROM orders o). I cross-referenced the layout with my structural schema, corrected the query to pull the column from its true parent table (customers c), and enforced a strict </w:t>
      </w:r>
      <w:proofErr w:type="gramStart"/>
      <w:r w:rsidRPr="00486702">
        <w:rPr>
          <w:sz w:val="24"/>
          <w:szCs w:val="24"/>
        </w:rPr>
        <w:t>COUNT(</w:t>
      </w:r>
      <w:proofErr w:type="gramEnd"/>
      <w:r w:rsidRPr="00486702">
        <w:rPr>
          <w:sz w:val="24"/>
          <w:szCs w:val="24"/>
        </w:rPr>
        <w:t xml:space="preserve">DISTINCT </w:t>
      </w:r>
      <w:proofErr w:type="spellStart"/>
      <w:proofErr w:type="gramStart"/>
      <w:r w:rsidRPr="00486702">
        <w:rPr>
          <w:sz w:val="24"/>
          <w:szCs w:val="24"/>
        </w:rPr>
        <w:t>r.customer</w:t>
      </w:r>
      <w:proofErr w:type="gramEnd"/>
      <w:r w:rsidRPr="00486702">
        <w:rPr>
          <w:sz w:val="24"/>
          <w:szCs w:val="24"/>
        </w:rPr>
        <w:t>_id</w:t>
      </w:r>
      <w:proofErr w:type="spellEnd"/>
      <w:r w:rsidRPr="00486702">
        <w:rPr>
          <w:sz w:val="24"/>
          <w:szCs w:val="24"/>
        </w:rPr>
        <w:t>) flag. This prevented customers who placed multiple distinct orders within their 90-day window from being double-counted, keeping our retention metrics precise.</w:t>
      </w:r>
    </w:p>
    <w:p w14:paraId="3535873E" w14:textId="77777777" w:rsidR="008214FC" w:rsidRPr="00486702" w:rsidRDefault="008214FC" w:rsidP="008214FC">
      <w:pPr>
        <w:numPr>
          <w:ilvl w:val="0"/>
          <w:numId w:val="12"/>
        </w:numPr>
        <w:rPr>
          <w:sz w:val="24"/>
          <w:szCs w:val="24"/>
        </w:rPr>
      </w:pPr>
      <w:r w:rsidRPr="00486702">
        <w:rPr>
          <w:b/>
          <w:bCs/>
          <w:sz w:val="24"/>
          <w:szCs w:val="24"/>
        </w:rPr>
        <w:t>Mathematical Zero-Division Failsafe:</w:t>
      </w:r>
      <w:r w:rsidRPr="00486702">
        <w:rPr>
          <w:sz w:val="24"/>
          <w:szCs w:val="24"/>
        </w:rPr>
        <w:t xml:space="preserve"> When generating the financial efficiency matrix to establish the baseline Cost Per Click (CPC) across active channels, standard generative models applied a direct mathematical formula (</w:t>
      </w:r>
      <w:proofErr w:type="gramStart"/>
      <w:r w:rsidRPr="00486702">
        <w:rPr>
          <w:sz w:val="24"/>
          <w:szCs w:val="24"/>
        </w:rPr>
        <w:t>SUM(</w:t>
      </w:r>
      <w:proofErr w:type="gramEnd"/>
      <w:r w:rsidRPr="00486702">
        <w:rPr>
          <w:sz w:val="24"/>
          <w:szCs w:val="24"/>
        </w:rPr>
        <w:t xml:space="preserve">spend) / </w:t>
      </w:r>
      <w:proofErr w:type="gramStart"/>
      <w:r w:rsidRPr="00486702">
        <w:rPr>
          <w:sz w:val="24"/>
          <w:szCs w:val="24"/>
        </w:rPr>
        <w:t>SUM(</w:t>
      </w:r>
      <w:proofErr w:type="gramEnd"/>
      <w:r w:rsidRPr="00486702">
        <w:rPr>
          <w:sz w:val="24"/>
          <w:szCs w:val="24"/>
        </w:rPr>
        <w:t>clicks)). I re-engineered the mathematical operation to utilize a strict NULLIF(</w:t>
      </w:r>
      <w:proofErr w:type="gramStart"/>
      <w:r w:rsidRPr="00486702">
        <w:rPr>
          <w:sz w:val="24"/>
          <w:szCs w:val="24"/>
        </w:rPr>
        <w:t>SUM(</w:t>
      </w:r>
      <w:proofErr w:type="gramEnd"/>
      <w:r w:rsidRPr="00486702">
        <w:rPr>
          <w:sz w:val="24"/>
          <w:szCs w:val="24"/>
        </w:rPr>
        <w:t>clicks), 0) wrapper constraint. In a corporate dataset containing zero-cost and organic performance vectors (such as email systems), an unshielded division by a zero-sum value would trigger a critical script termination error. Forcing a safe null-return value protected pipeline execution continuity and allowed the reporting ledger to output non-paid performance markers safely.</w:t>
      </w:r>
    </w:p>
    <w:p w14:paraId="619228C4" w14:textId="77777777" w:rsidR="008214FC" w:rsidRPr="00486702" w:rsidRDefault="00000000" w:rsidP="008214FC">
      <w:pPr>
        <w:rPr>
          <w:sz w:val="24"/>
          <w:szCs w:val="24"/>
        </w:rPr>
      </w:pPr>
      <w:r>
        <w:rPr>
          <w:sz w:val="24"/>
          <w:szCs w:val="24"/>
        </w:rPr>
        <w:pict w14:anchorId="412228FC">
          <v:rect id="_x0000_i1029" style="width:0;height:1.5pt" o:hralign="center" o:hrstd="t" o:hr="t" fillcolor="#a0a0a0" stroked="f"/>
        </w:pict>
      </w:r>
    </w:p>
    <w:p w14:paraId="3F32DFD7" w14:textId="77777777" w:rsidR="008214FC" w:rsidRPr="00486702" w:rsidRDefault="008214FC" w:rsidP="008214FC">
      <w:pPr>
        <w:rPr>
          <w:b/>
          <w:bCs/>
          <w:sz w:val="24"/>
          <w:szCs w:val="24"/>
        </w:rPr>
      </w:pPr>
      <w:r w:rsidRPr="00486702">
        <w:rPr>
          <w:b/>
          <w:bCs/>
          <w:sz w:val="24"/>
          <w:szCs w:val="24"/>
        </w:rPr>
        <w:t>Section 6: Business Assumptions &amp; Constraints Log</w:t>
      </w:r>
    </w:p>
    <w:p w14:paraId="1DC1FF84" w14:textId="77777777" w:rsidR="008214FC" w:rsidRPr="00486702" w:rsidRDefault="008214FC" w:rsidP="008214FC">
      <w:pPr>
        <w:numPr>
          <w:ilvl w:val="0"/>
          <w:numId w:val="13"/>
        </w:numPr>
        <w:rPr>
          <w:sz w:val="24"/>
          <w:szCs w:val="24"/>
        </w:rPr>
      </w:pPr>
      <w:r w:rsidRPr="00486702">
        <w:rPr>
          <w:b/>
          <w:bCs/>
          <w:sz w:val="24"/>
          <w:szCs w:val="24"/>
        </w:rPr>
        <w:t>Attribution Model Consistency:</w:t>
      </w:r>
      <w:r w:rsidRPr="00486702">
        <w:rPr>
          <w:sz w:val="24"/>
          <w:szCs w:val="24"/>
        </w:rPr>
        <w:t xml:space="preserve"> Followed the company's last-click attribution model provided in the </w:t>
      </w:r>
      <w:proofErr w:type="spellStart"/>
      <w:proofErr w:type="gramStart"/>
      <w:r w:rsidRPr="00486702">
        <w:rPr>
          <w:sz w:val="24"/>
          <w:szCs w:val="24"/>
        </w:rPr>
        <w:t>orders.channel</w:t>
      </w:r>
      <w:proofErr w:type="spellEnd"/>
      <w:proofErr w:type="gramEnd"/>
      <w:r w:rsidRPr="00486702">
        <w:rPr>
          <w:sz w:val="24"/>
          <w:szCs w:val="24"/>
        </w:rPr>
        <w:t xml:space="preserve"> column to evaluate channel performance. It is assumed that this attribution model reflects the final conversion driver for our financial calculations.</w:t>
      </w:r>
    </w:p>
    <w:p w14:paraId="36743E93" w14:textId="77777777" w:rsidR="008214FC" w:rsidRPr="00486702" w:rsidRDefault="008214FC" w:rsidP="008214FC">
      <w:pPr>
        <w:numPr>
          <w:ilvl w:val="0"/>
          <w:numId w:val="13"/>
        </w:numPr>
        <w:rPr>
          <w:sz w:val="24"/>
          <w:szCs w:val="24"/>
        </w:rPr>
      </w:pPr>
      <w:r w:rsidRPr="00486702">
        <w:rPr>
          <w:b/>
          <w:bCs/>
          <w:sz w:val="24"/>
          <w:szCs w:val="24"/>
        </w:rPr>
        <w:t>Constant Margin Rate:</w:t>
      </w:r>
      <w:r w:rsidRPr="00486702">
        <w:rPr>
          <w:sz w:val="24"/>
          <w:szCs w:val="24"/>
        </w:rPr>
        <w:t xml:space="preserve"> Applied the 65% gross margin multiplier flatly across all analysis groups, assuming product development and </w:t>
      </w:r>
      <w:proofErr w:type="spellStart"/>
      <w:r w:rsidRPr="00486702">
        <w:rPr>
          <w:sz w:val="24"/>
          <w:szCs w:val="24"/>
        </w:rPr>
        <w:t>fulfillment</w:t>
      </w:r>
      <w:proofErr w:type="spellEnd"/>
      <w:r w:rsidRPr="00486702">
        <w:rPr>
          <w:sz w:val="24"/>
          <w:szCs w:val="24"/>
        </w:rPr>
        <w:t xml:space="preserve"> overhead margins remained constant across all regional distribution channels.</w:t>
      </w:r>
    </w:p>
    <w:p w14:paraId="733D1894" w14:textId="77777777" w:rsidR="008F749C" w:rsidRPr="00486702" w:rsidRDefault="008F749C" w:rsidP="00EF6E08">
      <w:pPr>
        <w:rPr>
          <w:sz w:val="24"/>
          <w:szCs w:val="24"/>
        </w:rPr>
      </w:pPr>
    </w:p>
    <w:p w14:paraId="118C8A10" w14:textId="77777777" w:rsidR="008F749C" w:rsidRPr="00486702" w:rsidRDefault="008F749C" w:rsidP="00EF6E08">
      <w:pPr>
        <w:rPr>
          <w:b/>
          <w:bCs/>
          <w:sz w:val="24"/>
          <w:szCs w:val="24"/>
        </w:rPr>
      </w:pPr>
    </w:p>
    <w:sectPr w:rsidR="008F749C" w:rsidRPr="00486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36F"/>
    <w:multiLevelType w:val="multilevel"/>
    <w:tmpl w:val="575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102C"/>
    <w:multiLevelType w:val="multilevel"/>
    <w:tmpl w:val="53E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43D6A"/>
    <w:multiLevelType w:val="multilevel"/>
    <w:tmpl w:val="8598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059DD"/>
    <w:multiLevelType w:val="multilevel"/>
    <w:tmpl w:val="5CF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050DE"/>
    <w:multiLevelType w:val="multilevel"/>
    <w:tmpl w:val="18E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C04D3"/>
    <w:multiLevelType w:val="multilevel"/>
    <w:tmpl w:val="A994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D3A78"/>
    <w:multiLevelType w:val="multilevel"/>
    <w:tmpl w:val="BB5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6321"/>
    <w:multiLevelType w:val="multilevel"/>
    <w:tmpl w:val="795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03C0A"/>
    <w:multiLevelType w:val="multilevel"/>
    <w:tmpl w:val="197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04102"/>
    <w:multiLevelType w:val="multilevel"/>
    <w:tmpl w:val="596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D6A7F"/>
    <w:multiLevelType w:val="multilevel"/>
    <w:tmpl w:val="A280A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A1E63"/>
    <w:multiLevelType w:val="multilevel"/>
    <w:tmpl w:val="C16E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74252"/>
    <w:multiLevelType w:val="multilevel"/>
    <w:tmpl w:val="F062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6053">
    <w:abstractNumId w:val="2"/>
  </w:num>
  <w:num w:numId="2" w16cid:durableId="1940985820">
    <w:abstractNumId w:val="3"/>
  </w:num>
  <w:num w:numId="3" w16cid:durableId="154414887">
    <w:abstractNumId w:val="1"/>
  </w:num>
  <w:num w:numId="4" w16cid:durableId="1054236276">
    <w:abstractNumId w:val="12"/>
  </w:num>
  <w:num w:numId="5" w16cid:durableId="1511673510">
    <w:abstractNumId w:val="10"/>
  </w:num>
  <w:num w:numId="6" w16cid:durableId="1989550652">
    <w:abstractNumId w:val="11"/>
  </w:num>
  <w:num w:numId="7" w16cid:durableId="191581364">
    <w:abstractNumId w:val="8"/>
  </w:num>
  <w:num w:numId="8" w16cid:durableId="717782766">
    <w:abstractNumId w:val="5"/>
  </w:num>
  <w:num w:numId="9" w16cid:durableId="272369988">
    <w:abstractNumId w:val="7"/>
  </w:num>
  <w:num w:numId="10" w16cid:durableId="1259362973">
    <w:abstractNumId w:val="4"/>
  </w:num>
  <w:num w:numId="11" w16cid:durableId="1080323123">
    <w:abstractNumId w:val="0"/>
  </w:num>
  <w:num w:numId="12" w16cid:durableId="2005625818">
    <w:abstractNumId w:val="6"/>
  </w:num>
  <w:num w:numId="13" w16cid:durableId="1677491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23"/>
    <w:rsid w:val="001723FE"/>
    <w:rsid w:val="00222726"/>
    <w:rsid w:val="002F515E"/>
    <w:rsid w:val="00335887"/>
    <w:rsid w:val="003C3839"/>
    <w:rsid w:val="004122A7"/>
    <w:rsid w:val="00446052"/>
    <w:rsid w:val="004629E3"/>
    <w:rsid w:val="00486702"/>
    <w:rsid w:val="005E1596"/>
    <w:rsid w:val="0073606B"/>
    <w:rsid w:val="008179C9"/>
    <w:rsid w:val="008214FC"/>
    <w:rsid w:val="0083369B"/>
    <w:rsid w:val="00897823"/>
    <w:rsid w:val="008F749C"/>
    <w:rsid w:val="0099417F"/>
    <w:rsid w:val="009E709B"/>
    <w:rsid w:val="00A1320E"/>
    <w:rsid w:val="00B03572"/>
    <w:rsid w:val="00C02625"/>
    <w:rsid w:val="00D31F3D"/>
    <w:rsid w:val="00D42AFE"/>
    <w:rsid w:val="00DD3C24"/>
    <w:rsid w:val="00E4537E"/>
    <w:rsid w:val="00EB26F7"/>
    <w:rsid w:val="00EC7879"/>
    <w:rsid w:val="00EF6E08"/>
    <w:rsid w:val="00F914B1"/>
    <w:rsid w:val="00FD16AF"/>
    <w:rsid w:val="00FF48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4E5C"/>
  <w15:chartTrackingRefBased/>
  <w15:docId w15:val="{7714626C-C795-4278-9910-8FD58BF0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82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9782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9782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97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82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9782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9782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97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823"/>
    <w:rPr>
      <w:rFonts w:eastAsiaTheme="majorEastAsia" w:cstheme="majorBidi"/>
      <w:color w:val="272727" w:themeColor="text1" w:themeTint="D8"/>
    </w:rPr>
  </w:style>
  <w:style w:type="paragraph" w:styleId="Title">
    <w:name w:val="Title"/>
    <w:basedOn w:val="Normal"/>
    <w:next w:val="Normal"/>
    <w:link w:val="TitleChar"/>
    <w:uiPriority w:val="10"/>
    <w:qFormat/>
    <w:rsid w:val="008978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978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978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978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97823"/>
    <w:pPr>
      <w:spacing w:before="160"/>
      <w:jc w:val="center"/>
    </w:pPr>
    <w:rPr>
      <w:i/>
      <w:iCs/>
      <w:color w:val="404040" w:themeColor="text1" w:themeTint="BF"/>
    </w:rPr>
  </w:style>
  <w:style w:type="character" w:customStyle="1" w:styleId="QuoteChar">
    <w:name w:val="Quote Char"/>
    <w:basedOn w:val="DefaultParagraphFont"/>
    <w:link w:val="Quote"/>
    <w:uiPriority w:val="29"/>
    <w:rsid w:val="00897823"/>
    <w:rPr>
      <w:i/>
      <w:iCs/>
      <w:color w:val="404040" w:themeColor="text1" w:themeTint="BF"/>
    </w:rPr>
  </w:style>
  <w:style w:type="paragraph" w:styleId="ListParagraph">
    <w:name w:val="List Paragraph"/>
    <w:basedOn w:val="Normal"/>
    <w:uiPriority w:val="34"/>
    <w:qFormat/>
    <w:rsid w:val="00897823"/>
    <w:pPr>
      <w:ind w:left="720"/>
      <w:contextualSpacing/>
    </w:pPr>
  </w:style>
  <w:style w:type="character" w:styleId="IntenseEmphasis">
    <w:name w:val="Intense Emphasis"/>
    <w:basedOn w:val="DefaultParagraphFont"/>
    <w:uiPriority w:val="21"/>
    <w:qFormat/>
    <w:rsid w:val="00897823"/>
    <w:rPr>
      <w:i/>
      <w:iCs/>
      <w:color w:val="2F5496" w:themeColor="accent1" w:themeShade="BF"/>
    </w:rPr>
  </w:style>
  <w:style w:type="paragraph" w:styleId="IntenseQuote">
    <w:name w:val="Intense Quote"/>
    <w:basedOn w:val="Normal"/>
    <w:next w:val="Normal"/>
    <w:link w:val="IntenseQuoteChar"/>
    <w:uiPriority w:val="30"/>
    <w:qFormat/>
    <w:rsid w:val="00897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823"/>
    <w:rPr>
      <w:i/>
      <w:iCs/>
      <w:color w:val="2F5496" w:themeColor="accent1" w:themeShade="BF"/>
    </w:rPr>
  </w:style>
  <w:style w:type="character" w:styleId="IntenseReference">
    <w:name w:val="Intense Reference"/>
    <w:basedOn w:val="DefaultParagraphFont"/>
    <w:uiPriority w:val="32"/>
    <w:qFormat/>
    <w:rsid w:val="00897823"/>
    <w:rPr>
      <w:b/>
      <w:bCs/>
      <w:smallCaps/>
      <w:color w:val="2F5496" w:themeColor="accent1" w:themeShade="BF"/>
      <w:spacing w:val="5"/>
    </w:rPr>
  </w:style>
  <w:style w:type="paragraph" w:customStyle="1" w:styleId="z1qcye">
    <w:name w:val="z1qcye"/>
    <w:basedOn w:val="Normal"/>
    <w:rsid w:val="00EB26F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inqyif">
    <w:name w:val="inqyif"/>
    <w:basedOn w:val="DefaultParagraphFont"/>
    <w:rsid w:val="00EB26F7"/>
  </w:style>
  <w:style w:type="character" w:styleId="Strong">
    <w:name w:val="Strong"/>
    <w:basedOn w:val="DefaultParagraphFont"/>
    <w:uiPriority w:val="22"/>
    <w:qFormat/>
    <w:rsid w:val="00EB26F7"/>
    <w:rPr>
      <w:b/>
      <w:bCs/>
    </w:rPr>
  </w:style>
  <w:style w:type="character" w:styleId="Emphasis">
    <w:name w:val="Emphasis"/>
    <w:basedOn w:val="DefaultParagraphFont"/>
    <w:uiPriority w:val="20"/>
    <w:qFormat/>
    <w:rsid w:val="00EB26F7"/>
    <w:rPr>
      <w:i/>
      <w:iCs/>
    </w:rPr>
  </w:style>
  <w:style w:type="character" w:styleId="HTMLCode">
    <w:name w:val="HTML Code"/>
    <w:basedOn w:val="DefaultParagraphFont"/>
    <w:uiPriority w:val="99"/>
    <w:semiHidden/>
    <w:unhideWhenUsed/>
    <w:rsid w:val="00EB26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Potnuri</dc:creator>
  <cp:keywords/>
  <dc:description/>
  <cp:lastModifiedBy>Saikrishna Potnuri</cp:lastModifiedBy>
  <cp:revision>4</cp:revision>
  <dcterms:created xsi:type="dcterms:W3CDTF">2026-10-10T14:06:00Z</dcterms:created>
  <dcterms:modified xsi:type="dcterms:W3CDTF">2026-10-25T17:01:00Z</dcterms:modified>
</cp:coreProperties>
</file>