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BCCE4" w14:textId="4693E153" w:rsidR="004C573F" w:rsidRPr="001A5056" w:rsidRDefault="004C573F" w:rsidP="004C573F">
      <w:pPr>
        <w:jc w:val="center"/>
        <w:rPr>
          <w:rFonts w:asciiTheme="majorBidi" w:hAnsiTheme="majorBidi" w:cstheme="majorBidi"/>
          <w:b/>
          <w:bCs/>
          <w:lang w:val="en-GB"/>
        </w:rPr>
      </w:pPr>
      <w:r w:rsidRPr="001A5056">
        <w:rPr>
          <w:rFonts w:asciiTheme="majorBidi" w:hAnsiTheme="majorBidi" w:cstheme="majorBidi"/>
          <w:b/>
          <w:bCs/>
          <w:lang w:val="en-GB"/>
        </w:rPr>
        <w:t xml:space="preserve">In Silico Evaluation of </w:t>
      </w:r>
      <w:r w:rsidR="00945619" w:rsidRPr="00945619">
        <w:rPr>
          <w:rFonts w:asciiTheme="majorBidi" w:hAnsiTheme="majorBidi" w:cstheme="majorBidi"/>
          <w:b/>
          <w:bCs/>
        </w:rPr>
        <w:t>Bioactive Compounds</w:t>
      </w:r>
      <w:r w:rsidR="00945619">
        <w:rPr>
          <w:rFonts w:asciiTheme="majorBidi" w:hAnsiTheme="majorBidi" w:cstheme="majorBidi"/>
          <w:b/>
          <w:bCs/>
        </w:rPr>
        <w:t xml:space="preserve"> </w:t>
      </w:r>
      <w:r w:rsidRPr="001A5056">
        <w:rPr>
          <w:rFonts w:asciiTheme="majorBidi" w:hAnsiTheme="majorBidi" w:cstheme="majorBidi"/>
          <w:b/>
          <w:bCs/>
          <w:lang w:val="en-GB"/>
        </w:rPr>
        <w:t xml:space="preserve">from Bufo </w:t>
      </w:r>
      <w:proofErr w:type="spellStart"/>
      <w:r w:rsidRPr="001A5056">
        <w:rPr>
          <w:rFonts w:asciiTheme="majorBidi" w:hAnsiTheme="majorBidi" w:cstheme="majorBidi"/>
          <w:b/>
          <w:bCs/>
          <w:lang w:val="en-GB"/>
        </w:rPr>
        <w:t>gargarizans</w:t>
      </w:r>
      <w:proofErr w:type="spellEnd"/>
      <w:r w:rsidRPr="001A5056">
        <w:rPr>
          <w:rFonts w:asciiTheme="majorBidi" w:hAnsiTheme="majorBidi" w:cstheme="majorBidi"/>
          <w:b/>
          <w:bCs/>
          <w:lang w:val="en-GB"/>
        </w:rPr>
        <w:t xml:space="preserve"> as Potential Therapeutic Agents Against Breast Cancer</w:t>
      </w:r>
    </w:p>
    <w:p w14:paraId="0E3C97E6" w14:textId="78AACE4B" w:rsidR="001A5056" w:rsidRPr="00C21972" w:rsidRDefault="001A5056" w:rsidP="00A15275">
      <w:pPr>
        <w:spacing w:line="240" w:lineRule="auto"/>
        <w:jc w:val="both"/>
        <w:rPr>
          <w:rFonts w:asciiTheme="majorBidi" w:hAnsiTheme="majorBidi" w:cstheme="majorBidi"/>
          <w:shd w:val="clear" w:color="auto" w:fill="FFFFFF"/>
        </w:rPr>
      </w:pPr>
      <w:r w:rsidRPr="00C21972">
        <w:rPr>
          <w:rFonts w:asciiTheme="majorBidi" w:hAnsiTheme="majorBidi" w:cstheme="majorBidi"/>
          <w:shd w:val="clear" w:color="auto" w:fill="FFFFFF"/>
        </w:rPr>
        <w:t>The global </w:t>
      </w:r>
      <w:r w:rsidRPr="00C21972">
        <w:rPr>
          <w:rFonts w:asciiTheme="majorBidi" w:hAnsiTheme="majorBidi" w:cstheme="majorBidi"/>
        </w:rPr>
        <w:t>burden of cancer</w:t>
      </w:r>
      <w:r w:rsidRPr="00C21972">
        <w:rPr>
          <w:rFonts w:asciiTheme="majorBidi" w:hAnsiTheme="majorBidi" w:cstheme="majorBidi"/>
          <w:shd w:val="clear" w:color="auto" w:fill="FFFFFF"/>
        </w:rPr>
        <w:t> among women is s</w:t>
      </w:r>
      <w:r w:rsidRPr="00C21972">
        <w:rPr>
          <w:rFonts w:asciiTheme="majorBidi" w:hAnsiTheme="majorBidi" w:cstheme="majorBidi"/>
        </w:rPr>
        <w:t>ignificant</w:t>
      </w:r>
      <w:r w:rsidRPr="00C21972">
        <w:rPr>
          <w:rFonts w:asciiTheme="majorBidi" w:hAnsiTheme="majorBidi" w:cstheme="majorBidi"/>
          <w:shd w:val="clear" w:color="auto" w:fill="FFFFFF"/>
        </w:rPr>
        <w:t> and increasing, with over 9 million new cases and 4.4 million deaths in 2020, projected to rise by 44% and 60% respectively by 2040</w:t>
      </w:r>
      <w:r w:rsidRPr="00C21972">
        <w:rPr>
          <w:rFonts w:asciiTheme="majorBidi" w:hAnsiTheme="majorBidi" w:cstheme="majorBidi"/>
        </w:rPr>
        <w:t> (Bizuayehu et al., 2023)</w:t>
      </w:r>
      <w:r w:rsidRPr="00C21972">
        <w:rPr>
          <w:rFonts w:asciiTheme="majorBidi" w:hAnsiTheme="majorBidi" w:cstheme="majorBidi"/>
          <w:shd w:val="clear" w:color="auto" w:fill="FFFFFF"/>
        </w:rPr>
        <w:t>. Breast, cervical, and colorectal cancers are among the most common types </w:t>
      </w:r>
      <w:r w:rsidRPr="00C21972">
        <w:rPr>
          <w:rFonts w:asciiTheme="majorBidi" w:hAnsiTheme="majorBidi" w:cstheme="majorBidi"/>
        </w:rPr>
        <w:t>(Torre et al., 2017)</w:t>
      </w:r>
      <w:r w:rsidRPr="00C21972">
        <w:rPr>
          <w:rFonts w:asciiTheme="majorBidi" w:hAnsiTheme="majorBidi" w:cstheme="majorBidi"/>
          <w:shd w:val="clear" w:color="auto" w:fill="FFFFFF"/>
        </w:rPr>
        <w:t>. Low- and middle-income countries (LMICs) face higher mortality rates despite lower incidence</w:t>
      </w:r>
      <w:r w:rsidRPr="00C21972">
        <w:rPr>
          <w:rFonts w:asciiTheme="majorBidi" w:hAnsiTheme="majorBidi" w:cstheme="majorBidi"/>
          <w:strike/>
        </w:rPr>
        <w:t>,</w:t>
      </w:r>
      <w:r w:rsidRPr="00C21972">
        <w:rPr>
          <w:rFonts w:asciiTheme="majorBidi" w:hAnsiTheme="majorBidi" w:cstheme="majorBidi"/>
          <w:shd w:val="clear" w:color="auto" w:fill="FFFFFF"/>
        </w:rPr>
        <w:t> due to inadequate early detection and treatmen</w:t>
      </w:r>
      <w:r w:rsidR="00CD56F4" w:rsidRPr="00C21972">
        <w:rPr>
          <w:rFonts w:asciiTheme="majorBidi" w:hAnsiTheme="majorBidi" w:cstheme="majorBidi"/>
          <w:shd w:val="clear" w:color="auto" w:fill="FFFFFF"/>
        </w:rPr>
        <w:t xml:space="preserve">t </w:t>
      </w:r>
      <w:r w:rsidRPr="00C21972">
        <w:rPr>
          <w:rFonts w:asciiTheme="majorBidi" w:hAnsiTheme="majorBidi" w:cstheme="majorBidi"/>
        </w:rPr>
        <w:t>(Torre et al., 2017; Coughlin &amp; Ekwueme, 2009)</w:t>
      </w:r>
      <w:r w:rsidRPr="00C21972">
        <w:rPr>
          <w:rFonts w:asciiTheme="majorBidi" w:hAnsiTheme="majorBidi" w:cstheme="majorBidi"/>
          <w:shd w:val="clear" w:color="auto" w:fill="FFFFFF"/>
        </w:rPr>
        <w:t>. Cancer control priorities include primary prevention, especially in LMICs, through measures like tobacco control, HPV vaccination, and screening</w:t>
      </w:r>
      <w:r w:rsidRPr="00C21972">
        <w:rPr>
          <w:rFonts w:asciiTheme="majorBidi" w:hAnsiTheme="majorBidi" w:cstheme="majorBidi"/>
        </w:rPr>
        <w:t> (Islami et al., 2017)</w:t>
      </w:r>
      <w:r w:rsidRPr="00C21972">
        <w:rPr>
          <w:rFonts w:asciiTheme="majorBidi" w:hAnsiTheme="majorBidi" w:cstheme="majorBidi"/>
          <w:shd w:val="clear" w:color="auto" w:fill="FFFFFF"/>
        </w:rPr>
        <w:t>. The Mortality to Incidence Ratio, a proxy for survival, is higher in countries with low Human Development Indexes</w:t>
      </w:r>
      <w:r w:rsidRPr="00C21972">
        <w:rPr>
          <w:rFonts w:asciiTheme="majorBidi" w:hAnsiTheme="majorBidi" w:cstheme="majorBidi"/>
        </w:rPr>
        <w:t> (69%)</w:t>
      </w:r>
      <w:r w:rsidRPr="00C21972">
        <w:rPr>
          <w:rFonts w:asciiTheme="majorBidi" w:hAnsiTheme="majorBidi" w:cstheme="majorBidi"/>
          <w:shd w:val="clear" w:color="auto" w:fill="FFFFFF"/>
        </w:rPr>
        <w:t> compared to those with very high ones</w:t>
      </w:r>
      <w:r w:rsidRPr="00C21972">
        <w:rPr>
          <w:rFonts w:asciiTheme="majorBidi" w:hAnsiTheme="majorBidi" w:cstheme="majorBidi"/>
        </w:rPr>
        <w:t> (30%) (Bizuayehu et al., 2023)</w:t>
      </w:r>
      <w:r w:rsidRPr="00C21972">
        <w:rPr>
          <w:rFonts w:asciiTheme="majorBidi" w:hAnsiTheme="majorBidi" w:cstheme="majorBidi"/>
          <w:shd w:val="clear" w:color="auto" w:fill="FFFFFF"/>
        </w:rPr>
        <w:t>. Addressing this global health concern requires expanding universal health coverage, early screening, and strengthening medical infrastructure to improve cancer control and outcomes</w:t>
      </w:r>
      <w:r w:rsidRPr="00C21972">
        <w:rPr>
          <w:rFonts w:asciiTheme="majorBidi" w:hAnsiTheme="majorBidi" w:cstheme="majorBidi"/>
        </w:rPr>
        <w:t> (Bizuayehu et al., 2023)</w:t>
      </w:r>
      <w:r w:rsidRPr="00C21972">
        <w:rPr>
          <w:rFonts w:asciiTheme="majorBidi" w:hAnsiTheme="majorBidi" w:cstheme="majorBidi"/>
          <w:shd w:val="clear" w:color="auto" w:fill="FFFFFF"/>
        </w:rPr>
        <w:t>.</w:t>
      </w:r>
    </w:p>
    <w:p w14:paraId="183D7A56" w14:textId="730FCCBE" w:rsidR="00B450B1" w:rsidRPr="00C21972" w:rsidRDefault="001A5056" w:rsidP="00A15275">
      <w:pPr>
        <w:spacing w:line="240" w:lineRule="auto"/>
        <w:jc w:val="both"/>
        <w:rPr>
          <w:rFonts w:asciiTheme="majorBidi" w:hAnsiTheme="majorBidi" w:cstheme="majorBidi"/>
        </w:rPr>
      </w:pPr>
      <w:r w:rsidRPr="00C21972">
        <w:rPr>
          <w:rFonts w:asciiTheme="majorBidi" w:hAnsiTheme="majorBidi" w:cstheme="majorBidi"/>
          <w:shd w:val="clear" w:color="auto" w:fill="FFFFFF"/>
        </w:rPr>
        <w:t>Reproductive cancers in women, including cervical, ovarian, uterine, and breast cancers, pose a significant global health burden.</w:t>
      </w:r>
      <w:r w:rsidR="00CD56F4" w:rsidRPr="00C21972">
        <w:rPr>
          <w:rFonts w:asciiTheme="majorBidi" w:hAnsiTheme="majorBidi" w:cstheme="majorBidi"/>
          <w:shd w:val="clear" w:color="auto" w:fill="FFFFFF"/>
        </w:rPr>
        <w:t xml:space="preserve"> </w:t>
      </w:r>
      <w:r w:rsidRPr="00C21972">
        <w:rPr>
          <w:rFonts w:asciiTheme="majorBidi" w:hAnsiTheme="majorBidi" w:cstheme="majorBidi"/>
        </w:rPr>
        <w:t>B</w:t>
      </w:r>
      <w:r w:rsidRPr="00C21972">
        <w:rPr>
          <w:rFonts w:asciiTheme="majorBidi" w:hAnsiTheme="majorBidi" w:cstheme="majorBidi"/>
          <w:shd w:val="clear" w:color="auto" w:fill="FFFFFF"/>
        </w:rPr>
        <w:t>reast cancer accounted for 11.6% of all new cancer cases worldwide</w:t>
      </w:r>
      <w:r w:rsidRPr="00C21972">
        <w:rPr>
          <w:rFonts w:asciiTheme="majorBidi" w:hAnsiTheme="majorBidi" w:cstheme="majorBidi"/>
        </w:rPr>
        <w:t> in 2022</w:t>
      </w:r>
      <w:r w:rsidRPr="00C21972">
        <w:rPr>
          <w:rFonts w:asciiTheme="majorBidi" w:hAnsiTheme="majorBidi" w:cstheme="majorBidi"/>
          <w:shd w:val="clear" w:color="auto" w:fill="FFFFFF"/>
        </w:rPr>
        <w:t>, while cervical cancer remains prevalent in many regions</w:t>
      </w:r>
      <w:r w:rsidR="00542B7A" w:rsidRPr="00C21972">
        <w:rPr>
          <w:rFonts w:asciiTheme="majorBidi" w:hAnsiTheme="majorBidi" w:cstheme="majorBidi"/>
          <w:shd w:val="clear" w:color="auto" w:fill="FFFFFF"/>
        </w:rPr>
        <w:t xml:space="preserve"> </w:t>
      </w:r>
      <w:r w:rsidRPr="00C21972">
        <w:rPr>
          <w:rFonts w:asciiTheme="majorBidi" w:hAnsiTheme="majorBidi" w:cstheme="majorBidi"/>
        </w:rPr>
        <w:t>(Bray et al., 2024)</w:t>
      </w:r>
      <w:r w:rsidRPr="00C21972">
        <w:rPr>
          <w:rFonts w:asciiTheme="majorBidi" w:hAnsiTheme="majorBidi" w:cstheme="majorBidi"/>
          <w:shd w:val="clear" w:color="auto" w:fill="FFFFFF"/>
        </w:rPr>
        <w:t xml:space="preserve">. The incidence of </w:t>
      </w:r>
      <w:r w:rsidR="00CD56F4" w:rsidRPr="00C21972">
        <w:rPr>
          <w:rFonts w:asciiTheme="majorBidi" w:hAnsiTheme="majorBidi" w:cstheme="majorBidi"/>
          <w:shd w:val="clear" w:color="auto" w:fill="FFFFFF"/>
        </w:rPr>
        <w:t>gynecological</w:t>
      </w:r>
      <w:r w:rsidRPr="00C21972">
        <w:rPr>
          <w:rFonts w:asciiTheme="majorBidi" w:hAnsiTheme="majorBidi" w:cstheme="majorBidi"/>
          <w:shd w:val="clear" w:color="auto" w:fill="FFFFFF"/>
        </w:rPr>
        <w:t xml:space="preserve"> cancers is highest in Asia, followed by Africa, with rates predicted to rise in the coming years</w:t>
      </w:r>
      <w:r w:rsidRPr="00C21972">
        <w:rPr>
          <w:rFonts w:asciiTheme="majorBidi" w:hAnsiTheme="majorBidi" w:cstheme="majorBidi"/>
        </w:rPr>
        <w:t> (Khashia Sayed, 2021)</w:t>
      </w:r>
      <w:r w:rsidRPr="00C21972">
        <w:rPr>
          <w:rFonts w:asciiTheme="majorBidi" w:hAnsiTheme="majorBidi" w:cstheme="majorBidi"/>
          <w:shd w:val="clear" w:color="auto" w:fill="FFFFFF"/>
        </w:rPr>
        <w:t>. Cancer treatment often impairs fertility in reproductive-age women, necessitating fertility preservation strategies</w:t>
      </w:r>
      <w:r w:rsidRPr="00C21972">
        <w:rPr>
          <w:rFonts w:asciiTheme="majorBidi" w:hAnsiTheme="majorBidi" w:cstheme="majorBidi"/>
        </w:rPr>
        <w:t> (</w:t>
      </w:r>
      <w:proofErr w:type="spellStart"/>
      <w:r w:rsidRPr="00C21972">
        <w:rPr>
          <w:rFonts w:asciiTheme="majorBidi" w:hAnsiTheme="majorBidi" w:cstheme="majorBidi"/>
        </w:rPr>
        <w:t>Franasiak</w:t>
      </w:r>
      <w:proofErr w:type="spellEnd"/>
      <w:r w:rsidRPr="00C21972">
        <w:rPr>
          <w:rFonts w:asciiTheme="majorBidi" w:hAnsiTheme="majorBidi" w:cstheme="majorBidi"/>
        </w:rPr>
        <w:t xml:space="preserve"> &amp; Scott, 2016).</w:t>
      </w:r>
      <w:r w:rsidR="00CD56F4" w:rsidRPr="00C21972">
        <w:rPr>
          <w:rFonts w:asciiTheme="majorBidi" w:hAnsiTheme="majorBidi" w:cstheme="majorBidi"/>
          <w:strike/>
        </w:rPr>
        <w:t xml:space="preserve"> </w:t>
      </w:r>
      <w:r w:rsidRPr="00C21972">
        <w:rPr>
          <w:rFonts w:asciiTheme="majorBidi" w:hAnsiTheme="majorBidi" w:cstheme="majorBidi"/>
          <w:shd w:val="clear" w:color="auto" w:fill="FFFFFF"/>
        </w:rPr>
        <w:t>Implementing effective interventions such as HPV vaccination, screening programs, and tobacco control could substantially reduce the burden of reproductive cancers globally</w:t>
      </w:r>
      <w:r w:rsidRPr="00C21972">
        <w:rPr>
          <w:rFonts w:asciiTheme="majorBidi" w:hAnsiTheme="majorBidi" w:cstheme="majorBidi"/>
        </w:rPr>
        <w:t> (Torre et al., 2017; Bray et al., 2024)</w:t>
      </w:r>
      <w:r w:rsidRPr="00C21972">
        <w:rPr>
          <w:rFonts w:asciiTheme="majorBidi" w:hAnsiTheme="majorBidi" w:cstheme="majorBidi"/>
          <w:shd w:val="clear" w:color="auto" w:fill="FFFFFF"/>
        </w:rPr>
        <w:t>. Projections indicate that new cancer cases may reach 35 million by 2050, emphasi</w:t>
      </w:r>
      <w:r w:rsidRPr="00C21972">
        <w:rPr>
          <w:rFonts w:asciiTheme="majorBidi" w:hAnsiTheme="majorBidi" w:cstheme="majorBidi"/>
        </w:rPr>
        <w:t>z</w:t>
      </w:r>
      <w:r w:rsidRPr="00C21972">
        <w:rPr>
          <w:rFonts w:asciiTheme="majorBidi" w:hAnsiTheme="majorBidi" w:cstheme="majorBidi"/>
          <w:shd w:val="clear" w:color="auto" w:fill="FFFFFF"/>
        </w:rPr>
        <w:t>ing the urgent need for prevention and control measures</w:t>
      </w:r>
      <w:r w:rsidRPr="00C21972">
        <w:rPr>
          <w:rFonts w:asciiTheme="majorBidi" w:hAnsiTheme="majorBidi" w:cstheme="majorBidi"/>
        </w:rPr>
        <w:t> (Bray et al., 2024)</w:t>
      </w:r>
      <w:r w:rsidRPr="00C21972">
        <w:rPr>
          <w:rFonts w:asciiTheme="majorBidi" w:hAnsiTheme="majorBidi" w:cstheme="majorBidi"/>
          <w:shd w:val="clear" w:color="auto" w:fill="FFFFFF"/>
        </w:rPr>
        <w:t>.</w:t>
      </w:r>
      <w:r w:rsidRPr="00C21972">
        <w:rPr>
          <w:rFonts w:asciiTheme="majorBidi" w:hAnsiTheme="majorBidi" w:cstheme="majorBidi"/>
        </w:rPr>
        <w:t xml:space="preserve"> </w:t>
      </w:r>
      <w:r w:rsidRPr="00C21972">
        <w:rPr>
          <w:rFonts w:asciiTheme="majorBidi" w:hAnsiTheme="majorBidi" w:cstheme="majorBidi"/>
          <w:shd w:val="clear" w:color="auto" w:fill="FFFFFF"/>
        </w:rPr>
        <w:t>Breast cancer remains a significant global health concern, particularly affecting women worldwide</w:t>
      </w:r>
      <w:r w:rsidRPr="00C21972">
        <w:rPr>
          <w:rFonts w:asciiTheme="majorBidi" w:hAnsiTheme="majorBidi" w:cstheme="majorBidi"/>
        </w:rPr>
        <w:t> (Salman, 2023; Cumber et al., 2017)</w:t>
      </w:r>
      <w:r w:rsidRPr="00C21972">
        <w:rPr>
          <w:rFonts w:asciiTheme="majorBidi" w:hAnsiTheme="majorBidi" w:cstheme="majorBidi"/>
          <w:shd w:val="clear" w:color="auto" w:fill="FFFFFF"/>
        </w:rPr>
        <w:t>. It is the most frequently diagnosed cancer in women and ranks second among cancer-related deaths</w:t>
      </w:r>
      <w:r w:rsidRPr="00C21972">
        <w:rPr>
          <w:rFonts w:asciiTheme="majorBidi" w:hAnsiTheme="majorBidi" w:cstheme="majorBidi"/>
        </w:rPr>
        <w:t> (Ullah, 2019)</w:t>
      </w:r>
      <w:r w:rsidR="00CD56F4" w:rsidRPr="00C21972">
        <w:rPr>
          <w:rFonts w:asciiTheme="majorBidi" w:hAnsiTheme="majorBidi" w:cstheme="majorBidi"/>
        </w:rPr>
        <w:t xml:space="preserve">. </w:t>
      </w:r>
      <w:r w:rsidRPr="00C21972">
        <w:rPr>
          <w:rFonts w:asciiTheme="majorBidi" w:hAnsiTheme="majorBidi" w:cstheme="majorBidi"/>
          <w:shd w:val="clear" w:color="auto" w:fill="FFFFFF"/>
        </w:rPr>
        <w:t>Challenges in breast cancer management include medical imaging technology limitations, financial constraints, and poor prognosis in triple-negative breast cancer</w:t>
      </w:r>
      <w:r w:rsidRPr="00C21972">
        <w:rPr>
          <w:rFonts w:asciiTheme="majorBidi" w:hAnsiTheme="majorBidi" w:cstheme="majorBidi"/>
        </w:rPr>
        <w:t> (Cumber et al., 2017; Ullah, 2019)</w:t>
      </w:r>
      <w:r w:rsidRPr="00C21972">
        <w:rPr>
          <w:rFonts w:asciiTheme="majorBidi" w:hAnsiTheme="majorBidi" w:cstheme="majorBidi"/>
          <w:shd w:val="clear" w:color="auto" w:fill="FFFFFF"/>
        </w:rPr>
        <w:t>. However, advancements in screening, diagnosis, and treatment have improved clinical outcomes</w:t>
      </w:r>
      <w:r w:rsidRPr="00C21972">
        <w:rPr>
          <w:rFonts w:asciiTheme="majorBidi" w:hAnsiTheme="majorBidi" w:cstheme="majorBidi"/>
        </w:rPr>
        <w:t> (Ullah, 2019)</w:t>
      </w:r>
      <w:r w:rsidRPr="00C21972">
        <w:rPr>
          <w:rFonts w:asciiTheme="majorBidi" w:hAnsiTheme="majorBidi" w:cstheme="majorBidi"/>
          <w:shd w:val="clear" w:color="auto" w:fill="FFFFFF"/>
        </w:rPr>
        <w:t>. Emerging technologies such as AI, 3D bioprinting, and nanotechnology show promise in addressing challenges like metastatic disease management and global disparities in outcomes</w:t>
      </w:r>
      <w:r w:rsidRPr="00C21972">
        <w:rPr>
          <w:rFonts w:asciiTheme="majorBidi" w:hAnsiTheme="majorBidi" w:cstheme="majorBidi"/>
        </w:rPr>
        <w:t> (Sonalika et al., 2023)</w:t>
      </w:r>
      <w:r w:rsidRPr="00C21972">
        <w:rPr>
          <w:rFonts w:asciiTheme="majorBidi" w:hAnsiTheme="majorBidi" w:cstheme="majorBidi"/>
          <w:shd w:val="clear" w:color="auto" w:fill="FFFFFF"/>
        </w:rPr>
        <w:t>. Despite progress, equal worldwide access to therapeutic advances remains a significant challenge</w:t>
      </w:r>
      <w:r w:rsidRPr="00C21972">
        <w:rPr>
          <w:rFonts w:asciiTheme="majorBidi" w:hAnsiTheme="majorBidi" w:cstheme="majorBidi"/>
        </w:rPr>
        <w:t> (Salman, 2023)</w:t>
      </w:r>
      <w:r w:rsidRPr="00C21972">
        <w:rPr>
          <w:rFonts w:asciiTheme="majorBidi" w:hAnsiTheme="majorBidi" w:cstheme="majorBidi"/>
          <w:shd w:val="clear" w:color="auto" w:fill="FFFFFF"/>
        </w:rPr>
        <w:t>, necessitating the development of novel therapeutic approaches.</w:t>
      </w:r>
      <w:r w:rsidRPr="00C21972">
        <w:rPr>
          <w:rFonts w:asciiTheme="majorBidi" w:hAnsiTheme="majorBidi" w:cstheme="majorBidi"/>
        </w:rPr>
        <w:br/>
      </w:r>
      <w:r w:rsidRPr="00C21972">
        <w:rPr>
          <w:rFonts w:asciiTheme="majorBidi" w:hAnsiTheme="majorBidi" w:cstheme="majorBidi"/>
        </w:rPr>
        <w:br/>
      </w:r>
      <w:r w:rsidRPr="00C21972">
        <w:rPr>
          <w:rFonts w:asciiTheme="majorBidi" w:hAnsiTheme="majorBidi" w:cstheme="majorBidi"/>
          <w:shd w:val="clear" w:color="auto" w:fill="FFFFFF"/>
        </w:rPr>
        <w:t>Recent research has focused on peptides derived from bacteria, marine organisms</w:t>
      </w:r>
      <w:r w:rsidRPr="00C21972">
        <w:rPr>
          <w:rFonts w:asciiTheme="majorBidi" w:hAnsiTheme="majorBidi" w:cstheme="majorBidi"/>
        </w:rPr>
        <w:t>,</w:t>
      </w:r>
      <w:r w:rsidRPr="00C21972">
        <w:rPr>
          <w:rFonts w:asciiTheme="majorBidi" w:hAnsiTheme="majorBidi" w:cstheme="majorBidi"/>
          <w:shd w:val="clear" w:color="auto" w:fill="FFFFFF"/>
        </w:rPr>
        <w:t> and plants as potential anti-breast cancer agents. Marine peptides have shown promise in targeting cancer cells through various mechanisms, including apoptosis induction and angiogenesis suppression</w:t>
      </w:r>
      <w:r w:rsidRPr="00C21972">
        <w:rPr>
          <w:rFonts w:asciiTheme="majorBidi" w:hAnsiTheme="majorBidi" w:cstheme="majorBidi"/>
        </w:rPr>
        <w:t> (Ahmed et al., 2021)</w:t>
      </w:r>
      <w:r w:rsidRPr="00C21972">
        <w:rPr>
          <w:rFonts w:asciiTheme="majorBidi" w:hAnsiTheme="majorBidi" w:cstheme="majorBidi"/>
          <w:shd w:val="clear" w:color="auto" w:fill="FFFFFF"/>
        </w:rPr>
        <w:t>. Similarly, plant protein-derived peptides exhibit anti-cancer activities by inhibiting proliferation, migration, and invasion of breast cancer cells</w:t>
      </w:r>
      <w:r w:rsidRPr="00C21972">
        <w:rPr>
          <w:rFonts w:asciiTheme="majorBidi" w:hAnsiTheme="majorBidi" w:cstheme="majorBidi"/>
        </w:rPr>
        <w:t> (Zhang et al., 2025)</w:t>
      </w:r>
      <w:r w:rsidRPr="00C21972">
        <w:rPr>
          <w:rFonts w:asciiTheme="majorBidi" w:hAnsiTheme="majorBidi" w:cstheme="majorBidi"/>
          <w:shd w:val="clear" w:color="auto" w:fill="FFFFFF"/>
        </w:rPr>
        <w:t>. These peptides offer advantages such as low toxicity, high specificity, and the ability to overcome drug resistance</w:t>
      </w:r>
      <w:r w:rsidRPr="00C21972">
        <w:rPr>
          <w:rFonts w:asciiTheme="majorBidi" w:hAnsiTheme="majorBidi" w:cstheme="majorBidi"/>
        </w:rPr>
        <w:t>.</w:t>
      </w:r>
      <w:r w:rsidRPr="00C21972">
        <w:rPr>
          <w:rFonts w:asciiTheme="majorBidi" w:hAnsiTheme="majorBidi" w:cstheme="majorBidi"/>
          <w:shd w:val="clear" w:color="auto" w:fill="FFFFFF"/>
        </w:rPr>
        <w:t> </w:t>
      </w:r>
      <w:r w:rsidRPr="00C21972">
        <w:rPr>
          <w:rFonts w:asciiTheme="majorBidi" w:hAnsiTheme="majorBidi" w:cstheme="majorBidi"/>
        </w:rPr>
        <w:t>(</w:t>
      </w:r>
      <w:proofErr w:type="spellStart"/>
      <w:r w:rsidRPr="00C21972">
        <w:rPr>
          <w:rFonts w:asciiTheme="majorBidi" w:hAnsiTheme="majorBidi" w:cstheme="majorBidi"/>
        </w:rPr>
        <w:t>Beheshtirouy</w:t>
      </w:r>
      <w:proofErr w:type="spellEnd"/>
      <w:r w:rsidRPr="00C21972">
        <w:rPr>
          <w:rFonts w:asciiTheme="majorBidi" w:hAnsiTheme="majorBidi" w:cstheme="majorBidi"/>
        </w:rPr>
        <w:t xml:space="preserve"> et al., 2020)</w:t>
      </w:r>
      <w:r w:rsidR="00CD56F4" w:rsidRPr="00C21972">
        <w:rPr>
          <w:rFonts w:asciiTheme="majorBidi" w:hAnsiTheme="majorBidi" w:cstheme="majorBidi"/>
        </w:rPr>
        <w:t xml:space="preserve">. </w:t>
      </w:r>
      <w:r w:rsidRPr="00C21972">
        <w:rPr>
          <w:rFonts w:asciiTheme="majorBidi" w:hAnsiTheme="majorBidi" w:cstheme="majorBidi"/>
          <w:shd w:val="clear" w:color="auto" w:fill="FFFFFF"/>
        </w:rPr>
        <w:t>Toxins from toad</w:t>
      </w:r>
      <w:r w:rsidRPr="00C21972">
        <w:rPr>
          <w:rFonts w:asciiTheme="majorBidi" w:hAnsiTheme="majorBidi" w:cstheme="majorBidi"/>
        </w:rPr>
        <w:t>'</w:t>
      </w:r>
      <w:r w:rsidRPr="00C21972">
        <w:rPr>
          <w:rFonts w:asciiTheme="majorBidi" w:hAnsiTheme="majorBidi" w:cstheme="majorBidi"/>
          <w:shd w:val="clear" w:color="auto" w:fill="FFFFFF"/>
        </w:rPr>
        <w:t>s parotoid or skin glands have been reported to have significant therapeutic value for</w:t>
      </w:r>
      <w:r w:rsidR="00471009" w:rsidRPr="00C21972">
        <w:rPr>
          <w:rFonts w:asciiTheme="majorBidi" w:hAnsiTheme="majorBidi" w:cstheme="majorBidi"/>
          <w:shd w:val="clear" w:color="auto" w:fill="FFFFFF"/>
        </w:rPr>
        <w:t xml:space="preserve"> </w:t>
      </w:r>
      <w:r w:rsidR="00471009" w:rsidRPr="00C21972">
        <w:rPr>
          <w:rFonts w:asciiTheme="majorBidi" w:hAnsiTheme="majorBidi" w:cstheme="majorBidi"/>
        </w:rPr>
        <w:t xml:space="preserve">various diseases </w:t>
      </w:r>
      <w:r w:rsidRPr="00C21972">
        <w:rPr>
          <w:rFonts w:asciiTheme="majorBidi" w:hAnsiTheme="majorBidi" w:cstheme="majorBidi"/>
        </w:rPr>
        <w:t>(Yang et al., 2015)</w:t>
      </w:r>
      <w:r w:rsidR="00471009" w:rsidRPr="00C21972">
        <w:rPr>
          <w:rFonts w:asciiTheme="majorBidi" w:hAnsiTheme="majorBidi" w:cstheme="majorBidi"/>
        </w:rPr>
        <w:t xml:space="preserve">. </w:t>
      </w:r>
      <w:r w:rsidRPr="00C21972">
        <w:rPr>
          <w:rFonts w:asciiTheme="majorBidi" w:hAnsiTheme="majorBidi" w:cstheme="majorBidi"/>
        </w:rPr>
        <w:t>Traditional use of toad toxins in East and Southeast Asian countries has shown efficacy in</w:t>
      </w:r>
      <w:r w:rsidRPr="00C21972">
        <w:rPr>
          <w:rFonts w:asciiTheme="majorBidi" w:hAnsiTheme="majorBidi" w:cstheme="majorBidi"/>
          <w:shd w:val="clear" w:color="auto" w:fill="FFFFFF"/>
        </w:rPr>
        <w:t> treating pain</w:t>
      </w:r>
      <w:r w:rsidRPr="00C21972">
        <w:rPr>
          <w:rFonts w:asciiTheme="majorBidi" w:hAnsiTheme="majorBidi" w:cstheme="majorBidi"/>
        </w:rPr>
        <w:t>,</w:t>
      </w:r>
      <w:r w:rsidRPr="00C21972">
        <w:rPr>
          <w:rFonts w:asciiTheme="majorBidi" w:hAnsiTheme="majorBidi" w:cstheme="majorBidi"/>
          <w:shd w:val="clear" w:color="auto" w:fill="FFFFFF"/>
        </w:rPr>
        <w:t> inflammatory diseases</w:t>
      </w:r>
      <w:r w:rsidRPr="00C21972">
        <w:rPr>
          <w:rFonts w:asciiTheme="majorBidi" w:hAnsiTheme="majorBidi" w:cstheme="majorBidi"/>
        </w:rPr>
        <w:t xml:space="preserve"> and cancer. </w:t>
      </w:r>
    </w:p>
    <w:p w14:paraId="7BCCA048" w14:textId="77777777" w:rsidR="00441C16" w:rsidRDefault="00B450B1" w:rsidP="0016715B">
      <w:pPr>
        <w:spacing w:line="240" w:lineRule="auto"/>
        <w:jc w:val="both"/>
        <w:rPr>
          <w:rFonts w:asciiTheme="majorBidi" w:hAnsiTheme="majorBidi" w:cstheme="majorBidi"/>
          <w:lang w:val="en-GB"/>
        </w:rPr>
      </w:pPr>
      <w:r w:rsidRPr="00C21972">
        <w:rPr>
          <w:rFonts w:asciiTheme="majorBidi" w:hAnsiTheme="majorBidi" w:cstheme="majorBidi"/>
          <w:lang w:val="en-GB"/>
        </w:rPr>
        <w:lastRenderedPageBreak/>
        <w:t xml:space="preserve">A recent analysis of the effectiveness of </w:t>
      </w:r>
      <w:proofErr w:type="spellStart"/>
      <w:r w:rsidRPr="00C21972">
        <w:rPr>
          <w:rFonts w:asciiTheme="majorBidi" w:hAnsiTheme="majorBidi" w:cstheme="majorBidi"/>
          <w:lang w:val="en-GB"/>
        </w:rPr>
        <w:t>Huachansu</w:t>
      </w:r>
      <w:proofErr w:type="spellEnd"/>
      <w:r w:rsidRPr="00C21972">
        <w:rPr>
          <w:rFonts w:asciiTheme="majorBidi" w:hAnsiTheme="majorBidi" w:cstheme="majorBidi"/>
          <w:lang w:val="en-GB"/>
        </w:rPr>
        <w:t xml:space="preserve"> capsules, which are made from the venom of </w:t>
      </w:r>
      <w:r w:rsidRPr="00C21972">
        <w:rPr>
          <w:rFonts w:asciiTheme="majorBidi" w:hAnsiTheme="majorBidi" w:cstheme="majorBidi"/>
          <w:i/>
          <w:lang w:val="en-GB"/>
        </w:rPr>
        <w:t xml:space="preserve">Bufo </w:t>
      </w:r>
      <w:proofErr w:type="spellStart"/>
      <w:r w:rsidRPr="00C21972">
        <w:rPr>
          <w:rFonts w:asciiTheme="majorBidi" w:hAnsiTheme="majorBidi" w:cstheme="majorBidi"/>
          <w:i/>
          <w:lang w:val="en-GB"/>
        </w:rPr>
        <w:t>gargarizans</w:t>
      </w:r>
      <w:proofErr w:type="spellEnd"/>
      <w:r w:rsidRPr="00C21972">
        <w:rPr>
          <w:rFonts w:asciiTheme="majorBidi" w:hAnsiTheme="majorBidi" w:cstheme="majorBidi"/>
          <w:lang w:val="en-GB"/>
        </w:rPr>
        <w:t xml:space="preserve">, as an adjuvant therapy for breast cancer found that they prolong overall survival, modulate immune function, inhibit </w:t>
      </w:r>
      <w:proofErr w:type="spellStart"/>
      <w:r w:rsidRPr="00C21972">
        <w:rPr>
          <w:rFonts w:asciiTheme="majorBidi" w:hAnsiTheme="majorBidi" w:cstheme="majorBidi"/>
          <w:lang w:val="en-GB"/>
        </w:rPr>
        <w:t>tumor</w:t>
      </w:r>
      <w:proofErr w:type="spellEnd"/>
      <w:r w:rsidRPr="00C21972">
        <w:rPr>
          <w:rFonts w:asciiTheme="majorBidi" w:hAnsiTheme="majorBidi" w:cstheme="majorBidi"/>
          <w:lang w:val="en-GB"/>
        </w:rPr>
        <w:t xml:space="preserve"> progression and lessen adverse chemotherapeutic effects on individuals (Wu </w:t>
      </w:r>
      <w:r w:rsidRPr="00C21972">
        <w:rPr>
          <w:rFonts w:asciiTheme="majorBidi" w:hAnsiTheme="majorBidi" w:cstheme="majorBidi"/>
          <w:i/>
          <w:lang w:val="en-GB"/>
        </w:rPr>
        <w:t xml:space="preserve">et al., </w:t>
      </w:r>
      <w:r w:rsidRPr="00C21972">
        <w:rPr>
          <w:rFonts w:asciiTheme="majorBidi" w:hAnsiTheme="majorBidi" w:cstheme="majorBidi"/>
          <w:lang w:val="en-GB"/>
        </w:rPr>
        <w:t xml:space="preserve">2025). </w:t>
      </w:r>
      <w:r w:rsidR="00101A7A" w:rsidRPr="00C21972">
        <w:rPr>
          <w:rFonts w:asciiTheme="majorBidi" w:hAnsiTheme="majorBidi" w:cstheme="majorBidi"/>
          <w:lang w:val="en-GB"/>
        </w:rPr>
        <w:t xml:space="preserve"> </w:t>
      </w:r>
      <w:r w:rsidRPr="00C21972">
        <w:rPr>
          <w:rFonts w:asciiTheme="majorBidi" w:hAnsiTheme="majorBidi" w:cstheme="majorBidi"/>
          <w:lang w:val="en-GB"/>
        </w:rPr>
        <w:t xml:space="preserve">A recent study identified cinobufagin, a natural product derived from </w:t>
      </w:r>
      <w:r w:rsidRPr="00C21972">
        <w:rPr>
          <w:rFonts w:asciiTheme="majorBidi" w:hAnsiTheme="majorBidi" w:cstheme="majorBidi"/>
          <w:i/>
          <w:lang w:val="en-GB"/>
        </w:rPr>
        <w:t xml:space="preserve">Bufo </w:t>
      </w:r>
      <w:proofErr w:type="spellStart"/>
      <w:r w:rsidRPr="00C21972">
        <w:rPr>
          <w:rFonts w:asciiTheme="majorBidi" w:hAnsiTheme="majorBidi" w:cstheme="majorBidi"/>
          <w:i/>
          <w:lang w:val="en-GB"/>
        </w:rPr>
        <w:t>gargarizans</w:t>
      </w:r>
      <w:proofErr w:type="spellEnd"/>
      <w:r w:rsidRPr="00C21972">
        <w:rPr>
          <w:rFonts w:asciiTheme="majorBidi" w:hAnsiTheme="majorBidi" w:cstheme="majorBidi"/>
          <w:lang w:val="en-GB"/>
        </w:rPr>
        <w:t xml:space="preserve">, as having significant effect on breast cancer signature gene set following a chemical structure and transcriptional regulatory analysis of traditional Chinese Medicines (Li </w:t>
      </w:r>
      <w:r w:rsidRPr="00C21972">
        <w:rPr>
          <w:rFonts w:asciiTheme="majorBidi" w:hAnsiTheme="majorBidi" w:cstheme="majorBidi"/>
          <w:i/>
          <w:lang w:val="en-GB"/>
        </w:rPr>
        <w:t>et al</w:t>
      </w:r>
      <w:r w:rsidRPr="00C21972">
        <w:rPr>
          <w:rFonts w:asciiTheme="majorBidi" w:hAnsiTheme="majorBidi" w:cstheme="majorBidi"/>
          <w:lang w:val="en-GB"/>
        </w:rPr>
        <w:t xml:space="preserve">., 2025). Also, cinobufagin, has be reported to have antitumor effect through vasculogenic mimicry and M2 macrophage polarization inhibition in ovarian cancer cells (Wang </w:t>
      </w:r>
      <w:r w:rsidRPr="00C21972">
        <w:rPr>
          <w:rFonts w:asciiTheme="majorBidi" w:hAnsiTheme="majorBidi" w:cstheme="majorBidi"/>
          <w:i/>
          <w:lang w:val="en-GB"/>
        </w:rPr>
        <w:t>et al</w:t>
      </w:r>
      <w:r w:rsidRPr="00C21972">
        <w:rPr>
          <w:rFonts w:asciiTheme="majorBidi" w:hAnsiTheme="majorBidi" w:cstheme="majorBidi"/>
          <w:lang w:val="en-GB"/>
        </w:rPr>
        <w:t>., 2025).</w:t>
      </w:r>
    </w:p>
    <w:p w14:paraId="62BE789E" w14:textId="4F43EC4A" w:rsidR="00A15275" w:rsidRPr="00C21972" w:rsidRDefault="001A5056" w:rsidP="0016715B">
      <w:pPr>
        <w:spacing w:line="240" w:lineRule="auto"/>
        <w:jc w:val="both"/>
        <w:rPr>
          <w:rFonts w:asciiTheme="majorBidi" w:hAnsiTheme="majorBidi" w:cstheme="majorBidi"/>
          <w:lang w:val="en-GB"/>
        </w:rPr>
      </w:pPr>
      <w:proofErr w:type="spellStart"/>
      <w:r w:rsidRPr="00C21972">
        <w:rPr>
          <w:rFonts w:asciiTheme="majorBidi" w:hAnsiTheme="majorBidi" w:cstheme="majorBidi"/>
        </w:rPr>
        <w:t>Bufadienolides</w:t>
      </w:r>
      <w:proofErr w:type="spellEnd"/>
      <w:r w:rsidRPr="00C21972">
        <w:rPr>
          <w:rFonts w:asciiTheme="majorBidi" w:hAnsiTheme="majorBidi" w:cstheme="majorBidi"/>
        </w:rPr>
        <w:t xml:space="preserve"> and</w:t>
      </w:r>
      <w:r w:rsidRPr="00C21972">
        <w:rPr>
          <w:rFonts w:asciiTheme="majorBidi" w:hAnsiTheme="majorBidi" w:cstheme="majorBidi"/>
          <w:shd w:val="clear" w:color="auto" w:fill="FFFFFF"/>
        </w:rPr>
        <w:t> indole</w:t>
      </w:r>
      <w:r w:rsidRPr="00C21972">
        <w:rPr>
          <w:rFonts w:asciiTheme="majorBidi" w:hAnsiTheme="majorBidi" w:cstheme="majorBidi"/>
          <w:strike/>
        </w:rPr>
        <w:t> </w:t>
      </w:r>
      <w:r w:rsidRPr="00C21972">
        <w:rPr>
          <w:rFonts w:asciiTheme="majorBidi" w:hAnsiTheme="majorBidi" w:cstheme="majorBidi"/>
          <w:shd w:val="clear" w:color="auto" w:fill="FFFFFF"/>
        </w:rPr>
        <w:t>alk</w:t>
      </w:r>
      <w:r w:rsidRPr="00C21972">
        <w:rPr>
          <w:rFonts w:asciiTheme="majorBidi" w:hAnsiTheme="majorBidi" w:cstheme="majorBidi"/>
        </w:rPr>
        <w:t>ylamines ar</w:t>
      </w:r>
      <w:r w:rsidRPr="00C21972">
        <w:rPr>
          <w:rFonts w:asciiTheme="majorBidi" w:hAnsiTheme="majorBidi" w:cstheme="majorBidi"/>
          <w:shd w:val="clear" w:color="auto" w:fill="FFFFFF"/>
        </w:rPr>
        <w:t>e two main groups of compounds with therapeutic potential</w:t>
      </w:r>
      <w:r w:rsidR="00471009" w:rsidRPr="00C21972">
        <w:rPr>
          <w:rFonts w:asciiTheme="majorBidi" w:hAnsiTheme="majorBidi" w:cstheme="majorBidi"/>
          <w:shd w:val="clear" w:color="auto" w:fill="FFFFFF"/>
        </w:rPr>
        <w:t xml:space="preserve"> </w:t>
      </w:r>
      <w:r w:rsidRPr="00C21972">
        <w:rPr>
          <w:rFonts w:asciiTheme="majorBidi" w:hAnsiTheme="majorBidi" w:cstheme="majorBidi"/>
        </w:rPr>
        <w:t>in toad toxins, with reported effects on</w:t>
      </w:r>
      <w:r w:rsidRPr="00C21972">
        <w:rPr>
          <w:rFonts w:asciiTheme="majorBidi" w:hAnsiTheme="majorBidi" w:cstheme="majorBidi"/>
          <w:shd w:val="clear" w:color="auto" w:fill="FFFFFF"/>
        </w:rPr>
        <w:t> </w:t>
      </w:r>
      <w:proofErr w:type="spellStart"/>
      <w:r w:rsidRPr="00C21972">
        <w:rPr>
          <w:rFonts w:asciiTheme="majorBidi" w:hAnsiTheme="majorBidi" w:cstheme="majorBidi"/>
          <w:shd w:val="clear" w:color="auto" w:fill="FFFFFF"/>
        </w:rPr>
        <w:t>tumour</w:t>
      </w:r>
      <w:proofErr w:type="spellEnd"/>
      <w:r w:rsidRPr="00C21972">
        <w:rPr>
          <w:rFonts w:asciiTheme="majorBidi" w:hAnsiTheme="majorBidi" w:cstheme="majorBidi"/>
          <w:shd w:val="clear" w:color="auto" w:fill="FFFFFF"/>
        </w:rPr>
        <w:t xml:space="preserve"> cell growth</w:t>
      </w:r>
      <w:r w:rsidRPr="00C21972">
        <w:rPr>
          <w:rFonts w:asciiTheme="majorBidi" w:hAnsiTheme="majorBidi" w:cstheme="majorBidi"/>
          <w:strike/>
        </w:rPr>
        <w:t>,</w:t>
      </w:r>
      <w:r w:rsidRPr="00C21972">
        <w:rPr>
          <w:rFonts w:asciiTheme="majorBidi" w:hAnsiTheme="majorBidi" w:cstheme="majorBidi"/>
          <w:shd w:val="clear" w:color="auto" w:fill="FFFFFF"/>
        </w:rPr>
        <w:t> in</w:t>
      </w:r>
      <w:r w:rsidRPr="00C21972">
        <w:rPr>
          <w:rFonts w:asciiTheme="majorBidi" w:hAnsiTheme="majorBidi" w:cstheme="majorBidi"/>
        </w:rPr>
        <w:t>hibition and apoptosis induction. Recent studies have explored in silico approaches for designing anti-breast cancer therapeutics</w:t>
      </w:r>
      <w:r w:rsidR="00E70B17">
        <w:rPr>
          <w:rFonts w:asciiTheme="majorBidi" w:hAnsiTheme="majorBidi" w:cstheme="majorBidi"/>
        </w:rPr>
        <w:t xml:space="preserve"> </w:t>
      </w:r>
      <w:r w:rsidRPr="00C21972">
        <w:rPr>
          <w:rFonts w:asciiTheme="majorBidi" w:hAnsiTheme="majorBidi" w:cstheme="majorBidi"/>
        </w:rPr>
        <w:t>using bacterial metagenomes.</w:t>
      </w:r>
      <w:r w:rsidR="00471009" w:rsidRPr="00C21972">
        <w:rPr>
          <w:rFonts w:asciiTheme="majorBidi" w:hAnsiTheme="majorBidi" w:cstheme="majorBidi"/>
        </w:rPr>
        <w:t xml:space="preserve"> </w:t>
      </w:r>
      <w:r w:rsidRPr="00C21972">
        <w:rPr>
          <w:rFonts w:asciiTheme="majorBidi" w:hAnsiTheme="majorBidi" w:cstheme="majorBidi"/>
        </w:rPr>
        <w:t>These studies</w:t>
      </w:r>
      <w:r w:rsidRPr="00C21972">
        <w:rPr>
          <w:rFonts w:asciiTheme="majorBidi" w:hAnsiTheme="majorBidi" w:cstheme="majorBidi"/>
        </w:rPr>
        <w:br/>
      </w:r>
      <w:r w:rsidRPr="00C21972">
        <w:rPr>
          <w:rFonts w:asciiTheme="majorBidi" w:hAnsiTheme="majorBidi" w:cstheme="majorBidi"/>
          <w:shd w:val="clear" w:color="auto" w:fill="FFFFFF"/>
        </w:rPr>
        <w:t>demonstrate the potential of bacterial metagenomes and their metabolites in identifying novel anti-breast</w:t>
      </w:r>
      <w:r w:rsidR="00471009" w:rsidRPr="00C21972">
        <w:rPr>
          <w:rFonts w:asciiTheme="majorBidi" w:hAnsiTheme="majorBidi" w:cstheme="majorBidi"/>
          <w:shd w:val="clear" w:color="auto" w:fill="FFFFFF"/>
        </w:rPr>
        <w:t xml:space="preserve"> </w:t>
      </w:r>
      <w:r w:rsidRPr="00C21972">
        <w:rPr>
          <w:rFonts w:asciiTheme="majorBidi" w:hAnsiTheme="majorBidi" w:cstheme="majorBidi"/>
          <w:shd w:val="clear" w:color="auto" w:fill="FFFFFF"/>
        </w:rPr>
        <w:t>cancer therapeutics through in silico approaches.</w:t>
      </w:r>
      <w:r w:rsidRPr="00C21972">
        <w:rPr>
          <w:rFonts w:asciiTheme="majorBidi" w:hAnsiTheme="majorBidi" w:cstheme="majorBidi"/>
          <w:strike/>
        </w:rPr>
        <w:br/>
      </w:r>
      <w:r w:rsidRPr="00C21972">
        <w:rPr>
          <w:rFonts w:asciiTheme="majorBidi" w:hAnsiTheme="majorBidi" w:cstheme="majorBidi"/>
          <w:shd w:val="clear" w:color="auto" w:fill="FFFFFF"/>
        </w:rPr>
        <w:t>The development of peptide-based therapies and nanoparticle delivery systems shows promise for more effective and targeted breast cancer treatments, potentially addressing the limitations of traditional chemotherapeutic agents</w:t>
      </w:r>
      <w:r w:rsidR="00471009" w:rsidRPr="00C21972">
        <w:rPr>
          <w:rFonts w:asciiTheme="majorBidi" w:hAnsiTheme="majorBidi" w:cstheme="majorBidi"/>
          <w:shd w:val="clear" w:color="auto" w:fill="FFFFFF"/>
        </w:rPr>
        <w:t xml:space="preserve">. </w:t>
      </w:r>
      <w:r w:rsidR="00A15275" w:rsidRPr="00C21972">
        <w:rPr>
          <w:rFonts w:ascii="Times New Roman" w:eastAsia="Times New Roman" w:hAnsi="Times New Roman" w:cs="Times New Roman"/>
          <w:kern w:val="0"/>
          <w:shd w:val="clear" w:color="auto" w:fill="FFFFFF"/>
          <w14:ligatures w14:val="none"/>
        </w:rPr>
        <w:t xml:space="preserve">Therefore, this research was designed to investigate the in silico therapeutic potential of bioactive compounds of </w:t>
      </w:r>
      <w:r w:rsidR="00A15275" w:rsidRPr="00C21972">
        <w:rPr>
          <w:rFonts w:ascii="Times New Roman" w:hAnsi="Times New Roman" w:cs="Times New Roman"/>
          <w:i/>
          <w:iCs/>
          <w:spacing w:val="3"/>
          <w:shd w:val="clear" w:color="auto" w:fill="FFFFFF"/>
        </w:rPr>
        <w:t xml:space="preserve">Bufo </w:t>
      </w:r>
      <w:proofErr w:type="spellStart"/>
      <w:r w:rsidR="00A15275" w:rsidRPr="00C21972">
        <w:rPr>
          <w:rFonts w:ascii="Times New Roman" w:hAnsi="Times New Roman" w:cs="Times New Roman"/>
          <w:i/>
          <w:iCs/>
          <w:spacing w:val="3"/>
          <w:shd w:val="clear" w:color="auto" w:fill="FFFFFF"/>
        </w:rPr>
        <w:t>gargarizans</w:t>
      </w:r>
      <w:proofErr w:type="spellEnd"/>
      <w:r w:rsidR="00A15275" w:rsidRPr="00C21972">
        <w:rPr>
          <w:rFonts w:ascii="Times New Roman" w:hAnsi="Times New Roman" w:cs="Times New Roman"/>
          <w:b/>
          <w:bCs/>
          <w:spacing w:val="3"/>
          <w:shd w:val="clear" w:color="auto" w:fill="FFFFFF"/>
        </w:rPr>
        <w:t xml:space="preserve"> </w:t>
      </w:r>
      <w:r w:rsidR="00A15275" w:rsidRPr="00C21972">
        <w:rPr>
          <w:rFonts w:ascii="Times New Roman" w:hAnsi="Times New Roman" w:cs="Times New Roman"/>
          <w:spacing w:val="3"/>
          <w:shd w:val="clear" w:color="auto" w:fill="FFFFFF"/>
        </w:rPr>
        <w:t>in the</w:t>
      </w:r>
      <w:r w:rsidR="00A15275" w:rsidRPr="00C21972">
        <w:rPr>
          <w:rFonts w:ascii="Times New Roman" w:hAnsi="Times New Roman" w:cs="Times New Roman"/>
          <w:b/>
          <w:bCs/>
          <w:i/>
          <w:iCs/>
          <w:spacing w:val="3"/>
          <w:shd w:val="clear" w:color="auto" w:fill="FFFFFF"/>
        </w:rPr>
        <w:t xml:space="preserve"> </w:t>
      </w:r>
      <w:r w:rsidR="00A15275" w:rsidRPr="00C21972">
        <w:rPr>
          <w:rFonts w:ascii="Times New Roman" w:eastAsia="Times New Roman" w:hAnsi="Times New Roman" w:cs="Times New Roman"/>
          <w:kern w:val="0"/>
          <w:shd w:val="clear" w:color="auto" w:fill="FFFFFF"/>
          <w14:ligatures w14:val="none"/>
        </w:rPr>
        <w:t>treatment of breast cancer.</w:t>
      </w:r>
    </w:p>
    <w:p w14:paraId="236E0B53" w14:textId="77777777" w:rsidR="00624A04" w:rsidRPr="00C21972" w:rsidRDefault="00624A04" w:rsidP="003D41F9">
      <w:pPr>
        <w:spacing w:after="0" w:line="276" w:lineRule="auto"/>
        <w:jc w:val="both"/>
        <w:rPr>
          <w:rFonts w:ascii="Times New Roman" w:eastAsia="Calibri" w:hAnsi="Times New Roman" w:cs="Times New Roman"/>
          <w:b/>
          <w:bCs/>
          <w:lang w:val="en-GB"/>
        </w:rPr>
      </w:pPr>
    </w:p>
    <w:p w14:paraId="00E0735F" w14:textId="3580A606" w:rsidR="003D41F9" w:rsidRPr="003D41F9" w:rsidRDefault="003D41F9" w:rsidP="003D41F9">
      <w:pPr>
        <w:spacing w:after="0" w:line="276" w:lineRule="auto"/>
        <w:jc w:val="both"/>
        <w:rPr>
          <w:rFonts w:ascii="Times New Roman" w:eastAsia="Calibri" w:hAnsi="Times New Roman" w:cs="Times New Roman"/>
          <w:b/>
          <w:bCs/>
          <w:lang w:val="en-GB"/>
        </w:rPr>
      </w:pPr>
      <w:r w:rsidRPr="003D41F9">
        <w:rPr>
          <w:rFonts w:ascii="Times New Roman" w:eastAsia="Calibri" w:hAnsi="Times New Roman" w:cs="Times New Roman"/>
          <w:b/>
          <w:bCs/>
          <w:lang w:val="en-GB"/>
        </w:rPr>
        <w:t xml:space="preserve">Materials and Method </w:t>
      </w:r>
    </w:p>
    <w:p w14:paraId="3DB6B736" w14:textId="77777777" w:rsidR="003D41F9" w:rsidRPr="003D41F9" w:rsidRDefault="003D41F9" w:rsidP="003D41F9">
      <w:pPr>
        <w:spacing w:after="0" w:line="276" w:lineRule="auto"/>
        <w:jc w:val="both"/>
        <w:rPr>
          <w:rFonts w:ascii="Times New Roman" w:eastAsia="Calibri" w:hAnsi="Times New Roman" w:cs="Times New Roman"/>
          <w:b/>
          <w:bCs/>
        </w:rPr>
      </w:pPr>
      <w:r w:rsidRPr="003D41F9">
        <w:rPr>
          <w:rFonts w:ascii="Times New Roman" w:eastAsia="Calibri" w:hAnsi="Times New Roman" w:cs="Times New Roman"/>
          <w:b/>
          <w:bCs/>
        </w:rPr>
        <w:t xml:space="preserve">Source of </w:t>
      </w:r>
      <w:r w:rsidRPr="003D41F9">
        <w:rPr>
          <w:rFonts w:ascii="Times New Roman" w:eastAsia="Calibri" w:hAnsi="Times New Roman" w:cs="Times New Roman"/>
          <w:b/>
          <w:bCs/>
          <w:i/>
          <w:iCs/>
          <w:color w:val="000000" w:themeColor="text1"/>
          <w:spacing w:val="3"/>
          <w:shd w:val="clear" w:color="auto" w:fill="FFFFFF"/>
        </w:rPr>
        <w:t xml:space="preserve">Bufo </w:t>
      </w:r>
      <w:proofErr w:type="spellStart"/>
      <w:r w:rsidRPr="003D41F9">
        <w:rPr>
          <w:rFonts w:ascii="Times New Roman" w:eastAsia="Calibri" w:hAnsi="Times New Roman" w:cs="Times New Roman"/>
          <w:b/>
          <w:bCs/>
          <w:i/>
          <w:iCs/>
          <w:color w:val="000000" w:themeColor="text1"/>
          <w:spacing w:val="3"/>
          <w:shd w:val="clear" w:color="auto" w:fill="FFFFFF"/>
        </w:rPr>
        <w:t>gargarizans</w:t>
      </w:r>
      <w:proofErr w:type="spellEnd"/>
      <w:r w:rsidRPr="003D41F9">
        <w:rPr>
          <w:rFonts w:ascii="Times New Roman" w:eastAsia="Calibri" w:hAnsi="Times New Roman" w:cs="Times New Roman"/>
          <w:b/>
          <w:bCs/>
          <w:color w:val="000000" w:themeColor="text1"/>
          <w:spacing w:val="3"/>
          <w:shd w:val="clear" w:color="auto" w:fill="FFFFFF"/>
        </w:rPr>
        <w:t xml:space="preserve"> Bioactive</w:t>
      </w:r>
      <w:r w:rsidRPr="003D41F9">
        <w:rPr>
          <w:rFonts w:ascii="Times New Roman" w:eastAsia="Calibri" w:hAnsi="Times New Roman" w:cs="Times New Roman"/>
          <w:b/>
          <w:bCs/>
        </w:rPr>
        <w:t xml:space="preserve"> Compounds from Databases</w:t>
      </w:r>
    </w:p>
    <w:p w14:paraId="259F7932" w14:textId="77777777" w:rsidR="003D41F9" w:rsidRPr="003D41F9" w:rsidRDefault="003D41F9" w:rsidP="003D41F9">
      <w:pPr>
        <w:spacing w:after="0" w:line="276" w:lineRule="auto"/>
        <w:jc w:val="both"/>
        <w:rPr>
          <w:rFonts w:ascii="Times New Roman" w:eastAsia="Calibri" w:hAnsi="Times New Roman" w:cs="Times New Roman"/>
        </w:rPr>
      </w:pPr>
      <w:r w:rsidRPr="003D41F9">
        <w:rPr>
          <w:rFonts w:ascii="Times New Roman" w:eastAsia="Calibri" w:hAnsi="Times New Roman" w:cs="Times New Roman"/>
          <w:b/>
          <w:bCs/>
          <w:i/>
          <w:iCs/>
          <w:color w:val="000000" w:themeColor="text1"/>
          <w:spacing w:val="3"/>
          <w:shd w:val="clear" w:color="auto" w:fill="FFFFFF"/>
        </w:rPr>
        <w:t xml:space="preserve">Bufo </w:t>
      </w:r>
      <w:proofErr w:type="spellStart"/>
      <w:r w:rsidRPr="003D41F9">
        <w:rPr>
          <w:rFonts w:ascii="Times New Roman" w:eastAsia="Calibri" w:hAnsi="Times New Roman" w:cs="Times New Roman"/>
          <w:b/>
          <w:bCs/>
          <w:i/>
          <w:iCs/>
          <w:color w:val="000000" w:themeColor="text1"/>
          <w:spacing w:val="3"/>
          <w:shd w:val="clear" w:color="auto" w:fill="FFFFFF"/>
        </w:rPr>
        <w:t>gargarizans</w:t>
      </w:r>
      <w:proofErr w:type="spellEnd"/>
      <w:r w:rsidRPr="003D41F9">
        <w:rPr>
          <w:rFonts w:ascii="Times New Roman" w:eastAsia="Calibri" w:hAnsi="Times New Roman" w:cs="Times New Roman"/>
          <w:b/>
          <w:bCs/>
          <w:color w:val="000000" w:themeColor="text1"/>
          <w:spacing w:val="3"/>
          <w:shd w:val="clear" w:color="auto" w:fill="FFFFFF"/>
        </w:rPr>
        <w:t xml:space="preserve"> bioactive</w:t>
      </w:r>
      <w:r w:rsidRPr="003D41F9">
        <w:rPr>
          <w:rFonts w:ascii="Times New Roman" w:eastAsia="Calibri" w:hAnsi="Times New Roman" w:cs="Times New Roman"/>
        </w:rPr>
        <w:t xml:space="preserve"> compounds</w:t>
      </w:r>
      <w:r w:rsidRPr="003D41F9">
        <w:rPr>
          <w:rFonts w:ascii="Times New Roman" w:eastAsia="Calibri" w:hAnsi="Times New Roman" w:cs="Times New Roman"/>
          <w:b/>
          <w:bCs/>
        </w:rPr>
        <w:t xml:space="preserve"> </w:t>
      </w:r>
      <w:r w:rsidRPr="003D41F9">
        <w:rPr>
          <w:rFonts w:ascii="Times New Roman" w:eastAsia="Calibri" w:hAnsi="Times New Roman" w:cs="Times New Roman"/>
        </w:rPr>
        <w:t>were collected from articles published in PubMed database. The chemical structures, molecular weight, 2D structure, chemical number, and physicochemical properties of the bioactive compounds were confirmed using PubChem (</w:t>
      </w:r>
      <w:hyperlink r:id="rId5" w:history="1">
        <w:r w:rsidRPr="003D41F9">
          <w:rPr>
            <w:rFonts w:ascii="Times New Roman" w:eastAsia="Calibri" w:hAnsi="Times New Roman" w:cs="Times New Roman"/>
            <w:color w:val="0563C1" w:themeColor="hyperlink"/>
            <w:u w:val="single"/>
          </w:rPr>
          <w:t>https://pubchem.ncbi.nlm.nih.gov/</w:t>
        </w:r>
      </w:hyperlink>
      <w:r w:rsidRPr="003D41F9">
        <w:rPr>
          <w:rFonts w:ascii="Times New Roman" w:eastAsia="Calibri" w:hAnsi="Times New Roman" w:cs="Times New Roman"/>
        </w:rPr>
        <w:t>).</w:t>
      </w:r>
    </w:p>
    <w:p w14:paraId="71F94BA7" w14:textId="77777777" w:rsidR="003D41F9" w:rsidRPr="003D41F9" w:rsidRDefault="003D41F9" w:rsidP="003D41F9">
      <w:pPr>
        <w:spacing w:after="0" w:line="276" w:lineRule="auto"/>
        <w:jc w:val="both"/>
        <w:rPr>
          <w:rFonts w:ascii="Times New Roman" w:eastAsia="Calibri" w:hAnsi="Times New Roman" w:cs="Times New Roman"/>
        </w:rPr>
      </w:pPr>
    </w:p>
    <w:p w14:paraId="03D8335E" w14:textId="77777777" w:rsidR="003D41F9" w:rsidRPr="003D41F9" w:rsidRDefault="003D41F9" w:rsidP="003D41F9">
      <w:pPr>
        <w:spacing w:after="0" w:line="276" w:lineRule="auto"/>
        <w:jc w:val="both"/>
        <w:rPr>
          <w:rFonts w:ascii="Times New Roman" w:eastAsia="Calibri" w:hAnsi="Times New Roman" w:cs="Times New Roman"/>
          <w:b/>
          <w:bCs/>
        </w:rPr>
      </w:pPr>
      <w:r w:rsidRPr="003D41F9">
        <w:rPr>
          <w:rFonts w:ascii="Times New Roman" w:eastAsia="Calibri" w:hAnsi="Times New Roman" w:cs="Times New Roman"/>
          <w:b/>
          <w:bCs/>
        </w:rPr>
        <w:t xml:space="preserve">Pharmacokinetic Evaluation of the Bioactive Compounds of </w:t>
      </w:r>
      <w:r w:rsidRPr="003D41F9">
        <w:rPr>
          <w:rFonts w:ascii="Times New Roman" w:eastAsia="Calibri" w:hAnsi="Times New Roman" w:cs="Times New Roman"/>
          <w:b/>
          <w:bCs/>
          <w:i/>
          <w:iCs/>
          <w:color w:val="000000" w:themeColor="text1"/>
          <w:spacing w:val="3"/>
          <w:shd w:val="clear" w:color="auto" w:fill="FFFFFF"/>
        </w:rPr>
        <w:t xml:space="preserve">Bufo </w:t>
      </w:r>
      <w:proofErr w:type="spellStart"/>
      <w:r w:rsidRPr="003D41F9">
        <w:rPr>
          <w:rFonts w:ascii="Times New Roman" w:eastAsia="Calibri" w:hAnsi="Times New Roman" w:cs="Times New Roman"/>
          <w:b/>
          <w:bCs/>
          <w:i/>
          <w:iCs/>
          <w:color w:val="000000" w:themeColor="text1"/>
          <w:spacing w:val="3"/>
          <w:shd w:val="clear" w:color="auto" w:fill="FFFFFF"/>
        </w:rPr>
        <w:t>gargarizans</w:t>
      </w:r>
      <w:proofErr w:type="spellEnd"/>
    </w:p>
    <w:p w14:paraId="18374DA1" w14:textId="20133FE7" w:rsidR="003D41F9" w:rsidRPr="003D41F9" w:rsidRDefault="003D41F9" w:rsidP="003D41F9">
      <w:pPr>
        <w:spacing w:after="0" w:line="276" w:lineRule="auto"/>
        <w:jc w:val="both"/>
        <w:rPr>
          <w:rFonts w:ascii="Times New Roman" w:eastAsia="Calibri" w:hAnsi="Times New Roman" w:cs="Times New Roman"/>
        </w:rPr>
      </w:pPr>
      <w:r w:rsidRPr="003D41F9">
        <w:rPr>
          <w:rFonts w:ascii="Times New Roman" w:eastAsia="Calibri" w:hAnsi="Times New Roman" w:cs="Times New Roman"/>
        </w:rPr>
        <w:t xml:space="preserve"> </w:t>
      </w:r>
      <w:r w:rsidRPr="003D41F9">
        <w:rPr>
          <w:rFonts w:ascii="Times New Roman" w:eastAsia="Calibri" w:hAnsi="Times New Roman" w:cs="Times New Roman"/>
          <w:lang w:val="en-GB"/>
        </w:rPr>
        <w:t>The bioavailability of the 1</w:t>
      </w:r>
      <w:r w:rsidR="00393E45">
        <w:rPr>
          <w:rFonts w:ascii="Times New Roman" w:eastAsia="Calibri" w:hAnsi="Times New Roman" w:cs="Times New Roman"/>
          <w:lang w:val="en-GB"/>
        </w:rPr>
        <w:t>6</w:t>
      </w:r>
      <w:r w:rsidRPr="003D41F9">
        <w:rPr>
          <w:rFonts w:ascii="Times New Roman" w:eastAsia="Calibri" w:hAnsi="Times New Roman" w:cs="Times New Roman"/>
          <w:lang w:val="en-GB"/>
        </w:rPr>
        <w:t xml:space="preserve"> compounds from </w:t>
      </w:r>
      <w:r w:rsidRPr="003D41F9">
        <w:rPr>
          <w:rFonts w:ascii="Times New Roman" w:eastAsia="Calibri" w:hAnsi="Times New Roman" w:cs="Times New Roman"/>
          <w:b/>
          <w:bCs/>
          <w:i/>
          <w:iCs/>
          <w:color w:val="000000" w:themeColor="text1"/>
          <w:spacing w:val="3"/>
          <w:shd w:val="clear" w:color="auto" w:fill="FFFFFF"/>
        </w:rPr>
        <w:t xml:space="preserve">Bufo </w:t>
      </w:r>
      <w:proofErr w:type="spellStart"/>
      <w:r w:rsidRPr="003D41F9">
        <w:rPr>
          <w:rFonts w:ascii="Times New Roman" w:eastAsia="Calibri" w:hAnsi="Times New Roman" w:cs="Times New Roman"/>
          <w:b/>
          <w:bCs/>
          <w:i/>
          <w:iCs/>
          <w:color w:val="000000" w:themeColor="text1"/>
          <w:spacing w:val="3"/>
          <w:shd w:val="clear" w:color="auto" w:fill="FFFFFF"/>
        </w:rPr>
        <w:t>gargarizans</w:t>
      </w:r>
      <w:proofErr w:type="spellEnd"/>
      <w:r w:rsidRPr="003D41F9">
        <w:rPr>
          <w:rFonts w:ascii="Times New Roman" w:eastAsia="Calibri" w:hAnsi="Times New Roman" w:cs="Times New Roman"/>
          <w:lang w:val="en-GB"/>
        </w:rPr>
        <w:t xml:space="preserve"> was determined by </w:t>
      </w:r>
      <w:proofErr w:type="spellStart"/>
      <w:r w:rsidRPr="003D41F9">
        <w:rPr>
          <w:rFonts w:ascii="Times New Roman" w:eastAsia="Calibri" w:hAnsi="Times New Roman" w:cs="Times New Roman"/>
          <w:lang w:val="en-GB"/>
        </w:rPr>
        <w:t>SwissADME</w:t>
      </w:r>
      <w:proofErr w:type="spellEnd"/>
      <w:r w:rsidRPr="003D41F9">
        <w:rPr>
          <w:rFonts w:ascii="Times New Roman" w:eastAsia="Calibri" w:hAnsi="Times New Roman" w:cs="Times New Roman"/>
          <w:lang w:val="en-GB"/>
        </w:rPr>
        <w:t xml:space="preserve"> (</w:t>
      </w:r>
      <w:hyperlink r:id="rId6" w:history="1">
        <w:r w:rsidRPr="003D41F9">
          <w:rPr>
            <w:rFonts w:ascii="Times New Roman" w:eastAsia="Calibri" w:hAnsi="Times New Roman" w:cs="Times New Roman"/>
            <w:color w:val="0563C1" w:themeColor="hyperlink"/>
            <w:u w:val="single"/>
            <w:lang w:val="en-GB"/>
          </w:rPr>
          <w:t>http://www.swissadme.ch/index.php</w:t>
        </w:r>
      </w:hyperlink>
      <w:r w:rsidRPr="003D41F9">
        <w:rPr>
          <w:rFonts w:ascii="Times New Roman" w:eastAsia="Calibri" w:hAnsi="Times New Roman" w:cs="Times New Roman"/>
          <w:lang w:val="en-GB"/>
        </w:rPr>
        <w:t xml:space="preserve">), while the drug-likeness score (DL) was predicted with </w:t>
      </w:r>
      <w:proofErr w:type="spellStart"/>
      <w:r w:rsidRPr="003D41F9">
        <w:rPr>
          <w:rFonts w:ascii="Times New Roman" w:eastAsia="Calibri" w:hAnsi="Times New Roman" w:cs="Times New Roman"/>
          <w:lang w:val="en-GB"/>
        </w:rPr>
        <w:t>molsoft</w:t>
      </w:r>
      <w:proofErr w:type="spellEnd"/>
      <w:r w:rsidRPr="003D41F9">
        <w:rPr>
          <w:rFonts w:ascii="Times New Roman" w:eastAsia="Calibri" w:hAnsi="Times New Roman" w:cs="Times New Roman"/>
          <w:lang w:val="en-GB"/>
        </w:rPr>
        <w:t xml:space="preserve"> (</w:t>
      </w:r>
      <w:hyperlink r:id="rId7" w:history="1">
        <w:r w:rsidRPr="003D41F9">
          <w:rPr>
            <w:rFonts w:ascii="Times New Roman" w:eastAsia="Calibri" w:hAnsi="Times New Roman" w:cs="Times New Roman"/>
            <w:color w:val="0563C1" w:themeColor="hyperlink"/>
            <w:u w:val="single"/>
            <w:lang w:val="en-GB"/>
          </w:rPr>
          <w:t>https://molsoft.com/mprop/</w:t>
        </w:r>
      </w:hyperlink>
      <w:r w:rsidRPr="003D41F9">
        <w:rPr>
          <w:rFonts w:ascii="Times New Roman" w:eastAsia="Calibri" w:hAnsi="Times New Roman" w:cs="Times New Roman"/>
          <w:lang w:val="en-GB"/>
        </w:rPr>
        <w:t xml:space="preserve">). The toxicity of the compounds was predicted using a virtual tool known as </w:t>
      </w:r>
      <w:proofErr w:type="spellStart"/>
      <w:r w:rsidRPr="003D41F9">
        <w:rPr>
          <w:rFonts w:ascii="Times New Roman" w:eastAsia="Calibri" w:hAnsi="Times New Roman" w:cs="Times New Roman"/>
          <w:lang w:val="en-GB"/>
        </w:rPr>
        <w:t>ProTox</w:t>
      </w:r>
      <w:proofErr w:type="spellEnd"/>
      <w:r w:rsidRPr="003D41F9">
        <w:rPr>
          <w:rFonts w:ascii="Times New Roman" w:eastAsia="Calibri" w:hAnsi="Times New Roman" w:cs="Times New Roman"/>
          <w:lang w:val="en-GB"/>
        </w:rPr>
        <w:t>-II (</w:t>
      </w:r>
      <w:hyperlink r:id="rId8" w:history="1">
        <w:r w:rsidRPr="003D41F9">
          <w:rPr>
            <w:rFonts w:ascii="Times New Roman" w:eastAsia="Calibri" w:hAnsi="Times New Roman" w:cs="Times New Roman"/>
            <w:color w:val="0563C1" w:themeColor="hyperlink"/>
            <w:u w:val="single"/>
            <w:lang w:val="en-GB"/>
          </w:rPr>
          <w:t>https://tox-new.charite.de/protox_II/index.php?site=compound_input</w:t>
        </w:r>
      </w:hyperlink>
      <w:r w:rsidRPr="003D41F9">
        <w:rPr>
          <w:rFonts w:ascii="Times New Roman" w:eastAsia="Calibri" w:hAnsi="Times New Roman" w:cs="Times New Roman"/>
          <w:lang w:val="en-GB"/>
        </w:rPr>
        <w:t>). All the bioactive compounds were screened for bioavailability (F), drug-likeness score (DL) and toxicity. Only compounds that met the ADME standards, which include F (&gt;0.</w:t>
      </w:r>
      <w:r w:rsidR="000B5094">
        <w:rPr>
          <w:rFonts w:ascii="Times New Roman" w:eastAsia="Calibri" w:hAnsi="Times New Roman" w:cs="Times New Roman"/>
          <w:lang w:val="en-GB"/>
        </w:rPr>
        <w:t>55</w:t>
      </w:r>
      <w:r w:rsidRPr="003D41F9">
        <w:rPr>
          <w:rFonts w:ascii="Times New Roman" w:eastAsia="Calibri" w:hAnsi="Times New Roman" w:cs="Times New Roman"/>
          <w:lang w:val="en-GB"/>
        </w:rPr>
        <w:t xml:space="preserve">), DL (&gt;0.18), and toxicity </w:t>
      </w:r>
      <w:r w:rsidR="006860BB">
        <w:rPr>
          <w:rFonts w:ascii="Times New Roman" w:eastAsia="Calibri" w:hAnsi="Times New Roman" w:cs="Times New Roman"/>
          <w:lang w:val="en-GB"/>
        </w:rPr>
        <w:t xml:space="preserve">class 4 and 6 </w:t>
      </w:r>
      <w:r w:rsidRPr="003D41F9">
        <w:rPr>
          <w:rFonts w:ascii="Times New Roman" w:eastAsia="Calibri" w:hAnsi="Times New Roman" w:cs="Times New Roman"/>
          <w:lang w:val="en-GB"/>
        </w:rPr>
        <w:t>were screened further.</w:t>
      </w:r>
    </w:p>
    <w:p w14:paraId="1CA9E0F9" w14:textId="77777777" w:rsidR="003D41F9" w:rsidRPr="003D41F9" w:rsidRDefault="003D41F9" w:rsidP="003D41F9">
      <w:pPr>
        <w:spacing w:after="0" w:line="276" w:lineRule="auto"/>
        <w:jc w:val="both"/>
        <w:rPr>
          <w:rFonts w:ascii="Times New Roman" w:eastAsia="Calibri" w:hAnsi="Times New Roman" w:cs="Times New Roman"/>
          <w:lang w:val="en-GB"/>
        </w:rPr>
      </w:pPr>
    </w:p>
    <w:p w14:paraId="3C286EDF" w14:textId="77777777" w:rsidR="003D41F9" w:rsidRPr="003D41F9" w:rsidRDefault="003D41F9" w:rsidP="003D41F9">
      <w:pPr>
        <w:spacing w:after="0" w:line="276" w:lineRule="auto"/>
        <w:jc w:val="both"/>
        <w:rPr>
          <w:rFonts w:ascii="Times New Roman" w:eastAsia="Calibri" w:hAnsi="Times New Roman" w:cs="Times New Roman"/>
          <w:b/>
          <w:bCs/>
        </w:rPr>
      </w:pPr>
      <w:r w:rsidRPr="003D41F9">
        <w:rPr>
          <w:rFonts w:ascii="Times New Roman" w:eastAsia="Calibri" w:hAnsi="Times New Roman" w:cs="Times New Roman"/>
          <w:b/>
          <w:bCs/>
        </w:rPr>
        <w:t>Potential Breast Cancer target genes</w:t>
      </w:r>
    </w:p>
    <w:p w14:paraId="7632469D" w14:textId="2C94B013" w:rsidR="003D41F9" w:rsidRPr="003D41F9" w:rsidRDefault="006E3F6D" w:rsidP="003D41F9">
      <w:pPr>
        <w:spacing w:after="0" w:line="276" w:lineRule="auto"/>
        <w:jc w:val="both"/>
        <w:rPr>
          <w:rFonts w:ascii="Times New Roman" w:eastAsia="Calibri" w:hAnsi="Times New Roman" w:cs="Times New Roman"/>
          <w:lang w:val="en-GB"/>
        </w:rPr>
      </w:pPr>
      <w:r>
        <w:rPr>
          <w:rFonts w:ascii="Times New Roman" w:eastAsia="Calibri" w:hAnsi="Times New Roman" w:cs="Times New Roman"/>
          <w:lang w:val="en-GB"/>
        </w:rPr>
        <w:t>T</w:t>
      </w:r>
      <w:r w:rsidR="003D41F9" w:rsidRPr="003D41F9">
        <w:rPr>
          <w:rFonts w:ascii="Times New Roman" w:eastAsia="Calibri" w:hAnsi="Times New Roman" w:cs="Times New Roman"/>
          <w:lang w:val="en-GB"/>
        </w:rPr>
        <w:t>he Online Mendelian Inheritance in Man (</w:t>
      </w:r>
      <w:proofErr w:type="gramStart"/>
      <w:r w:rsidR="003D41F9" w:rsidRPr="003D41F9">
        <w:rPr>
          <w:rFonts w:ascii="Times New Roman" w:eastAsia="Calibri" w:hAnsi="Times New Roman" w:cs="Times New Roman"/>
          <w:lang w:val="en-GB"/>
        </w:rPr>
        <w:t>OMIM)  (</w:t>
      </w:r>
      <w:proofErr w:type="gramEnd"/>
      <w:r w:rsidR="003D41F9">
        <w:fldChar w:fldCharType="begin"/>
      </w:r>
      <w:r w:rsidR="003D41F9">
        <w:instrText>HYPERLINK "http://omim.org/"</w:instrText>
      </w:r>
      <w:r w:rsidR="003D41F9">
        <w:fldChar w:fldCharType="separate"/>
      </w:r>
      <w:r w:rsidR="003D41F9" w:rsidRPr="003D41F9">
        <w:rPr>
          <w:rFonts w:ascii="Times New Roman" w:eastAsia="Calibri" w:hAnsi="Times New Roman" w:cs="Times New Roman"/>
          <w:color w:val="0563C1" w:themeColor="hyperlink"/>
          <w:u w:val="single"/>
          <w:lang w:val="en-GB"/>
        </w:rPr>
        <w:t>http://omim.org/</w:t>
      </w:r>
      <w:r w:rsidR="003D41F9">
        <w:fldChar w:fldCharType="end"/>
      </w:r>
      <w:r w:rsidR="003D41F9" w:rsidRPr="003D41F9">
        <w:rPr>
          <w:rFonts w:ascii="Times New Roman" w:eastAsia="Calibri" w:hAnsi="Times New Roman" w:cs="Times New Roman"/>
          <w:lang w:val="en-GB"/>
        </w:rPr>
        <w:t xml:space="preserve">) database </w:t>
      </w:r>
      <w:r>
        <w:rPr>
          <w:rFonts w:ascii="Times New Roman" w:eastAsia="Calibri" w:hAnsi="Times New Roman" w:cs="Times New Roman"/>
          <w:lang w:val="en-GB"/>
        </w:rPr>
        <w:t xml:space="preserve">was </w:t>
      </w:r>
      <w:r w:rsidR="003D41F9" w:rsidRPr="003D41F9">
        <w:rPr>
          <w:rFonts w:ascii="Times New Roman" w:eastAsia="Calibri" w:hAnsi="Times New Roman" w:cs="Times New Roman"/>
          <w:lang w:val="en-GB"/>
        </w:rPr>
        <w:t>utilised to identify breast cancer-related target genes. Bioinformatics and Evolutionary Genomics tools (</w:t>
      </w:r>
      <w:hyperlink r:id="rId9" w:history="1">
        <w:r w:rsidR="003D41F9" w:rsidRPr="003D41F9">
          <w:rPr>
            <w:rFonts w:ascii="Times New Roman" w:eastAsia="Calibri" w:hAnsi="Times New Roman" w:cs="Times New Roman"/>
            <w:color w:val="0563C1" w:themeColor="hyperlink"/>
            <w:u w:val="single"/>
            <w:lang w:val="en-GB"/>
          </w:rPr>
          <w:t>https://bioinformatics.psb.ugent.be/webtools/Venn/</w:t>
        </w:r>
      </w:hyperlink>
      <w:r w:rsidR="003D41F9" w:rsidRPr="003D41F9">
        <w:rPr>
          <w:rFonts w:ascii="Times New Roman" w:eastAsia="Calibri" w:hAnsi="Times New Roman" w:cs="Times New Roman"/>
          <w:lang w:val="en-GB"/>
        </w:rPr>
        <w:t>) were used to determine the intersection of genes associated with the selected compounds and target genes related to breast cancer.</w:t>
      </w:r>
    </w:p>
    <w:p w14:paraId="01CBDA91" w14:textId="77777777" w:rsidR="003D41F9" w:rsidRPr="003D41F9" w:rsidRDefault="003D41F9" w:rsidP="003D41F9">
      <w:pPr>
        <w:spacing w:after="0" w:line="276" w:lineRule="auto"/>
        <w:jc w:val="both"/>
        <w:rPr>
          <w:rFonts w:ascii="Times New Roman" w:eastAsia="Calibri" w:hAnsi="Times New Roman" w:cs="Times New Roman"/>
          <w:lang w:val="en-GB"/>
        </w:rPr>
      </w:pPr>
    </w:p>
    <w:p w14:paraId="048CA4F3" w14:textId="77777777" w:rsidR="003D41F9" w:rsidRPr="003D41F9" w:rsidRDefault="003D41F9" w:rsidP="003D41F9">
      <w:pPr>
        <w:spacing w:after="0" w:line="276" w:lineRule="auto"/>
        <w:jc w:val="both"/>
        <w:rPr>
          <w:rFonts w:ascii="Times New Roman" w:eastAsia="Calibri" w:hAnsi="Times New Roman" w:cs="Times New Roman"/>
          <w:b/>
          <w:bCs/>
        </w:rPr>
      </w:pPr>
      <w:r w:rsidRPr="003D41F9">
        <w:rPr>
          <w:rFonts w:ascii="Times New Roman" w:eastAsia="Calibri" w:hAnsi="Times New Roman" w:cs="Times New Roman"/>
          <w:b/>
          <w:bCs/>
        </w:rPr>
        <w:lastRenderedPageBreak/>
        <w:t>Networks and Kegg Pathway Construction and Analyses</w:t>
      </w:r>
    </w:p>
    <w:p w14:paraId="22A0C191" w14:textId="53F479AE" w:rsidR="003D41F9" w:rsidRPr="003D41F9" w:rsidRDefault="003D41F9" w:rsidP="003D41F9">
      <w:pPr>
        <w:spacing w:after="0" w:line="276" w:lineRule="auto"/>
        <w:jc w:val="both"/>
        <w:rPr>
          <w:rFonts w:ascii="Times New Roman" w:eastAsia="Calibri" w:hAnsi="Times New Roman" w:cs="Times New Roman"/>
          <w:lang w:val="en-GB"/>
        </w:rPr>
      </w:pPr>
      <w:r w:rsidRPr="003D41F9">
        <w:rPr>
          <w:rFonts w:ascii="Times New Roman" w:eastAsia="Calibri" w:hAnsi="Times New Roman" w:cs="Times New Roman"/>
          <w:lang w:val="en-GB"/>
        </w:rPr>
        <w:t xml:space="preserve">The Swiss target prediction database was used to examine the integrative efficacy of the compounds (Daina </w:t>
      </w:r>
      <w:r w:rsidRPr="003D41F9">
        <w:rPr>
          <w:rFonts w:ascii="Times New Roman" w:eastAsia="Calibri" w:hAnsi="Times New Roman" w:cs="Times New Roman"/>
          <w:i/>
          <w:iCs/>
          <w:lang w:val="en-GB"/>
        </w:rPr>
        <w:t>et al</w:t>
      </w:r>
      <w:r w:rsidRPr="003D41F9">
        <w:rPr>
          <w:rFonts w:ascii="Times New Roman" w:eastAsia="Calibri" w:hAnsi="Times New Roman" w:cs="Times New Roman"/>
          <w:lang w:val="en-GB"/>
        </w:rPr>
        <w:t xml:space="preserve">., 2019). The STRING database (https://stringdb.org) was used to construct a network analysis based on the interactions of targets with high scores (≥0.9). The species selection was limited to </w:t>
      </w:r>
      <w:r w:rsidRPr="003D41F9">
        <w:rPr>
          <w:rFonts w:ascii="Times New Roman" w:eastAsia="Calibri" w:hAnsi="Times New Roman" w:cs="Times New Roman"/>
          <w:i/>
          <w:iCs/>
          <w:lang w:val="en-GB"/>
        </w:rPr>
        <w:t>Homo sapiens</w:t>
      </w:r>
      <w:r w:rsidRPr="003D41F9">
        <w:rPr>
          <w:rFonts w:ascii="Times New Roman" w:eastAsia="Calibri" w:hAnsi="Times New Roman" w:cs="Times New Roman"/>
          <w:lang w:val="en-GB"/>
        </w:rPr>
        <w:t xml:space="preserve">. The PPI network discovered was then visualised and subjected to additional analysis using the </w:t>
      </w:r>
      <w:proofErr w:type="spellStart"/>
      <w:r w:rsidRPr="003D41F9">
        <w:rPr>
          <w:rFonts w:ascii="Times New Roman" w:eastAsia="Calibri" w:hAnsi="Times New Roman" w:cs="Times New Roman"/>
          <w:lang w:val="en-GB"/>
        </w:rPr>
        <w:t>Cytoscape</w:t>
      </w:r>
      <w:proofErr w:type="spellEnd"/>
      <w:r w:rsidRPr="003D41F9">
        <w:rPr>
          <w:rFonts w:ascii="Times New Roman" w:eastAsia="Calibri" w:hAnsi="Times New Roman" w:cs="Times New Roman"/>
          <w:lang w:val="en-GB"/>
        </w:rPr>
        <w:t xml:space="preserve"> software 3.10.1. Further analysis of the network was achieved using the </w:t>
      </w:r>
      <w:proofErr w:type="spellStart"/>
      <w:r w:rsidRPr="003D41F9">
        <w:rPr>
          <w:rFonts w:ascii="Times New Roman" w:eastAsia="Calibri" w:hAnsi="Times New Roman" w:cs="Times New Roman"/>
          <w:lang w:val="en-GB"/>
        </w:rPr>
        <w:t>cytoHubba</w:t>
      </w:r>
      <w:proofErr w:type="spellEnd"/>
      <w:r w:rsidRPr="003D41F9">
        <w:rPr>
          <w:rFonts w:ascii="Times New Roman" w:eastAsia="Calibri" w:hAnsi="Times New Roman" w:cs="Times New Roman"/>
          <w:lang w:val="en-GB"/>
        </w:rPr>
        <w:t xml:space="preserve"> plugin App, and the top 10 genes were chosen based on their degree value. The signalling pathways based on the Gene Ontology (GO) and Kyoto Encyclopaedia of Genes and Genomes (KEGG) databases (</w:t>
      </w:r>
      <w:hyperlink r:id="rId10" w:history="1">
        <w:r w:rsidRPr="003D41F9">
          <w:rPr>
            <w:rFonts w:ascii="Times New Roman" w:eastAsia="Calibri" w:hAnsi="Times New Roman" w:cs="Times New Roman"/>
            <w:color w:val="0563C1" w:themeColor="hyperlink"/>
            <w:u w:val="single"/>
            <w:lang w:val="en-GB"/>
          </w:rPr>
          <w:t>https://www.genome.jp/kegg/pathway.html</w:t>
        </w:r>
      </w:hyperlink>
      <w:r w:rsidRPr="003D41F9">
        <w:rPr>
          <w:rFonts w:ascii="Times New Roman" w:eastAsia="Calibri" w:hAnsi="Times New Roman" w:cs="Times New Roman"/>
          <w:lang w:val="en-GB"/>
        </w:rPr>
        <w:t xml:space="preserve">) were assessed using Database of Annotation, Visualisation and Integrated Discovery (DAVID, </w:t>
      </w:r>
      <w:hyperlink r:id="rId11" w:history="1">
        <w:r w:rsidRPr="003D41F9">
          <w:rPr>
            <w:rFonts w:ascii="Times New Roman" w:eastAsia="Calibri" w:hAnsi="Times New Roman" w:cs="Times New Roman"/>
            <w:color w:val="0563C1" w:themeColor="hyperlink"/>
            <w:u w:val="single"/>
            <w:lang w:val="en-GB"/>
          </w:rPr>
          <w:t>https://david.ncifcrf.gov/</w:t>
        </w:r>
      </w:hyperlink>
      <w:r w:rsidRPr="003D41F9">
        <w:rPr>
          <w:rFonts w:ascii="Times New Roman" w:eastAsia="Calibri" w:hAnsi="Times New Roman" w:cs="Times New Roman"/>
          <w:lang w:val="en-GB"/>
        </w:rPr>
        <w:t>).</w:t>
      </w:r>
    </w:p>
    <w:p w14:paraId="0C2EA67F" w14:textId="77777777" w:rsidR="003D41F9" w:rsidRPr="003D41F9" w:rsidRDefault="003D41F9" w:rsidP="003D41F9">
      <w:pPr>
        <w:spacing w:after="0" w:line="276" w:lineRule="auto"/>
        <w:jc w:val="both"/>
        <w:rPr>
          <w:rFonts w:ascii="Times New Roman" w:eastAsia="Calibri" w:hAnsi="Times New Roman" w:cs="Times New Roman"/>
          <w:b/>
          <w:bCs/>
          <w:lang w:val="en-GB"/>
        </w:rPr>
      </w:pPr>
    </w:p>
    <w:p w14:paraId="74B5FDA9" w14:textId="77777777" w:rsidR="003D41F9" w:rsidRPr="003D41F9" w:rsidRDefault="003D41F9" w:rsidP="003D41F9">
      <w:pPr>
        <w:spacing w:after="0" w:line="276" w:lineRule="auto"/>
        <w:jc w:val="both"/>
        <w:rPr>
          <w:rFonts w:ascii="Times New Roman" w:eastAsia="Calibri" w:hAnsi="Times New Roman" w:cs="Times New Roman"/>
          <w:b/>
          <w:bCs/>
          <w:lang w:val="en-GB"/>
        </w:rPr>
      </w:pPr>
      <w:r w:rsidRPr="003D41F9">
        <w:rPr>
          <w:rFonts w:ascii="Times New Roman" w:eastAsia="Calibri" w:hAnsi="Times New Roman" w:cs="Times New Roman"/>
          <w:b/>
          <w:bCs/>
          <w:lang w:val="en-GB"/>
        </w:rPr>
        <w:t>Protein and ligand preparation</w:t>
      </w:r>
    </w:p>
    <w:p w14:paraId="6CF2FB9D" w14:textId="1C3D2B6C" w:rsidR="00E30596" w:rsidRPr="003D41F9" w:rsidRDefault="00E30596" w:rsidP="003D41F9">
      <w:pPr>
        <w:spacing w:after="0" w:line="240" w:lineRule="auto"/>
        <w:jc w:val="both"/>
        <w:rPr>
          <w:rFonts w:ascii="Times New Roman" w:eastAsia="Times New Roman" w:hAnsi="Times New Roman" w:cs="Times New Roman"/>
          <w:kern w:val="0"/>
          <w14:ligatures w14:val="none"/>
        </w:rPr>
      </w:pPr>
      <w:r w:rsidRPr="00E30596">
        <w:rPr>
          <w:rFonts w:ascii="Times New Roman" w:eastAsia="Times New Roman" w:hAnsi="Times New Roman" w:cs="Times New Roman"/>
          <w:kern w:val="0"/>
          <w14:ligatures w14:val="none"/>
        </w:rPr>
        <w:t xml:space="preserve">The Protein Data Bank (PDB) repository provided the crystal structures of the four selected target proteins: LCK (PDB ID: 2OFV), JAK1 (PDB ID: 6GGH), MTOR (PDB ID: 7PED), and PIK3CD (PDB ID: 6PYR). The protein structures were prepared and saved in PDBQT format for molecular docking. The 2D structure of the ligand </w:t>
      </w:r>
      <w:proofErr w:type="spellStart"/>
      <w:r w:rsidRPr="00E30596">
        <w:rPr>
          <w:rFonts w:ascii="Times New Roman" w:eastAsia="Times New Roman" w:hAnsi="Times New Roman" w:cs="Times New Roman"/>
          <w:kern w:val="0"/>
          <w14:ligatures w14:val="none"/>
        </w:rPr>
        <w:t>Resibufogenin</w:t>
      </w:r>
      <w:proofErr w:type="spellEnd"/>
      <w:r w:rsidRPr="00E30596">
        <w:rPr>
          <w:rFonts w:ascii="Times New Roman" w:eastAsia="Times New Roman" w:hAnsi="Times New Roman" w:cs="Times New Roman"/>
          <w:kern w:val="0"/>
          <w14:ligatures w14:val="none"/>
        </w:rPr>
        <w:t xml:space="preserve"> was obtained in Structure Data File (SDF) format from the PubChem database</w:t>
      </w:r>
      <w:r>
        <w:rPr>
          <w:rFonts w:ascii="Times New Roman" w:eastAsia="Times New Roman" w:hAnsi="Times New Roman" w:cs="Times New Roman"/>
          <w:kern w:val="0"/>
          <w14:ligatures w14:val="none"/>
        </w:rPr>
        <w:t xml:space="preserve"> </w:t>
      </w:r>
      <w:r w:rsidRPr="003D41F9">
        <w:rPr>
          <w:rFonts w:ascii="Times New Roman" w:eastAsia="Times New Roman" w:hAnsi="Times New Roman" w:cs="Times New Roman"/>
          <w:kern w:val="0"/>
          <w14:ligatures w14:val="none"/>
        </w:rPr>
        <w:t>(https://pubchem.ncbi.nlm.nih.gov/)</w:t>
      </w:r>
      <w:r w:rsidRPr="00E30596">
        <w:rPr>
          <w:rFonts w:ascii="Times New Roman" w:eastAsia="Times New Roman" w:hAnsi="Times New Roman" w:cs="Times New Roman"/>
          <w:kern w:val="0"/>
          <w14:ligatures w14:val="none"/>
        </w:rPr>
        <w:t xml:space="preserve">. Discovery Studio was used for ligand preparation and conversion to PDB format. The ligand was prepared by defining rotatable bonds and saved in PDBQT format. </w:t>
      </w:r>
      <w:proofErr w:type="spellStart"/>
      <w:r w:rsidRPr="00E30596">
        <w:rPr>
          <w:rFonts w:ascii="Times New Roman" w:eastAsia="Times New Roman" w:hAnsi="Times New Roman" w:cs="Times New Roman"/>
          <w:kern w:val="0"/>
          <w14:ligatures w14:val="none"/>
        </w:rPr>
        <w:t>AutoDockTools</w:t>
      </w:r>
      <w:proofErr w:type="spellEnd"/>
      <w:r w:rsidRPr="00E30596">
        <w:rPr>
          <w:rFonts w:ascii="Times New Roman" w:eastAsia="Times New Roman" w:hAnsi="Times New Roman" w:cs="Times New Roman"/>
          <w:kern w:val="0"/>
          <w14:ligatures w14:val="none"/>
        </w:rPr>
        <w:t xml:space="preserve"> v1.5.2 was used for the preparation of the ligand and protein structures for molecular docking.</w:t>
      </w:r>
    </w:p>
    <w:p w14:paraId="6523C25A" w14:textId="77777777" w:rsidR="003D41F9" w:rsidRPr="003D41F9" w:rsidRDefault="003D41F9" w:rsidP="003D41F9">
      <w:pPr>
        <w:spacing w:after="0" w:line="276" w:lineRule="auto"/>
        <w:jc w:val="both"/>
        <w:rPr>
          <w:rFonts w:ascii="Times New Roman" w:eastAsia="Calibri" w:hAnsi="Times New Roman" w:cs="Times New Roman"/>
          <w:lang w:val="en-GB"/>
        </w:rPr>
      </w:pPr>
    </w:p>
    <w:p w14:paraId="27E3F015" w14:textId="77777777" w:rsidR="003D41F9" w:rsidRPr="003D41F9" w:rsidRDefault="003D41F9" w:rsidP="003D41F9">
      <w:pPr>
        <w:spacing w:after="0" w:line="276" w:lineRule="auto"/>
        <w:jc w:val="both"/>
        <w:rPr>
          <w:rFonts w:ascii="Times New Roman" w:eastAsia="Calibri" w:hAnsi="Times New Roman" w:cs="Times New Roman"/>
          <w:b/>
          <w:bCs/>
          <w:lang w:val="en-GB"/>
        </w:rPr>
      </w:pPr>
      <w:r w:rsidRPr="003D41F9">
        <w:rPr>
          <w:rFonts w:ascii="Times New Roman" w:eastAsia="Calibri" w:hAnsi="Times New Roman" w:cs="Times New Roman"/>
          <w:b/>
          <w:bCs/>
          <w:lang w:val="en-GB"/>
        </w:rPr>
        <w:t>Molecular docking</w:t>
      </w:r>
    </w:p>
    <w:p w14:paraId="48F5F04A" w14:textId="288A4634" w:rsidR="003D41F9" w:rsidRPr="006E3F6D" w:rsidRDefault="003D41F9" w:rsidP="003D41F9">
      <w:pPr>
        <w:spacing w:after="0" w:line="240" w:lineRule="auto"/>
        <w:jc w:val="both"/>
        <w:rPr>
          <w:rFonts w:ascii="Times New Roman" w:eastAsia="Times New Roman" w:hAnsi="Times New Roman" w:cs="Times New Roman"/>
          <w:kern w:val="0"/>
          <w14:ligatures w14:val="none"/>
        </w:rPr>
      </w:pPr>
      <w:r w:rsidRPr="003D41F9">
        <w:rPr>
          <w:rFonts w:ascii="Times New Roman" w:eastAsia="Times New Roman" w:hAnsi="Times New Roman" w:cs="Times New Roman"/>
          <w:kern w:val="0"/>
          <w14:ligatures w14:val="none"/>
        </w:rPr>
        <w:t xml:space="preserve">Grid boxes containing the target protein-ligand complex with a reference root mean square deviation (RMSD) value less than </w:t>
      </w:r>
      <w:r w:rsidR="00615191">
        <w:rPr>
          <w:rFonts w:ascii="Times New Roman" w:eastAsia="Times New Roman" w:hAnsi="Times New Roman" w:cs="Times New Roman"/>
          <w:kern w:val="0"/>
          <w14:ligatures w14:val="none"/>
        </w:rPr>
        <w:t>3</w:t>
      </w:r>
      <w:r w:rsidRPr="003D41F9">
        <w:rPr>
          <w:rFonts w:ascii="Times New Roman" w:eastAsia="Times New Roman" w:hAnsi="Times New Roman" w:cs="Times New Roman"/>
          <w:kern w:val="0"/>
          <w14:ligatures w14:val="none"/>
        </w:rPr>
        <w:t xml:space="preserve">Å were chosen. </w:t>
      </w:r>
      <w:proofErr w:type="spellStart"/>
      <w:r w:rsidRPr="003D41F9">
        <w:rPr>
          <w:rFonts w:ascii="Times New Roman" w:eastAsia="Times New Roman" w:hAnsi="Times New Roman" w:cs="Times New Roman"/>
          <w:kern w:val="0"/>
          <w14:ligatures w14:val="none"/>
        </w:rPr>
        <w:t>AutoDockTools</w:t>
      </w:r>
      <w:proofErr w:type="spellEnd"/>
      <w:r w:rsidRPr="003D41F9">
        <w:rPr>
          <w:rFonts w:ascii="Times New Roman" w:eastAsia="Times New Roman" w:hAnsi="Times New Roman" w:cs="Times New Roman"/>
          <w:kern w:val="0"/>
          <w14:ligatures w14:val="none"/>
        </w:rPr>
        <w:t xml:space="preserve"> software (</w:t>
      </w:r>
      <w:proofErr w:type="spellStart"/>
      <w:r w:rsidRPr="003D41F9">
        <w:rPr>
          <w:rFonts w:ascii="Times New Roman" w:eastAsia="Times New Roman" w:hAnsi="Times New Roman" w:cs="Times New Roman"/>
          <w:kern w:val="0"/>
          <w14:ligatures w14:val="none"/>
        </w:rPr>
        <w:t>AutoDock</w:t>
      </w:r>
      <w:proofErr w:type="spellEnd"/>
      <w:r w:rsidRPr="003D41F9">
        <w:rPr>
          <w:rFonts w:ascii="Times New Roman" w:eastAsia="Times New Roman" w:hAnsi="Times New Roman" w:cs="Times New Roman"/>
          <w:kern w:val="0"/>
          <w14:ligatures w14:val="none"/>
        </w:rPr>
        <w:t xml:space="preserve">, USA) was used to carry out the docking procedure. </w:t>
      </w:r>
    </w:p>
    <w:p w14:paraId="423DD2A6" w14:textId="77777777" w:rsidR="003D41F9" w:rsidRPr="003D41F9" w:rsidRDefault="003D41F9" w:rsidP="003D41F9">
      <w:pPr>
        <w:spacing w:after="0" w:line="240" w:lineRule="auto"/>
        <w:jc w:val="both"/>
        <w:rPr>
          <w:rFonts w:ascii="Times New Roman" w:eastAsia="Times New Roman" w:hAnsi="Times New Roman" w:cs="Times New Roman"/>
          <w:kern w:val="0"/>
          <w14:ligatures w14:val="none"/>
        </w:rPr>
      </w:pPr>
    </w:p>
    <w:p w14:paraId="2B73D073" w14:textId="6A5B3B11" w:rsidR="005111C2" w:rsidRDefault="005111C2" w:rsidP="007F1854">
      <w:pPr>
        <w:rPr>
          <w:rFonts w:ascii="Times New Roman" w:hAnsi="Times New Roman" w:cs="Times New Roman"/>
          <w:b/>
          <w:bCs/>
          <w:lang w:val="en-GB"/>
        </w:rPr>
      </w:pPr>
      <w:r>
        <w:rPr>
          <w:rFonts w:ascii="Times New Roman" w:hAnsi="Times New Roman" w:cs="Times New Roman"/>
          <w:b/>
          <w:bCs/>
          <w:lang w:val="en-GB"/>
        </w:rPr>
        <w:t>Results:</w:t>
      </w:r>
    </w:p>
    <w:p w14:paraId="37444D5D" w14:textId="7C52D421" w:rsidR="00E06EA4" w:rsidRDefault="00E06EA4" w:rsidP="00E06EA4">
      <w:pPr>
        <w:rPr>
          <w:rFonts w:ascii="Times New Roman" w:hAnsi="Times New Roman" w:cs="Times New Roman"/>
          <w:b/>
          <w:bCs/>
        </w:rPr>
      </w:pPr>
      <w:r w:rsidRPr="00E06EA4">
        <w:rPr>
          <w:rFonts w:ascii="Times New Roman" w:hAnsi="Times New Roman" w:cs="Times New Roman"/>
          <w:b/>
          <w:bCs/>
        </w:rPr>
        <w:t xml:space="preserve">Selection of </w:t>
      </w:r>
      <w:r w:rsidR="00291AD6">
        <w:rPr>
          <w:rFonts w:ascii="Times New Roman" w:hAnsi="Times New Roman" w:cs="Times New Roman"/>
          <w:b/>
          <w:bCs/>
        </w:rPr>
        <w:t>A</w:t>
      </w:r>
      <w:r w:rsidRPr="00E06EA4">
        <w:rPr>
          <w:rFonts w:ascii="Times New Roman" w:hAnsi="Times New Roman" w:cs="Times New Roman"/>
          <w:b/>
          <w:bCs/>
        </w:rPr>
        <w:t xml:space="preserve">ctive </w:t>
      </w:r>
      <w:r w:rsidR="00291AD6">
        <w:rPr>
          <w:rFonts w:ascii="Times New Roman" w:hAnsi="Times New Roman" w:cs="Times New Roman"/>
          <w:b/>
          <w:bCs/>
        </w:rPr>
        <w:t>C</w:t>
      </w:r>
      <w:r w:rsidRPr="00E06EA4">
        <w:rPr>
          <w:rFonts w:ascii="Times New Roman" w:hAnsi="Times New Roman" w:cs="Times New Roman"/>
          <w:b/>
          <w:bCs/>
        </w:rPr>
        <w:t xml:space="preserve">ompounds using ADME </w:t>
      </w:r>
      <w:r w:rsidR="00291AD6">
        <w:rPr>
          <w:rFonts w:ascii="Times New Roman" w:hAnsi="Times New Roman" w:cs="Times New Roman"/>
          <w:b/>
          <w:bCs/>
        </w:rPr>
        <w:t>S</w:t>
      </w:r>
      <w:r w:rsidRPr="00E06EA4">
        <w:rPr>
          <w:rFonts w:ascii="Times New Roman" w:hAnsi="Times New Roman" w:cs="Times New Roman"/>
          <w:b/>
          <w:bCs/>
        </w:rPr>
        <w:t>creening</w:t>
      </w:r>
      <w:r w:rsidR="004B1BA4">
        <w:rPr>
          <w:rFonts w:ascii="Times New Roman" w:hAnsi="Times New Roman" w:cs="Times New Roman"/>
          <w:b/>
          <w:bCs/>
        </w:rPr>
        <w:t>:</w:t>
      </w:r>
    </w:p>
    <w:p w14:paraId="73B3A62C" w14:textId="08B8DA76" w:rsidR="00107322" w:rsidRDefault="00A15251" w:rsidP="00107322">
      <w:pPr>
        <w:jc w:val="both"/>
        <w:rPr>
          <w:rFonts w:ascii="Times New Roman" w:hAnsi="Times New Roman" w:cs="Times New Roman"/>
        </w:rPr>
      </w:pPr>
      <w:r>
        <w:rPr>
          <w:rFonts w:ascii="Times New Roman" w:hAnsi="Times New Roman" w:cs="Times New Roman"/>
        </w:rPr>
        <w:t>Six</w:t>
      </w:r>
      <w:r w:rsidR="00141D2F" w:rsidRPr="00141D2F">
        <w:rPr>
          <w:rFonts w:ascii="Times New Roman" w:hAnsi="Times New Roman" w:cs="Times New Roman"/>
        </w:rPr>
        <w:t xml:space="preserve">teen phytochemical compounds derived from Bufo </w:t>
      </w:r>
      <w:proofErr w:type="spellStart"/>
      <w:r w:rsidR="00141D2F" w:rsidRPr="00141D2F">
        <w:rPr>
          <w:rFonts w:ascii="Times New Roman" w:hAnsi="Times New Roman" w:cs="Times New Roman"/>
        </w:rPr>
        <w:t>gargarizans</w:t>
      </w:r>
      <w:proofErr w:type="spellEnd"/>
      <w:r w:rsidR="00141D2F" w:rsidRPr="00141D2F">
        <w:rPr>
          <w:rFonts w:ascii="Times New Roman" w:hAnsi="Times New Roman" w:cs="Times New Roman"/>
        </w:rPr>
        <w:t xml:space="preserve"> (the Asiatic toad or </w:t>
      </w:r>
      <w:proofErr w:type="spellStart"/>
      <w:r w:rsidR="00141D2F" w:rsidRPr="00141D2F">
        <w:rPr>
          <w:rFonts w:ascii="Times New Roman" w:hAnsi="Times New Roman" w:cs="Times New Roman"/>
        </w:rPr>
        <w:t>Chusan</w:t>
      </w:r>
      <w:proofErr w:type="spellEnd"/>
      <w:r w:rsidR="00141D2F" w:rsidRPr="00141D2F">
        <w:rPr>
          <w:rFonts w:ascii="Times New Roman" w:hAnsi="Times New Roman" w:cs="Times New Roman"/>
        </w:rPr>
        <w:t xml:space="preserve"> Island toad) were </w:t>
      </w:r>
      <w:proofErr w:type="spellStart"/>
      <w:r w:rsidR="00141D2F" w:rsidRPr="00141D2F">
        <w:rPr>
          <w:rFonts w:ascii="Times New Roman" w:hAnsi="Times New Roman" w:cs="Times New Roman"/>
        </w:rPr>
        <w:t>utilised</w:t>
      </w:r>
      <w:proofErr w:type="spellEnd"/>
      <w:r w:rsidR="00141D2F" w:rsidRPr="00141D2F">
        <w:rPr>
          <w:rFonts w:ascii="Times New Roman" w:hAnsi="Times New Roman" w:cs="Times New Roman"/>
        </w:rPr>
        <w:t xml:space="preserve"> for network pharmacology analysis. </w:t>
      </w:r>
      <w:r w:rsidR="00391C58" w:rsidRPr="00460180">
        <w:rPr>
          <w:rFonts w:ascii="Times New Roman" w:hAnsi="Times New Roman" w:cs="Times New Roman"/>
        </w:rPr>
        <w:t>Compounds were screened according to established criteria, including a bioavailability score</w:t>
      </w:r>
      <w:r w:rsidR="00CA332E" w:rsidRPr="00460180">
        <w:rPr>
          <w:rFonts w:ascii="Times New Roman" w:hAnsi="Times New Roman" w:cs="Times New Roman"/>
        </w:rPr>
        <w:t xml:space="preserve"> (F)</w:t>
      </w:r>
      <w:r w:rsidR="00391C58" w:rsidRPr="00460180">
        <w:rPr>
          <w:rFonts w:ascii="Times New Roman" w:hAnsi="Times New Roman" w:cs="Times New Roman"/>
        </w:rPr>
        <w:t xml:space="preserve"> of at least 0.55, a drug-likeness</w:t>
      </w:r>
      <w:r w:rsidR="00CA332E" w:rsidRPr="00460180">
        <w:rPr>
          <w:rFonts w:ascii="Times New Roman" w:hAnsi="Times New Roman" w:cs="Times New Roman"/>
        </w:rPr>
        <w:t xml:space="preserve"> (DL)</w:t>
      </w:r>
      <w:r w:rsidR="00391C58" w:rsidRPr="00460180">
        <w:rPr>
          <w:rFonts w:ascii="Times New Roman" w:hAnsi="Times New Roman" w:cs="Times New Roman"/>
        </w:rPr>
        <w:t xml:space="preserve"> score of at least 0.18, and classification of</w:t>
      </w:r>
      <w:r w:rsidR="00011DA9">
        <w:rPr>
          <w:rFonts w:ascii="Times New Roman" w:hAnsi="Times New Roman" w:cs="Times New Roman"/>
        </w:rPr>
        <w:t xml:space="preserve"> </w:t>
      </w:r>
      <w:r w:rsidR="00391C58" w:rsidRPr="00460180">
        <w:rPr>
          <w:rFonts w:ascii="Times New Roman" w:hAnsi="Times New Roman" w:cs="Times New Roman"/>
        </w:rPr>
        <w:t>toxicity</w:t>
      </w:r>
      <w:r w:rsidR="00504FCB">
        <w:rPr>
          <w:rFonts w:ascii="Times New Roman" w:hAnsi="Times New Roman" w:cs="Times New Roman"/>
        </w:rPr>
        <w:t xml:space="preserve">. </w:t>
      </w:r>
      <w:r w:rsidR="00504FCB" w:rsidRPr="00141D2F">
        <w:rPr>
          <w:rFonts w:ascii="Times New Roman" w:hAnsi="Times New Roman" w:cs="Times New Roman"/>
        </w:rPr>
        <w:t>Active components were selected based on ADME criteria (absorption, distribution, metabolism, and excretion)</w:t>
      </w:r>
      <w:r w:rsidR="00504FCB" w:rsidRPr="00460180">
        <w:rPr>
          <w:rFonts w:ascii="Times New Roman" w:hAnsi="Times New Roman" w:cs="Times New Roman"/>
        </w:rPr>
        <w:t xml:space="preserve"> and toxicity class</w:t>
      </w:r>
      <w:r w:rsidR="00504FCB" w:rsidRPr="00141D2F">
        <w:rPr>
          <w:rFonts w:ascii="Times New Roman" w:hAnsi="Times New Roman" w:cs="Times New Roman"/>
        </w:rPr>
        <w:t>, leading to the identification of one active compound</w:t>
      </w:r>
      <w:r w:rsidR="00504FCB" w:rsidRPr="00460180">
        <w:rPr>
          <w:rFonts w:ascii="Times New Roman" w:hAnsi="Times New Roman" w:cs="Times New Roman"/>
        </w:rPr>
        <w:t xml:space="preserve"> “</w:t>
      </w:r>
      <w:proofErr w:type="spellStart"/>
      <w:r w:rsidR="00504FCB" w:rsidRPr="00460180">
        <w:rPr>
          <w:rFonts w:ascii="Times New Roman" w:eastAsia="Times New Roman" w:hAnsi="Times New Roman" w:cs="Times New Roman"/>
          <w:i/>
          <w:iCs/>
          <w:color w:val="000000"/>
          <w:kern w:val="0"/>
          <w14:ligatures w14:val="none"/>
        </w:rPr>
        <w:t>Resibufogenin</w:t>
      </w:r>
      <w:proofErr w:type="spellEnd"/>
      <w:r w:rsidR="00504FCB" w:rsidRPr="00460180">
        <w:rPr>
          <w:rFonts w:ascii="Times New Roman" w:eastAsia="Times New Roman" w:hAnsi="Times New Roman" w:cs="Times New Roman"/>
          <w:color w:val="000000"/>
          <w:kern w:val="0"/>
          <w14:ligatures w14:val="none"/>
        </w:rPr>
        <w:t>”</w:t>
      </w:r>
      <w:r w:rsidR="00504FCB">
        <w:rPr>
          <w:rFonts w:ascii="Times New Roman" w:hAnsi="Times New Roman" w:cs="Times New Roman"/>
        </w:rPr>
        <w:t xml:space="preserve"> </w:t>
      </w:r>
      <w:r w:rsidR="00BE5A0E">
        <w:rPr>
          <w:rFonts w:ascii="Times New Roman" w:hAnsi="Times New Roman" w:cs="Times New Roman"/>
        </w:rPr>
        <w:t>(Table</w:t>
      </w:r>
      <w:r w:rsidR="00D5454B">
        <w:rPr>
          <w:rFonts w:ascii="Times New Roman" w:hAnsi="Times New Roman" w:cs="Times New Roman"/>
        </w:rPr>
        <w:t>-1</w:t>
      </w:r>
      <w:r w:rsidR="004204A6">
        <w:rPr>
          <w:rFonts w:ascii="Times New Roman" w:hAnsi="Times New Roman" w:cs="Times New Roman"/>
        </w:rPr>
        <w:t>, 2</w:t>
      </w:r>
      <w:r w:rsidR="00BE5A0E">
        <w:rPr>
          <w:rFonts w:ascii="Times New Roman" w:hAnsi="Times New Roman" w:cs="Times New Roman"/>
        </w:rPr>
        <w:t>)</w:t>
      </w:r>
      <w:r w:rsidR="00391C58" w:rsidRPr="00460180">
        <w:rPr>
          <w:rFonts w:ascii="Times New Roman" w:hAnsi="Times New Roman" w:cs="Times New Roman"/>
        </w:rPr>
        <w:t>.</w:t>
      </w:r>
      <w:r w:rsidR="00BE5A0E">
        <w:rPr>
          <w:rFonts w:ascii="Times New Roman" w:hAnsi="Times New Roman" w:cs="Times New Roman"/>
        </w:rPr>
        <w:t xml:space="preserve"> </w:t>
      </w:r>
      <w:r w:rsidR="00211532">
        <w:rPr>
          <w:rFonts w:ascii="Times New Roman" w:hAnsi="Times New Roman" w:cs="Times New Roman"/>
        </w:rPr>
        <w:t xml:space="preserve">Although other compounds showed favorable F and DL score, they were excluded because </w:t>
      </w:r>
      <w:r w:rsidR="00211532" w:rsidRPr="00211532">
        <w:rPr>
          <w:rFonts w:ascii="Times New Roman" w:hAnsi="Times New Roman" w:cs="Times New Roman"/>
        </w:rPr>
        <w:t xml:space="preserve">of their higher </w:t>
      </w:r>
      <w:r w:rsidR="00211532">
        <w:rPr>
          <w:rFonts w:ascii="Times New Roman" w:hAnsi="Times New Roman" w:cs="Times New Roman"/>
        </w:rPr>
        <w:t xml:space="preserve">predicted </w:t>
      </w:r>
      <w:r w:rsidR="00211532" w:rsidRPr="00211532">
        <w:rPr>
          <w:rFonts w:ascii="Times New Roman" w:hAnsi="Times New Roman" w:cs="Times New Roman"/>
        </w:rPr>
        <w:t>toxicity</w:t>
      </w:r>
      <w:r w:rsidR="004204A6">
        <w:rPr>
          <w:rFonts w:ascii="Times New Roman" w:hAnsi="Times New Roman" w:cs="Times New Roman"/>
        </w:rPr>
        <w:t xml:space="preserve"> </w:t>
      </w:r>
      <w:r w:rsidR="0038754D">
        <w:rPr>
          <w:rFonts w:ascii="Times New Roman" w:hAnsi="Times New Roman" w:cs="Times New Roman"/>
        </w:rPr>
        <w:t>profile.</w:t>
      </w:r>
    </w:p>
    <w:tbl>
      <w:tblPr>
        <w:tblStyle w:val="TableGrid"/>
        <w:tblW w:w="9063" w:type="dxa"/>
        <w:jc w:val="center"/>
        <w:tblLook w:val="04A0" w:firstRow="1" w:lastRow="0" w:firstColumn="1" w:lastColumn="0" w:noHBand="0" w:noVBand="1"/>
      </w:tblPr>
      <w:tblGrid>
        <w:gridCol w:w="1812"/>
        <w:gridCol w:w="1812"/>
        <w:gridCol w:w="1813"/>
        <w:gridCol w:w="1813"/>
        <w:gridCol w:w="1813"/>
      </w:tblGrid>
      <w:tr w:rsidR="00A25380" w14:paraId="56550404" w14:textId="5ADFC03A" w:rsidTr="00A25380">
        <w:trPr>
          <w:trHeight w:val="638"/>
          <w:jc w:val="center"/>
        </w:trPr>
        <w:tc>
          <w:tcPr>
            <w:tcW w:w="1812" w:type="dxa"/>
          </w:tcPr>
          <w:p w14:paraId="32C47F2E" w14:textId="1C30E381" w:rsidR="00A25380" w:rsidRDefault="00A25380" w:rsidP="0071122D">
            <w:pPr>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Active Compound</w:t>
            </w:r>
          </w:p>
        </w:tc>
        <w:tc>
          <w:tcPr>
            <w:tcW w:w="1812" w:type="dxa"/>
          </w:tcPr>
          <w:p w14:paraId="374FD304" w14:textId="01D9E583" w:rsidR="00A25380" w:rsidRDefault="00A25380" w:rsidP="0071122D">
            <w:pPr>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B</w:t>
            </w:r>
            <w:r w:rsidRPr="00460180">
              <w:rPr>
                <w:rFonts w:ascii="Times New Roman" w:hAnsi="Times New Roman" w:cs="Times New Roman"/>
              </w:rPr>
              <w:t>ioavailability</w:t>
            </w:r>
            <w:r>
              <w:rPr>
                <w:rFonts w:ascii="Times New Roman" w:hAnsi="Times New Roman" w:cs="Times New Roman"/>
              </w:rPr>
              <w:t xml:space="preserve"> </w:t>
            </w:r>
            <w:r w:rsidRPr="00460180">
              <w:rPr>
                <w:rFonts w:ascii="Times New Roman" w:hAnsi="Times New Roman" w:cs="Times New Roman"/>
              </w:rPr>
              <w:t>score (F)</w:t>
            </w:r>
          </w:p>
        </w:tc>
        <w:tc>
          <w:tcPr>
            <w:tcW w:w="1813" w:type="dxa"/>
          </w:tcPr>
          <w:p w14:paraId="0C5F08FD" w14:textId="4E84EC70" w:rsidR="00A25380" w:rsidRDefault="00A25380" w:rsidP="0071122D">
            <w:pPr>
              <w:jc w:val="center"/>
              <w:rPr>
                <w:rFonts w:ascii="Times New Roman" w:eastAsia="Times New Roman" w:hAnsi="Times New Roman" w:cs="Times New Roman"/>
                <w:color w:val="000000"/>
                <w:kern w:val="0"/>
                <w14:ligatures w14:val="none"/>
              </w:rPr>
            </w:pPr>
            <w:r>
              <w:rPr>
                <w:rFonts w:ascii="Times New Roman" w:hAnsi="Times New Roman" w:cs="Times New Roman"/>
              </w:rPr>
              <w:t>D</w:t>
            </w:r>
            <w:r w:rsidRPr="00460180">
              <w:rPr>
                <w:rFonts w:ascii="Times New Roman" w:hAnsi="Times New Roman" w:cs="Times New Roman"/>
              </w:rPr>
              <w:t>rug-likeness (DL)</w:t>
            </w:r>
          </w:p>
        </w:tc>
        <w:tc>
          <w:tcPr>
            <w:tcW w:w="1813" w:type="dxa"/>
          </w:tcPr>
          <w:p w14:paraId="34E87ECB" w14:textId="31634070" w:rsidR="00A25380" w:rsidRDefault="00A25380" w:rsidP="0071122D">
            <w:pPr>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Toxicity class</w:t>
            </w:r>
          </w:p>
        </w:tc>
        <w:tc>
          <w:tcPr>
            <w:tcW w:w="1813" w:type="dxa"/>
          </w:tcPr>
          <w:p w14:paraId="54DE4ECE" w14:textId="643F90EC" w:rsidR="00A25380" w:rsidRDefault="00A25380" w:rsidP="0071122D">
            <w:pPr>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LD50</w:t>
            </w:r>
          </w:p>
        </w:tc>
      </w:tr>
      <w:tr w:rsidR="00A25380" w14:paraId="24385132" w14:textId="6F821797" w:rsidTr="00A25380">
        <w:trPr>
          <w:trHeight w:val="484"/>
          <w:jc w:val="center"/>
        </w:trPr>
        <w:tc>
          <w:tcPr>
            <w:tcW w:w="1812" w:type="dxa"/>
          </w:tcPr>
          <w:p w14:paraId="1687F83B" w14:textId="47273DBF" w:rsidR="00A25380" w:rsidRDefault="00A25380" w:rsidP="0071122D">
            <w:pPr>
              <w:jc w:val="center"/>
              <w:rPr>
                <w:rFonts w:ascii="Times New Roman" w:eastAsia="Times New Roman" w:hAnsi="Times New Roman" w:cs="Times New Roman"/>
                <w:color w:val="000000"/>
                <w:kern w:val="0"/>
                <w14:ligatures w14:val="none"/>
              </w:rPr>
            </w:pPr>
            <w:proofErr w:type="spellStart"/>
            <w:r w:rsidRPr="00460180">
              <w:rPr>
                <w:rFonts w:ascii="Times New Roman" w:eastAsia="Times New Roman" w:hAnsi="Times New Roman" w:cs="Times New Roman"/>
                <w:i/>
                <w:iCs/>
                <w:color w:val="000000"/>
                <w:kern w:val="0"/>
                <w14:ligatures w14:val="none"/>
              </w:rPr>
              <w:t>Resibufogenin</w:t>
            </w:r>
            <w:proofErr w:type="spellEnd"/>
          </w:p>
        </w:tc>
        <w:tc>
          <w:tcPr>
            <w:tcW w:w="1812" w:type="dxa"/>
          </w:tcPr>
          <w:p w14:paraId="794A9CB0" w14:textId="0456E03C" w:rsidR="00A25380" w:rsidRDefault="00A25380" w:rsidP="0071122D">
            <w:pPr>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0.55</w:t>
            </w:r>
          </w:p>
        </w:tc>
        <w:tc>
          <w:tcPr>
            <w:tcW w:w="1813" w:type="dxa"/>
          </w:tcPr>
          <w:p w14:paraId="3E6A010D" w14:textId="4A46739F" w:rsidR="00A25380" w:rsidRDefault="00A25380" w:rsidP="0071122D">
            <w:pPr>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0.5</w:t>
            </w:r>
          </w:p>
        </w:tc>
        <w:tc>
          <w:tcPr>
            <w:tcW w:w="1813" w:type="dxa"/>
          </w:tcPr>
          <w:p w14:paraId="03B725F8" w14:textId="0BCE804B" w:rsidR="00A25380" w:rsidRDefault="00A25380" w:rsidP="0071122D">
            <w:pPr>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w:t>
            </w:r>
          </w:p>
        </w:tc>
        <w:tc>
          <w:tcPr>
            <w:tcW w:w="1813" w:type="dxa"/>
          </w:tcPr>
          <w:p w14:paraId="653D678B" w14:textId="77777777" w:rsidR="00A25380" w:rsidRDefault="00A25380" w:rsidP="0071122D">
            <w:pPr>
              <w:jc w:val="center"/>
              <w:rPr>
                <w:rFonts w:ascii="Calibri" w:hAnsi="Calibri" w:cs="Calibri"/>
                <w:color w:val="000000"/>
                <w:sz w:val="22"/>
                <w:szCs w:val="22"/>
              </w:rPr>
            </w:pPr>
            <w:r>
              <w:rPr>
                <w:rFonts w:ascii="Calibri" w:hAnsi="Calibri" w:cs="Calibri"/>
                <w:color w:val="000000"/>
                <w:sz w:val="22"/>
                <w:szCs w:val="22"/>
              </w:rPr>
              <w:t>59800mg/kg</w:t>
            </w:r>
          </w:p>
          <w:p w14:paraId="6CCFE521" w14:textId="77777777" w:rsidR="00A25380" w:rsidRDefault="00A25380" w:rsidP="0071122D">
            <w:pPr>
              <w:jc w:val="center"/>
              <w:rPr>
                <w:rFonts w:ascii="Times New Roman" w:eastAsia="Times New Roman" w:hAnsi="Times New Roman" w:cs="Times New Roman"/>
                <w:color w:val="000000"/>
                <w:kern w:val="0"/>
                <w14:ligatures w14:val="none"/>
              </w:rPr>
            </w:pPr>
          </w:p>
        </w:tc>
      </w:tr>
    </w:tbl>
    <w:p w14:paraId="77064CA1" w14:textId="2AA8D06E" w:rsidR="00631FD2" w:rsidRPr="002F5C8A" w:rsidRDefault="00107322" w:rsidP="00107322">
      <w:pPr>
        <w:jc w:val="center"/>
        <w:rPr>
          <w:rFonts w:ascii="Times New Roman" w:eastAsia="Times New Roman" w:hAnsi="Times New Roman" w:cs="Times New Roman"/>
          <w:color w:val="000000"/>
          <w:kern w:val="0"/>
          <w:sz w:val="20"/>
          <w:szCs w:val="20"/>
          <w14:ligatures w14:val="none"/>
        </w:rPr>
      </w:pPr>
      <w:r w:rsidRPr="002F5C8A">
        <w:rPr>
          <w:rFonts w:ascii="Times New Roman" w:hAnsi="Times New Roman" w:cs="Times New Roman"/>
          <w:sz w:val="20"/>
          <w:szCs w:val="20"/>
        </w:rPr>
        <w:lastRenderedPageBreak/>
        <w:t xml:space="preserve">Table-1: Screening profile of </w:t>
      </w:r>
      <w:proofErr w:type="spellStart"/>
      <w:r w:rsidRPr="002F5C8A">
        <w:rPr>
          <w:rFonts w:ascii="Times New Roman" w:eastAsia="Times New Roman" w:hAnsi="Times New Roman" w:cs="Times New Roman"/>
          <w:color w:val="000000"/>
          <w:kern w:val="0"/>
          <w:sz w:val="20"/>
          <w:szCs w:val="20"/>
          <w14:ligatures w14:val="none"/>
        </w:rPr>
        <w:t>Resibufogenin</w:t>
      </w:r>
      <w:proofErr w:type="spellEnd"/>
    </w:p>
    <w:p w14:paraId="6305F24F" w14:textId="77777777" w:rsidR="00631FD2" w:rsidRDefault="00631FD2" w:rsidP="00D22B14">
      <w:pPr>
        <w:jc w:val="both"/>
        <w:rPr>
          <w:rFonts w:ascii="Times New Roman" w:hAnsi="Times New Roman" w:cs="Times New Roman"/>
          <w:b/>
          <w:bCs/>
        </w:rPr>
      </w:pPr>
      <w:r w:rsidRPr="00D22B14">
        <w:rPr>
          <w:rFonts w:ascii="Times New Roman" w:hAnsi="Times New Roman" w:cs="Times New Roman"/>
          <w:b/>
          <w:bCs/>
        </w:rPr>
        <w:t>Identification of Hub Genes and PPI Network:</w:t>
      </w:r>
    </w:p>
    <w:p w14:paraId="1D999DE2" w14:textId="77777777" w:rsidR="007C186D" w:rsidRPr="007C186D" w:rsidRDefault="007C186D" w:rsidP="007C186D">
      <w:pPr>
        <w:jc w:val="both"/>
        <w:rPr>
          <w:rFonts w:ascii="Times New Roman" w:hAnsi="Times New Roman" w:cs="Times New Roman"/>
        </w:rPr>
      </w:pPr>
      <w:r w:rsidRPr="007C186D">
        <w:rPr>
          <w:rFonts w:ascii="Times New Roman" w:hAnsi="Times New Roman" w:cs="Times New Roman"/>
        </w:rPr>
        <w:t xml:space="preserve">Analysis of the protein–protein interaction (PPI) network, complemented by </w:t>
      </w:r>
      <w:proofErr w:type="spellStart"/>
      <w:r w:rsidRPr="007C186D">
        <w:rPr>
          <w:rFonts w:ascii="Times New Roman" w:hAnsi="Times New Roman" w:cs="Times New Roman"/>
        </w:rPr>
        <w:t>CytoHubba</w:t>
      </w:r>
      <w:proofErr w:type="spellEnd"/>
      <w:r w:rsidRPr="007C186D">
        <w:rPr>
          <w:rFonts w:ascii="Times New Roman" w:hAnsi="Times New Roman" w:cs="Times New Roman"/>
        </w:rPr>
        <w:t xml:space="preserve"> topological ranking, revealed ten hub genes exhibiting high degree centrality: LCK, JAK1, JUN, MTOR, HDAC1, BSG, PTPN22, CSK, PIK3CD, and EMB, indicating their pivotal roles in disease-related molecular networks.</w:t>
      </w:r>
    </w:p>
    <w:p w14:paraId="273941E5" w14:textId="079BAE9A" w:rsidR="00E01EC2" w:rsidRDefault="008949B1" w:rsidP="005049DE">
      <w:pPr>
        <w:jc w:val="both"/>
        <w:rPr>
          <w:rFonts w:ascii="Times New Roman" w:hAnsi="Times New Roman" w:cs="Times New Roman"/>
        </w:rPr>
      </w:pPr>
      <w:r w:rsidRPr="008949B1">
        <w:rPr>
          <w:rFonts w:ascii="Times New Roman" w:hAnsi="Times New Roman" w:cs="Times New Roman"/>
        </w:rPr>
        <w:t xml:space="preserve">Subsequent target prediction research indicated that </w:t>
      </w:r>
      <w:proofErr w:type="spellStart"/>
      <w:r w:rsidRPr="008949B1">
        <w:rPr>
          <w:rFonts w:ascii="Times New Roman" w:hAnsi="Times New Roman" w:cs="Times New Roman"/>
        </w:rPr>
        <w:t>Resibufogenin</w:t>
      </w:r>
      <w:proofErr w:type="spellEnd"/>
      <w:r w:rsidRPr="008949B1">
        <w:rPr>
          <w:rFonts w:ascii="Times New Roman" w:hAnsi="Times New Roman" w:cs="Times New Roman"/>
        </w:rPr>
        <w:t xml:space="preserve"> was linked to four of the ten identified hub genes: LCK, JAK1, MTOR, and PIK3CD. From the compound–target intersection, these four hub genes were chosen for molecular docking research to assess the binding affinity and interaction stability of </w:t>
      </w:r>
      <w:proofErr w:type="spellStart"/>
      <w:r w:rsidRPr="008949B1">
        <w:rPr>
          <w:rFonts w:ascii="Times New Roman" w:hAnsi="Times New Roman" w:cs="Times New Roman"/>
        </w:rPr>
        <w:t>Resibufogenin</w:t>
      </w:r>
      <w:proofErr w:type="spellEnd"/>
      <w:r w:rsidRPr="008949B1">
        <w:rPr>
          <w:rFonts w:ascii="Times New Roman" w:hAnsi="Times New Roman" w:cs="Times New Roman"/>
        </w:rPr>
        <w:t xml:space="preserve"> with critical disease-associated targets.</w:t>
      </w:r>
      <w:r w:rsidR="005049DE">
        <w:rPr>
          <w:rFonts w:ascii="Times New Roman" w:hAnsi="Times New Roman" w:cs="Times New Roman"/>
        </w:rPr>
        <w:t xml:space="preserve"> </w:t>
      </w:r>
      <w:r w:rsidR="005049DE" w:rsidRPr="005049DE">
        <w:rPr>
          <w:rFonts w:ascii="Times New Roman" w:hAnsi="Times New Roman" w:cs="Times New Roman"/>
        </w:rPr>
        <w:t xml:space="preserve">This implies that a single active molecule can function as a single ligand and interact with several </w:t>
      </w:r>
      <w:r w:rsidR="005049DE">
        <w:rPr>
          <w:rFonts w:ascii="Times New Roman" w:hAnsi="Times New Roman" w:cs="Times New Roman"/>
        </w:rPr>
        <w:t xml:space="preserve">disease associated </w:t>
      </w:r>
      <w:r w:rsidR="005049DE" w:rsidRPr="005049DE">
        <w:rPr>
          <w:rFonts w:ascii="Times New Roman" w:hAnsi="Times New Roman" w:cs="Times New Roman"/>
        </w:rPr>
        <w:t>targets.</w:t>
      </w:r>
    </w:p>
    <w:p w14:paraId="47C73105" w14:textId="77777777" w:rsidR="00EB44A1" w:rsidRDefault="0071122D" w:rsidP="00EB44A1">
      <w:pPr>
        <w:spacing w:after="0"/>
        <w:jc w:val="center"/>
        <w:rPr>
          <w:rFonts w:ascii="Times New Roman" w:hAnsi="Times New Roman" w:cs="Times New Roman"/>
        </w:rPr>
      </w:pPr>
      <w:r>
        <w:rPr>
          <w:noProof/>
        </w:rPr>
        <w:drawing>
          <wp:inline distT="0" distB="0" distL="0" distR="0" wp14:anchorId="6CBF133C" wp14:editId="234DAF67">
            <wp:extent cx="3593990" cy="3353623"/>
            <wp:effectExtent l="19050" t="19050" r="26035" b="18415"/>
            <wp:docPr id="1437173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96862" cy="3356303"/>
                    </a:xfrm>
                    <a:prstGeom prst="rect">
                      <a:avLst/>
                    </a:prstGeom>
                    <a:noFill/>
                    <a:ln w="3175">
                      <a:solidFill>
                        <a:schemeClr val="tx1"/>
                      </a:solidFill>
                    </a:ln>
                  </pic:spPr>
                </pic:pic>
              </a:graphicData>
            </a:graphic>
          </wp:inline>
        </w:drawing>
      </w:r>
    </w:p>
    <w:p w14:paraId="55065A39" w14:textId="4CB49BBB" w:rsidR="00EB44A1" w:rsidRPr="002F5C8A" w:rsidRDefault="00EB44A1" w:rsidP="00EB44A1">
      <w:pPr>
        <w:jc w:val="center"/>
        <w:rPr>
          <w:rFonts w:ascii="Times New Roman" w:hAnsi="Times New Roman" w:cs="Times New Roman"/>
          <w:sz w:val="20"/>
          <w:szCs w:val="20"/>
        </w:rPr>
      </w:pPr>
      <w:r w:rsidRPr="002F5C8A">
        <w:rPr>
          <w:rFonts w:ascii="Times New Roman" w:hAnsi="Times New Roman" w:cs="Times New Roman"/>
          <w:sz w:val="20"/>
          <w:szCs w:val="20"/>
          <w:lang w:val="en-GB"/>
        </w:rPr>
        <w:t xml:space="preserve">Figure-1: Top 10 </w:t>
      </w:r>
      <w:r w:rsidRPr="002F5C8A">
        <w:rPr>
          <w:rFonts w:ascii="Times New Roman" w:hAnsi="Times New Roman" w:cs="Times New Roman"/>
          <w:sz w:val="20"/>
          <w:szCs w:val="20"/>
        </w:rPr>
        <w:t xml:space="preserve">Hub genes related to Breast Cancer identified from </w:t>
      </w:r>
      <w:proofErr w:type="spellStart"/>
      <w:r w:rsidRPr="002F5C8A">
        <w:rPr>
          <w:rFonts w:ascii="Times New Roman" w:hAnsi="Times New Roman" w:cs="Times New Roman"/>
          <w:sz w:val="20"/>
          <w:szCs w:val="20"/>
        </w:rPr>
        <w:t>Cytoscape</w:t>
      </w:r>
      <w:proofErr w:type="spellEnd"/>
    </w:p>
    <w:p w14:paraId="1330E1BD" w14:textId="623C8001" w:rsidR="00810BB6" w:rsidRDefault="00810BB6" w:rsidP="00E01EC2">
      <w:pPr>
        <w:jc w:val="both"/>
        <w:rPr>
          <w:rFonts w:ascii="Times New Roman" w:hAnsi="Times New Roman" w:cs="Times New Roman"/>
          <w:b/>
          <w:bCs/>
        </w:rPr>
      </w:pPr>
      <w:r w:rsidRPr="00810BB6">
        <w:rPr>
          <w:rFonts w:ascii="Times New Roman" w:hAnsi="Times New Roman" w:cs="Times New Roman"/>
          <w:b/>
          <w:bCs/>
        </w:rPr>
        <w:t>GO Enrichment and KEGG Pathway Analysis of Selected Hub Genes</w:t>
      </w:r>
      <w:r>
        <w:rPr>
          <w:rFonts w:ascii="Times New Roman" w:hAnsi="Times New Roman" w:cs="Times New Roman"/>
          <w:b/>
          <w:bCs/>
        </w:rPr>
        <w:t>:</w:t>
      </w:r>
    </w:p>
    <w:p w14:paraId="660291BC" w14:textId="718475A5" w:rsidR="001F7F1E" w:rsidRPr="001F7F1E" w:rsidRDefault="001F7F1E" w:rsidP="001F7F1E">
      <w:pPr>
        <w:spacing w:after="0" w:line="240" w:lineRule="auto"/>
        <w:jc w:val="both"/>
        <w:rPr>
          <w:rFonts w:ascii="Times New Roman" w:eastAsia="Times New Roman" w:hAnsi="Times New Roman" w:cs="Times New Roman"/>
          <w:kern w:val="0"/>
          <w14:ligatures w14:val="none"/>
        </w:rPr>
      </w:pPr>
      <w:r w:rsidRPr="001F7F1E">
        <w:rPr>
          <w:rFonts w:ascii="Times New Roman" w:eastAsia="Times New Roman" w:hAnsi="Times New Roman" w:cs="Times New Roman"/>
          <w:kern w:val="0"/>
          <w14:ligatures w14:val="none"/>
        </w:rPr>
        <w:t xml:space="preserve">Gene Ontology (GO) enrichment study of the four selected hub genes (LCK, JAK1, MTOR, and PIK3CD) revealed substantial participation in protein phosphorylation, ATP binding, and protein tyrosine kinase activity, </w:t>
      </w:r>
      <w:proofErr w:type="spellStart"/>
      <w:r w:rsidRPr="001F7F1E">
        <w:rPr>
          <w:rFonts w:ascii="Times New Roman" w:eastAsia="Times New Roman" w:hAnsi="Times New Roman" w:cs="Times New Roman"/>
          <w:kern w:val="0"/>
          <w14:ligatures w14:val="none"/>
        </w:rPr>
        <w:t>emphasising</w:t>
      </w:r>
      <w:proofErr w:type="spellEnd"/>
      <w:r w:rsidRPr="001F7F1E">
        <w:rPr>
          <w:rFonts w:ascii="Times New Roman" w:eastAsia="Times New Roman" w:hAnsi="Times New Roman" w:cs="Times New Roman"/>
          <w:kern w:val="0"/>
          <w14:ligatures w14:val="none"/>
        </w:rPr>
        <w:t xml:space="preserve"> their crucial functions in intracellular signal transduction. Analysis of biological processes indicated an enrichment in T-cell activation, immune receptor </w:t>
      </w:r>
      <w:proofErr w:type="spellStart"/>
      <w:r w:rsidRPr="001F7F1E">
        <w:rPr>
          <w:rFonts w:ascii="Times New Roman" w:eastAsia="Times New Roman" w:hAnsi="Times New Roman" w:cs="Times New Roman"/>
          <w:kern w:val="0"/>
          <w14:ligatures w14:val="none"/>
        </w:rPr>
        <w:t>signalling</w:t>
      </w:r>
      <w:proofErr w:type="spellEnd"/>
      <w:r w:rsidRPr="001F7F1E">
        <w:rPr>
          <w:rFonts w:ascii="Times New Roman" w:eastAsia="Times New Roman" w:hAnsi="Times New Roman" w:cs="Times New Roman"/>
          <w:kern w:val="0"/>
          <w14:ligatures w14:val="none"/>
        </w:rPr>
        <w:t>, and inflammatory response, demonstrating their significance in immunological-mediated regulation systems.</w:t>
      </w:r>
      <w:r>
        <w:rPr>
          <w:rFonts w:ascii="Times New Roman" w:eastAsia="Times New Roman" w:hAnsi="Times New Roman" w:cs="Times New Roman"/>
          <w:kern w:val="0"/>
          <w14:ligatures w14:val="none"/>
        </w:rPr>
        <w:t xml:space="preserve"> </w:t>
      </w:r>
      <w:r w:rsidRPr="001F7F1E">
        <w:rPr>
          <w:rFonts w:ascii="Times New Roman" w:eastAsia="Times New Roman" w:hAnsi="Times New Roman" w:cs="Times New Roman"/>
          <w:kern w:val="0"/>
          <w14:ligatures w14:val="none"/>
        </w:rPr>
        <w:t xml:space="preserve">KEGG pathway enrichment analysis revealed that these hub genes </w:t>
      </w:r>
      <w:r w:rsidRPr="001F7F1E">
        <w:rPr>
          <w:rFonts w:ascii="Times New Roman" w:eastAsia="Times New Roman" w:hAnsi="Times New Roman" w:cs="Times New Roman"/>
          <w:kern w:val="0"/>
          <w14:ligatures w14:val="none"/>
        </w:rPr>
        <w:lastRenderedPageBreak/>
        <w:t xml:space="preserve">were strongly linked to many cancer-related and immunological </w:t>
      </w:r>
      <w:proofErr w:type="spellStart"/>
      <w:r w:rsidRPr="001F7F1E">
        <w:rPr>
          <w:rFonts w:ascii="Times New Roman" w:eastAsia="Times New Roman" w:hAnsi="Times New Roman" w:cs="Times New Roman"/>
          <w:kern w:val="0"/>
          <w14:ligatures w14:val="none"/>
        </w:rPr>
        <w:t>signalling</w:t>
      </w:r>
      <w:proofErr w:type="spellEnd"/>
      <w:r w:rsidRPr="001F7F1E">
        <w:rPr>
          <w:rFonts w:ascii="Times New Roman" w:eastAsia="Times New Roman" w:hAnsi="Times New Roman" w:cs="Times New Roman"/>
          <w:kern w:val="0"/>
          <w14:ligatures w14:val="none"/>
        </w:rPr>
        <w:t xml:space="preserve"> pathways, including the PD-L1 expression and PD-1 checkpoint pathway, JAK–STAT </w:t>
      </w:r>
      <w:proofErr w:type="spellStart"/>
      <w:r w:rsidRPr="001F7F1E">
        <w:rPr>
          <w:rFonts w:ascii="Times New Roman" w:eastAsia="Times New Roman" w:hAnsi="Times New Roman" w:cs="Times New Roman"/>
          <w:kern w:val="0"/>
          <w14:ligatures w14:val="none"/>
        </w:rPr>
        <w:t>signalling</w:t>
      </w:r>
      <w:proofErr w:type="spellEnd"/>
      <w:r w:rsidRPr="001F7F1E">
        <w:rPr>
          <w:rFonts w:ascii="Times New Roman" w:eastAsia="Times New Roman" w:hAnsi="Times New Roman" w:cs="Times New Roman"/>
          <w:kern w:val="0"/>
          <w14:ligatures w14:val="none"/>
        </w:rPr>
        <w:t xml:space="preserve"> system, PI3K–Akt </w:t>
      </w:r>
      <w:proofErr w:type="spellStart"/>
      <w:r w:rsidRPr="001F7F1E">
        <w:rPr>
          <w:rFonts w:ascii="Times New Roman" w:eastAsia="Times New Roman" w:hAnsi="Times New Roman" w:cs="Times New Roman"/>
          <w:kern w:val="0"/>
          <w14:ligatures w14:val="none"/>
        </w:rPr>
        <w:t>signalling</w:t>
      </w:r>
      <w:proofErr w:type="spellEnd"/>
      <w:r w:rsidRPr="001F7F1E">
        <w:rPr>
          <w:rFonts w:ascii="Times New Roman" w:eastAsia="Times New Roman" w:hAnsi="Times New Roman" w:cs="Times New Roman"/>
          <w:kern w:val="0"/>
          <w14:ligatures w14:val="none"/>
        </w:rPr>
        <w:t xml:space="preserve"> route, and pathways in cancer. Enrichment was detected in breast cancer-related pathways, indicating the functional significance of the chosen hub genes in </w:t>
      </w:r>
      <w:proofErr w:type="spellStart"/>
      <w:r w:rsidRPr="001F7F1E">
        <w:rPr>
          <w:rFonts w:ascii="Times New Roman" w:eastAsia="Times New Roman" w:hAnsi="Times New Roman" w:cs="Times New Roman"/>
          <w:kern w:val="0"/>
          <w14:ligatures w14:val="none"/>
        </w:rPr>
        <w:t>tumour</w:t>
      </w:r>
      <w:proofErr w:type="spellEnd"/>
      <w:r w:rsidRPr="001F7F1E">
        <w:rPr>
          <w:rFonts w:ascii="Times New Roman" w:eastAsia="Times New Roman" w:hAnsi="Times New Roman" w:cs="Times New Roman"/>
          <w:kern w:val="0"/>
          <w14:ligatures w14:val="none"/>
        </w:rPr>
        <w:t xml:space="preserve"> growth and immune regulation.</w:t>
      </w:r>
      <w:r>
        <w:rPr>
          <w:rFonts w:ascii="Times New Roman" w:eastAsia="Times New Roman" w:hAnsi="Times New Roman" w:cs="Times New Roman"/>
          <w:kern w:val="0"/>
          <w14:ligatures w14:val="none"/>
        </w:rPr>
        <w:t xml:space="preserve"> </w:t>
      </w:r>
      <w:r w:rsidRPr="001F7F1E">
        <w:rPr>
          <w:rFonts w:ascii="Times New Roman" w:eastAsia="Times New Roman" w:hAnsi="Times New Roman" w:cs="Times New Roman"/>
          <w:kern w:val="0"/>
          <w14:ligatures w14:val="none"/>
        </w:rPr>
        <w:t>Comprehensive GO and KEGG analyses indicate that the identified hub genes are involved in critical oncogenic and immunological regulatory pathways, establishing a robust functional foundation for subsequent molecular docking and target-ligand interaction studies.</w:t>
      </w:r>
    </w:p>
    <w:p w14:paraId="1688E552" w14:textId="77777777" w:rsidR="00810BB6" w:rsidRDefault="00810BB6" w:rsidP="00E01EC2">
      <w:pPr>
        <w:jc w:val="both"/>
        <w:rPr>
          <w:rFonts w:ascii="Times New Roman" w:hAnsi="Times New Roman" w:cs="Times New Roman"/>
          <w:b/>
          <w:bCs/>
        </w:rPr>
      </w:pPr>
    </w:p>
    <w:p w14:paraId="7A860D27" w14:textId="5550C455" w:rsidR="00E01EC2" w:rsidRPr="00E01EC2" w:rsidRDefault="00E01EC2" w:rsidP="00E01EC2">
      <w:pPr>
        <w:jc w:val="both"/>
        <w:rPr>
          <w:rFonts w:ascii="Times New Roman" w:hAnsi="Times New Roman" w:cs="Times New Roman"/>
          <w:b/>
          <w:bCs/>
        </w:rPr>
      </w:pPr>
      <w:r w:rsidRPr="00E01EC2">
        <w:rPr>
          <w:rFonts w:ascii="Times New Roman" w:hAnsi="Times New Roman" w:cs="Times New Roman"/>
          <w:b/>
          <w:bCs/>
        </w:rPr>
        <w:t>Molecular Docking:</w:t>
      </w:r>
    </w:p>
    <w:p w14:paraId="409A4853" w14:textId="29D024E9" w:rsidR="00881CF2" w:rsidRDefault="0020372C" w:rsidP="00CE6F70">
      <w:pPr>
        <w:spacing w:after="0"/>
        <w:jc w:val="both"/>
        <w:rPr>
          <w:rFonts w:ascii="Times New Roman" w:hAnsi="Times New Roman" w:cs="Times New Roman"/>
          <w:b/>
          <w:bCs/>
        </w:rPr>
      </w:pPr>
      <w:r w:rsidRPr="0020372C">
        <w:rPr>
          <w:rFonts w:ascii="Times New Roman" w:hAnsi="Times New Roman" w:cs="Times New Roman"/>
          <w:b/>
          <w:bCs/>
        </w:rPr>
        <w:t xml:space="preserve">Molecular Docking of </w:t>
      </w:r>
      <w:proofErr w:type="spellStart"/>
      <w:r w:rsidRPr="0020372C">
        <w:rPr>
          <w:rFonts w:ascii="Times New Roman" w:hAnsi="Times New Roman" w:cs="Times New Roman"/>
          <w:b/>
          <w:bCs/>
        </w:rPr>
        <w:t>Resibufogenin</w:t>
      </w:r>
      <w:proofErr w:type="spellEnd"/>
      <w:r w:rsidRPr="0020372C">
        <w:rPr>
          <w:rFonts w:ascii="Times New Roman" w:hAnsi="Times New Roman" w:cs="Times New Roman"/>
          <w:b/>
          <w:bCs/>
        </w:rPr>
        <w:t xml:space="preserve"> with LCK:</w:t>
      </w:r>
    </w:p>
    <w:p w14:paraId="70A8904B" w14:textId="6C5AF61B" w:rsidR="00CE6F70" w:rsidRPr="00CE6F70" w:rsidRDefault="00CE6F70" w:rsidP="00CE6F70">
      <w:pPr>
        <w:spacing w:after="0"/>
        <w:jc w:val="both"/>
        <w:rPr>
          <w:rFonts w:ascii="Times New Roman" w:hAnsi="Times New Roman" w:cs="Times New Roman"/>
        </w:rPr>
      </w:pPr>
      <w:r w:rsidRPr="00CE6F70">
        <w:rPr>
          <w:rFonts w:ascii="Times New Roman" w:hAnsi="Times New Roman" w:cs="Times New Roman"/>
        </w:rPr>
        <w:t xml:space="preserve">The molecular docking study of </w:t>
      </w:r>
      <w:proofErr w:type="spellStart"/>
      <w:r w:rsidRPr="00CE6F70">
        <w:rPr>
          <w:rFonts w:ascii="Times New Roman" w:hAnsi="Times New Roman" w:cs="Times New Roman"/>
        </w:rPr>
        <w:t>Resibufogenin</w:t>
      </w:r>
      <w:proofErr w:type="spellEnd"/>
      <w:r w:rsidRPr="00CE6F70">
        <w:rPr>
          <w:rFonts w:ascii="Times New Roman" w:hAnsi="Times New Roman" w:cs="Times New Roman"/>
        </w:rPr>
        <w:t xml:space="preserve"> with the LCK protein (PDB ID: 2OFV) showed significant binding affinity in multiple poses. The most favorable poses exhibited binding energies ranging from −12.41 to −10.92 kcal/mol, with the top score of −12.41 kcal/mol corresponding to a predicted inhibition constant (Ki) of 0.80 </w:t>
      </w:r>
      <w:proofErr w:type="spellStart"/>
      <w:r w:rsidRPr="00CE6F70">
        <w:rPr>
          <w:rFonts w:ascii="Times New Roman" w:hAnsi="Times New Roman" w:cs="Times New Roman"/>
        </w:rPr>
        <w:t>nM.</w:t>
      </w:r>
      <w:proofErr w:type="spellEnd"/>
      <w:r w:rsidRPr="00CE6F70">
        <w:rPr>
          <w:rFonts w:ascii="Times New Roman" w:hAnsi="Times New Roman" w:cs="Times New Roman"/>
        </w:rPr>
        <w:t xml:space="preserve"> This low Ki value, derived from the leading poses, indicates strong and stable interactions between the ligand and protein. Furthermore, the ligand efficiency values ranged from −0.44 to −0.39, further supporting the efficiency of the binding process. Structural visualization reinforced these findings by showing that </w:t>
      </w:r>
      <w:proofErr w:type="spellStart"/>
      <w:r w:rsidRPr="00CE6F70">
        <w:rPr>
          <w:rFonts w:ascii="Times New Roman" w:hAnsi="Times New Roman" w:cs="Times New Roman"/>
        </w:rPr>
        <w:t>Resibufogenin</w:t>
      </w:r>
      <w:proofErr w:type="spellEnd"/>
      <w:r w:rsidRPr="00CE6F70">
        <w:rPr>
          <w:rFonts w:ascii="Times New Roman" w:hAnsi="Times New Roman" w:cs="Times New Roman"/>
        </w:rPr>
        <w:t xml:space="preserve"> occupies a specific binding pocket within the active site of LCK. Overall, the results </w:t>
      </w:r>
      <w:r>
        <w:rPr>
          <w:rFonts w:ascii="Times New Roman" w:hAnsi="Times New Roman" w:cs="Times New Roman"/>
        </w:rPr>
        <w:t xml:space="preserve">suggests </w:t>
      </w:r>
      <w:r w:rsidRPr="00CE6F70">
        <w:rPr>
          <w:rFonts w:ascii="Times New Roman" w:hAnsi="Times New Roman" w:cs="Times New Roman"/>
        </w:rPr>
        <w:t xml:space="preserve">that </w:t>
      </w:r>
      <w:proofErr w:type="spellStart"/>
      <w:r w:rsidRPr="00CE6F70">
        <w:rPr>
          <w:rFonts w:ascii="Times New Roman" w:hAnsi="Times New Roman" w:cs="Times New Roman"/>
        </w:rPr>
        <w:t>Resibufogenin</w:t>
      </w:r>
      <w:proofErr w:type="spellEnd"/>
      <w:r w:rsidRPr="00CE6F70">
        <w:rPr>
          <w:rFonts w:ascii="Times New Roman" w:hAnsi="Times New Roman" w:cs="Times New Roman"/>
        </w:rPr>
        <w:t xml:space="preserve"> displays a robust and persistent affinity towards LCK, suggesting its potential as a strong inhibitor of this protein.</w:t>
      </w:r>
    </w:p>
    <w:p w14:paraId="6C726BA6" w14:textId="77777777" w:rsidR="0020372C" w:rsidRDefault="0020372C" w:rsidP="00881CF2">
      <w:pPr>
        <w:jc w:val="both"/>
        <w:rPr>
          <w:rFonts w:ascii="Times New Roman" w:hAnsi="Times New Roman" w:cs="Times New Roman"/>
        </w:rPr>
      </w:pPr>
    </w:p>
    <w:p w14:paraId="0EA51660" w14:textId="77777777" w:rsidR="00881CF2" w:rsidRDefault="00881CF2" w:rsidP="00881CF2">
      <w:pPr>
        <w:jc w:val="both"/>
        <w:rPr>
          <w:rFonts w:ascii="Times New Roman" w:hAnsi="Times New Roman" w:cs="Times New Roman"/>
        </w:rPr>
      </w:pPr>
    </w:p>
    <w:p w14:paraId="47646C16" w14:textId="425F7A57" w:rsidR="00881CF2" w:rsidRDefault="006B03B5" w:rsidP="006B03B5">
      <w:pPr>
        <w:spacing w:after="0"/>
        <w:jc w:val="center"/>
        <w:rPr>
          <w:rFonts w:ascii="Times New Roman" w:hAnsi="Times New Roman" w:cs="Times New Roman"/>
        </w:rPr>
      </w:pPr>
      <w:r>
        <w:rPr>
          <w:rFonts w:ascii="Times New Roman" w:hAnsi="Times New Roman" w:cs="Times New Roman"/>
          <w:noProof/>
        </w:rPr>
        <w:drawing>
          <wp:inline distT="0" distB="0" distL="0" distR="0" wp14:anchorId="7C853BA0" wp14:editId="1CA5C92F">
            <wp:extent cx="6622065" cy="2319655"/>
            <wp:effectExtent l="0" t="0" r="7620" b="4445"/>
            <wp:docPr id="64135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671438" cy="2336950"/>
                    </a:xfrm>
                    <a:prstGeom prst="rect">
                      <a:avLst/>
                    </a:prstGeom>
                    <a:noFill/>
                  </pic:spPr>
                </pic:pic>
              </a:graphicData>
            </a:graphic>
          </wp:inline>
        </w:drawing>
      </w:r>
    </w:p>
    <w:p w14:paraId="7F1EC9BA" w14:textId="18C40714" w:rsidR="006B03B5" w:rsidRDefault="006B03B5" w:rsidP="006B03B5">
      <w:pPr>
        <w:tabs>
          <w:tab w:val="left" w:pos="2830"/>
        </w:tabs>
        <w:spacing w:after="0"/>
        <w:jc w:val="center"/>
        <w:rPr>
          <w:rFonts w:ascii="Times New Roman" w:hAnsi="Times New Roman" w:cs="Times New Roman"/>
          <w:noProof/>
          <w:sz w:val="20"/>
          <w:szCs w:val="20"/>
        </w:rPr>
      </w:pPr>
      <w:r w:rsidRPr="00BD17DB">
        <w:rPr>
          <w:rFonts w:ascii="Times New Roman" w:hAnsi="Times New Roman" w:cs="Times New Roman"/>
          <w:noProof/>
          <w:sz w:val="20"/>
          <w:szCs w:val="20"/>
        </w:rPr>
        <w:t>Figure-</w:t>
      </w:r>
      <w:r w:rsidR="008A0006">
        <w:rPr>
          <w:rFonts w:ascii="Times New Roman" w:hAnsi="Times New Roman" w:cs="Times New Roman"/>
          <w:noProof/>
          <w:sz w:val="20"/>
          <w:szCs w:val="20"/>
        </w:rPr>
        <w:t>2</w:t>
      </w:r>
      <w:r w:rsidRPr="00BD17DB">
        <w:rPr>
          <w:rFonts w:ascii="Times New Roman" w:hAnsi="Times New Roman" w:cs="Times New Roman"/>
          <w:noProof/>
          <w:sz w:val="20"/>
          <w:szCs w:val="20"/>
        </w:rPr>
        <w:t xml:space="preserve">: Molecular Docking of Resibufogenin with </w:t>
      </w:r>
      <w:r w:rsidR="0058107C">
        <w:rPr>
          <w:rFonts w:ascii="Times New Roman" w:hAnsi="Times New Roman" w:cs="Times New Roman"/>
          <w:noProof/>
          <w:sz w:val="20"/>
          <w:szCs w:val="20"/>
        </w:rPr>
        <w:t>LCK</w:t>
      </w:r>
    </w:p>
    <w:p w14:paraId="17F1F3F1" w14:textId="77777777" w:rsidR="006B03B5" w:rsidRDefault="006B03B5" w:rsidP="00D374C2">
      <w:pPr>
        <w:spacing w:after="0"/>
        <w:jc w:val="both"/>
        <w:rPr>
          <w:rFonts w:ascii="Times New Roman" w:hAnsi="Times New Roman" w:cs="Times New Roman"/>
        </w:rPr>
      </w:pPr>
    </w:p>
    <w:p w14:paraId="766BF208" w14:textId="176850D7" w:rsidR="00D374C2" w:rsidRDefault="00D374C2" w:rsidP="00D374C2">
      <w:pPr>
        <w:spacing w:after="0"/>
        <w:jc w:val="both"/>
        <w:rPr>
          <w:rFonts w:ascii="Times New Roman" w:hAnsi="Times New Roman" w:cs="Times New Roman"/>
          <w:b/>
          <w:bCs/>
        </w:rPr>
      </w:pPr>
      <w:r w:rsidRPr="00D374C2">
        <w:rPr>
          <w:rFonts w:ascii="Times New Roman" w:hAnsi="Times New Roman" w:cs="Times New Roman"/>
          <w:b/>
          <w:bCs/>
        </w:rPr>
        <w:t xml:space="preserve">Molecular Docking of </w:t>
      </w:r>
      <w:proofErr w:type="spellStart"/>
      <w:r w:rsidRPr="00D374C2">
        <w:rPr>
          <w:rFonts w:ascii="Times New Roman" w:hAnsi="Times New Roman" w:cs="Times New Roman"/>
          <w:b/>
          <w:bCs/>
        </w:rPr>
        <w:t>Resibufogenin</w:t>
      </w:r>
      <w:proofErr w:type="spellEnd"/>
      <w:r w:rsidRPr="00D374C2">
        <w:rPr>
          <w:rFonts w:ascii="Times New Roman" w:hAnsi="Times New Roman" w:cs="Times New Roman"/>
          <w:b/>
          <w:bCs/>
        </w:rPr>
        <w:t xml:space="preserve"> with JAK1:</w:t>
      </w:r>
    </w:p>
    <w:p w14:paraId="3F7E51CC" w14:textId="09720664" w:rsidR="00BD17DB" w:rsidRDefault="00E01EC2" w:rsidP="00D374C2">
      <w:pPr>
        <w:spacing w:after="0"/>
        <w:jc w:val="both"/>
        <w:rPr>
          <w:rFonts w:ascii="Times New Roman" w:hAnsi="Times New Roman" w:cs="Times New Roman"/>
        </w:rPr>
      </w:pPr>
      <w:r w:rsidRPr="00E01EC2">
        <w:rPr>
          <w:rFonts w:ascii="Times New Roman" w:hAnsi="Times New Roman" w:cs="Times New Roman"/>
        </w:rPr>
        <w:t xml:space="preserve">The molecular docking study of </w:t>
      </w:r>
      <w:proofErr w:type="spellStart"/>
      <w:r w:rsidRPr="00E01EC2">
        <w:rPr>
          <w:rFonts w:ascii="Times New Roman" w:hAnsi="Times New Roman" w:cs="Times New Roman"/>
        </w:rPr>
        <w:t>Resibufogenin</w:t>
      </w:r>
      <w:proofErr w:type="spellEnd"/>
      <w:r w:rsidRPr="00E01EC2">
        <w:rPr>
          <w:rFonts w:ascii="Times New Roman" w:hAnsi="Times New Roman" w:cs="Times New Roman"/>
        </w:rPr>
        <w:t xml:space="preserve"> with JAK1 (PDB ID: 6GGH) revealed multiple favorable binding orientations, with the highest-ranked pose exhibiting a binding energy of −11.58 kcal/mol, which translates to an estimated Ki of 3.25 </w:t>
      </w:r>
      <w:proofErr w:type="spellStart"/>
      <w:r w:rsidRPr="00E01EC2">
        <w:rPr>
          <w:rFonts w:ascii="Times New Roman" w:hAnsi="Times New Roman" w:cs="Times New Roman"/>
        </w:rPr>
        <w:t>nM</w:t>
      </w:r>
      <w:proofErr w:type="spellEnd"/>
      <w:r w:rsidRPr="00E01EC2">
        <w:rPr>
          <w:rFonts w:ascii="Times New Roman" w:hAnsi="Times New Roman" w:cs="Times New Roman"/>
        </w:rPr>
        <w:t xml:space="preserve">, indicating a strong interaction potential. </w:t>
      </w:r>
      <w:r w:rsidRPr="00E01EC2">
        <w:rPr>
          <w:rFonts w:ascii="Times New Roman" w:hAnsi="Times New Roman" w:cs="Times New Roman"/>
        </w:rPr>
        <w:lastRenderedPageBreak/>
        <w:t xml:space="preserve">The docking scores ranged from −11.58 to −7.46 kcal/mol, predominantly suggesting Ki values in the low nanomolar range. The ligand efficiency values, which fell between −0.41 and −0.27, reflect effective binding relative to the size of the molecule. Structural visualizations confirmed the stable binding of </w:t>
      </w:r>
      <w:proofErr w:type="spellStart"/>
      <w:r w:rsidRPr="00E01EC2">
        <w:rPr>
          <w:rFonts w:ascii="Times New Roman" w:hAnsi="Times New Roman" w:cs="Times New Roman"/>
        </w:rPr>
        <w:t>Resibufogenin</w:t>
      </w:r>
      <w:proofErr w:type="spellEnd"/>
      <w:r w:rsidRPr="00E01EC2">
        <w:rPr>
          <w:rFonts w:ascii="Times New Roman" w:hAnsi="Times New Roman" w:cs="Times New Roman"/>
        </w:rPr>
        <w:t xml:space="preserve"> within the JAK1 binding site. Overall, the findings strongly suggest that </w:t>
      </w:r>
      <w:proofErr w:type="spellStart"/>
      <w:r w:rsidRPr="00E01EC2">
        <w:rPr>
          <w:rFonts w:ascii="Times New Roman" w:hAnsi="Times New Roman" w:cs="Times New Roman"/>
        </w:rPr>
        <w:t>Resibufogenin</w:t>
      </w:r>
      <w:proofErr w:type="spellEnd"/>
      <w:r w:rsidRPr="00E01EC2">
        <w:rPr>
          <w:rFonts w:ascii="Times New Roman" w:hAnsi="Times New Roman" w:cs="Times New Roman"/>
        </w:rPr>
        <w:t xml:space="preserve"> has a robust and persistent binding affinity for JAK1</w:t>
      </w:r>
      <w:r w:rsidR="00324C04">
        <w:rPr>
          <w:rFonts w:ascii="Times New Roman" w:hAnsi="Times New Roman" w:cs="Times New Roman"/>
        </w:rPr>
        <w:t xml:space="preserve"> (Figure-3)</w:t>
      </w:r>
      <w:r w:rsidRPr="00E01EC2">
        <w:rPr>
          <w:rFonts w:ascii="Times New Roman" w:hAnsi="Times New Roman" w:cs="Times New Roman"/>
        </w:rPr>
        <w:t>.</w:t>
      </w:r>
    </w:p>
    <w:p w14:paraId="1F968FCA" w14:textId="77777777" w:rsidR="00D374C2" w:rsidRPr="00D374C2" w:rsidRDefault="00D374C2" w:rsidP="00D374C2">
      <w:pPr>
        <w:spacing w:after="0"/>
        <w:jc w:val="both"/>
        <w:rPr>
          <w:rFonts w:ascii="Times New Roman" w:hAnsi="Times New Roman" w:cs="Times New Roman"/>
          <w:b/>
          <w:bCs/>
        </w:rPr>
      </w:pPr>
    </w:p>
    <w:p w14:paraId="4D76E298" w14:textId="4636B9E7" w:rsidR="006431A9" w:rsidRDefault="00881CF2" w:rsidP="00881CF2">
      <w:pPr>
        <w:tabs>
          <w:tab w:val="left" w:pos="2830"/>
        </w:tabs>
        <w:spacing w:after="0"/>
        <w:jc w:val="center"/>
      </w:pPr>
      <w:r>
        <w:rPr>
          <w:noProof/>
        </w:rPr>
        <w:drawing>
          <wp:inline distT="0" distB="0" distL="0" distR="0" wp14:anchorId="50EBBC40" wp14:editId="21A1771B">
            <wp:extent cx="6537057" cy="2429952"/>
            <wp:effectExtent l="19050" t="19050" r="16510" b="27940"/>
            <wp:docPr id="5188295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584429" cy="2447561"/>
                    </a:xfrm>
                    <a:prstGeom prst="rect">
                      <a:avLst/>
                    </a:prstGeom>
                    <a:noFill/>
                    <a:ln w="3175">
                      <a:solidFill>
                        <a:schemeClr val="tx1"/>
                      </a:solidFill>
                    </a:ln>
                  </pic:spPr>
                </pic:pic>
              </a:graphicData>
            </a:graphic>
          </wp:inline>
        </w:drawing>
      </w:r>
    </w:p>
    <w:p w14:paraId="3B4C9723" w14:textId="52782928" w:rsidR="00BD17DB" w:rsidRDefault="00BD17DB" w:rsidP="00881CF2">
      <w:pPr>
        <w:tabs>
          <w:tab w:val="left" w:pos="2830"/>
        </w:tabs>
        <w:spacing w:after="0"/>
        <w:jc w:val="center"/>
        <w:rPr>
          <w:rFonts w:ascii="Times New Roman" w:hAnsi="Times New Roman" w:cs="Times New Roman"/>
          <w:noProof/>
          <w:sz w:val="20"/>
          <w:szCs w:val="20"/>
        </w:rPr>
      </w:pPr>
      <w:r w:rsidRPr="00BD17DB">
        <w:rPr>
          <w:rFonts w:ascii="Times New Roman" w:hAnsi="Times New Roman" w:cs="Times New Roman"/>
          <w:noProof/>
          <w:sz w:val="20"/>
          <w:szCs w:val="20"/>
        </w:rPr>
        <w:t>Figure-</w:t>
      </w:r>
      <w:r w:rsidR="00D46F66">
        <w:rPr>
          <w:rFonts w:ascii="Times New Roman" w:hAnsi="Times New Roman" w:cs="Times New Roman"/>
          <w:noProof/>
          <w:sz w:val="20"/>
          <w:szCs w:val="20"/>
        </w:rPr>
        <w:t>3</w:t>
      </w:r>
      <w:r w:rsidRPr="00BD17DB">
        <w:rPr>
          <w:rFonts w:ascii="Times New Roman" w:hAnsi="Times New Roman" w:cs="Times New Roman"/>
          <w:noProof/>
          <w:sz w:val="20"/>
          <w:szCs w:val="20"/>
        </w:rPr>
        <w:t>: Molecular Docking of Resibufogenin with JAK1</w:t>
      </w:r>
    </w:p>
    <w:p w14:paraId="6A82AC40" w14:textId="77777777" w:rsidR="00324C04" w:rsidRDefault="00324C04" w:rsidP="00881CF2">
      <w:pPr>
        <w:tabs>
          <w:tab w:val="left" w:pos="2830"/>
        </w:tabs>
        <w:spacing w:after="0"/>
        <w:jc w:val="center"/>
        <w:rPr>
          <w:rFonts w:ascii="Times New Roman" w:hAnsi="Times New Roman" w:cs="Times New Roman"/>
          <w:noProof/>
          <w:sz w:val="20"/>
          <w:szCs w:val="20"/>
        </w:rPr>
      </w:pPr>
    </w:p>
    <w:p w14:paraId="6786DBEC" w14:textId="66E95891" w:rsidR="00D374C2" w:rsidRPr="00D374C2" w:rsidRDefault="00D374C2" w:rsidP="00324C04">
      <w:pPr>
        <w:tabs>
          <w:tab w:val="left" w:pos="2830"/>
        </w:tabs>
        <w:spacing w:after="0"/>
        <w:jc w:val="both"/>
        <w:rPr>
          <w:rFonts w:ascii="Times New Roman" w:hAnsi="Times New Roman" w:cs="Times New Roman"/>
          <w:b/>
          <w:bCs/>
        </w:rPr>
      </w:pPr>
      <w:r w:rsidRPr="00D374C2">
        <w:rPr>
          <w:rFonts w:ascii="Times New Roman" w:hAnsi="Times New Roman" w:cs="Times New Roman"/>
          <w:b/>
          <w:bCs/>
        </w:rPr>
        <w:t xml:space="preserve">Molecular Docking of </w:t>
      </w:r>
      <w:proofErr w:type="spellStart"/>
      <w:r w:rsidRPr="00D374C2">
        <w:rPr>
          <w:rFonts w:ascii="Times New Roman" w:hAnsi="Times New Roman" w:cs="Times New Roman"/>
          <w:b/>
          <w:bCs/>
        </w:rPr>
        <w:t>Resibufogenin</w:t>
      </w:r>
      <w:proofErr w:type="spellEnd"/>
      <w:r w:rsidRPr="00D374C2">
        <w:rPr>
          <w:rFonts w:ascii="Times New Roman" w:hAnsi="Times New Roman" w:cs="Times New Roman"/>
          <w:b/>
          <w:bCs/>
        </w:rPr>
        <w:t xml:space="preserve"> with MTOR:</w:t>
      </w:r>
    </w:p>
    <w:p w14:paraId="3AB8A944" w14:textId="654D74CD" w:rsidR="00324C04" w:rsidRPr="00D374C2" w:rsidRDefault="00324C04" w:rsidP="00324C04">
      <w:pPr>
        <w:tabs>
          <w:tab w:val="left" w:pos="2830"/>
        </w:tabs>
        <w:spacing w:after="0"/>
        <w:jc w:val="both"/>
        <w:rPr>
          <w:rFonts w:ascii="Times New Roman" w:hAnsi="Times New Roman" w:cs="Times New Roman"/>
        </w:rPr>
      </w:pPr>
      <w:r w:rsidRPr="00324C04">
        <w:rPr>
          <w:rFonts w:ascii="Times New Roman" w:hAnsi="Times New Roman" w:cs="Times New Roman"/>
        </w:rPr>
        <w:t xml:space="preserve">The molecular docking study of </w:t>
      </w:r>
      <w:proofErr w:type="spellStart"/>
      <w:r w:rsidRPr="00324C04">
        <w:rPr>
          <w:rFonts w:ascii="Times New Roman" w:hAnsi="Times New Roman" w:cs="Times New Roman"/>
        </w:rPr>
        <w:t>Resibufogenin</w:t>
      </w:r>
      <w:proofErr w:type="spellEnd"/>
      <w:r w:rsidRPr="00324C04">
        <w:rPr>
          <w:rFonts w:ascii="Times New Roman" w:hAnsi="Times New Roman" w:cs="Times New Roman"/>
        </w:rPr>
        <w:t xml:space="preserve"> with the MTOR (mammalian target of rapamycin) protein, specifically with the PDB ID 7PED, revealed a strong binding affinity across various poses examined. Notably, the top-scoring pose exhibited a binding energy of −11.44 kcal/mol, correlating to an estimated inhibition constant (Ki) of 4.12 </w:t>
      </w:r>
      <w:proofErr w:type="spellStart"/>
      <w:r w:rsidRPr="00324C04">
        <w:rPr>
          <w:rFonts w:ascii="Times New Roman" w:hAnsi="Times New Roman" w:cs="Times New Roman"/>
        </w:rPr>
        <w:t>nM</w:t>
      </w:r>
      <w:proofErr w:type="spellEnd"/>
      <w:r w:rsidRPr="00324C04">
        <w:rPr>
          <w:rFonts w:ascii="Times New Roman" w:hAnsi="Times New Roman" w:cs="Times New Roman"/>
        </w:rPr>
        <w:t>, indicating a significant interaction strength. Overall, the docking scores ranged between −11.44 and −8.78 kcal/mol for the majority of poses, with predicted Ki values largely falling within the low nanomolar scale. The ligand efficiency values, ranging from −0.41 to −0.31, further suggested effective and stable interactions between the ligand (</w:t>
      </w:r>
      <w:proofErr w:type="spellStart"/>
      <w:r w:rsidRPr="00324C04">
        <w:rPr>
          <w:rFonts w:ascii="Times New Roman" w:hAnsi="Times New Roman" w:cs="Times New Roman"/>
        </w:rPr>
        <w:t>Resibufogenin</w:t>
      </w:r>
      <w:proofErr w:type="spellEnd"/>
      <w:r w:rsidRPr="00324C04">
        <w:rPr>
          <w:rFonts w:ascii="Times New Roman" w:hAnsi="Times New Roman" w:cs="Times New Roman"/>
        </w:rPr>
        <w:t xml:space="preserve">) and the MTOR protein. Structural </w:t>
      </w:r>
      <w:proofErr w:type="spellStart"/>
      <w:r w:rsidRPr="00324C04">
        <w:rPr>
          <w:rFonts w:ascii="Times New Roman" w:hAnsi="Times New Roman" w:cs="Times New Roman"/>
        </w:rPr>
        <w:t>visualisation</w:t>
      </w:r>
      <w:proofErr w:type="spellEnd"/>
      <w:r w:rsidRPr="00324C04">
        <w:rPr>
          <w:rFonts w:ascii="Times New Roman" w:hAnsi="Times New Roman" w:cs="Times New Roman"/>
        </w:rPr>
        <w:t xml:space="preserve"> of the docking poses confirmed that </w:t>
      </w:r>
      <w:proofErr w:type="spellStart"/>
      <w:r w:rsidRPr="00324C04">
        <w:rPr>
          <w:rFonts w:ascii="Times New Roman" w:hAnsi="Times New Roman" w:cs="Times New Roman"/>
        </w:rPr>
        <w:t>Resibufogenin</w:t>
      </w:r>
      <w:proofErr w:type="spellEnd"/>
      <w:r w:rsidRPr="00324C04">
        <w:rPr>
          <w:rFonts w:ascii="Times New Roman" w:hAnsi="Times New Roman" w:cs="Times New Roman"/>
        </w:rPr>
        <w:t xml:space="preserve"> fits suitably within the binding site of MTOR. Collectively, these findings highlight that </w:t>
      </w:r>
      <w:proofErr w:type="spellStart"/>
      <w:r w:rsidRPr="00324C04">
        <w:rPr>
          <w:rFonts w:ascii="Times New Roman" w:hAnsi="Times New Roman" w:cs="Times New Roman"/>
        </w:rPr>
        <w:t>Resibufogenin</w:t>
      </w:r>
      <w:proofErr w:type="spellEnd"/>
      <w:r w:rsidRPr="00324C04">
        <w:rPr>
          <w:rFonts w:ascii="Times New Roman" w:hAnsi="Times New Roman" w:cs="Times New Roman"/>
        </w:rPr>
        <w:t xml:space="preserve"> demonstrates a robust and durable binding affinity for MTOR, which could have significant implications for its potential therapeutic applications</w:t>
      </w:r>
      <w:r w:rsidR="00C7325C" w:rsidRPr="00D374C2">
        <w:rPr>
          <w:rFonts w:ascii="Times New Roman" w:hAnsi="Times New Roman" w:cs="Times New Roman"/>
        </w:rPr>
        <w:t xml:space="preserve"> (Figure-4)</w:t>
      </w:r>
      <w:r w:rsidRPr="00324C04">
        <w:rPr>
          <w:rFonts w:ascii="Times New Roman" w:hAnsi="Times New Roman" w:cs="Times New Roman"/>
        </w:rPr>
        <w:t>.</w:t>
      </w:r>
    </w:p>
    <w:p w14:paraId="336C7595" w14:textId="77777777" w:rsidR="00C7325C" w:rsidRPr="00324C04" w:rsidRDefault="00C7325C" w:rsidP="00324C04">
      <w:pPr>
        <w:tabs>
          <w:tab w:val="left" w:pos="2830"/>
        </w:tabs>
        <w:spacing w:after="0"/>
        <w:jc w:val="both"/>
      </w:pPr>
    </w:p>
    <w:p w14:paraId="35BA6FB5" w14:textId="2788F9DF" w:rsidR="00324C04" w:rsidRDefault="00C7325C" w:rsidP="00C7325C">
      <w:pPr>
        <w:tabs>
          <w:tab w:val="left" w:pos="2830"/>
        </w:tabs>
        <w:spacing w:after="0"/>
        <w:jc w:val="center"/>
      </w:pPr>
      <w:r>
        <w:rPr>
          <w:noProof/>
        </w:rPr>
        <w:lastRenderedPageBreak/>
        <w:drawing>
          <wp:inline distT="0" distB="0" distL="0" distR="0" wp14:anchorId="3F111416" wp14:editId="314C0D33">
            <wp:extent cx="6711531" cy="2417086"/>
            <wp:effectExtent l="19050" t="19050" r="13335" b="21590"/>
            <wp:docPr id="6142594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764739" cy="2436248"/>
                    </a:xfrm>
                    <a:prstGeom prst="rect">
                      <a:avLst/>
                    </a:prstGeom>
                    <a:noFill/>
                    <a:ln w="3175">
                      <a:solidFill>
                        <a:schemeClr val="tx1"/>
                      </a:solidFill>
                    </a:ln>
                  </pic:spPr>
                </pic:pic>
              </a:graphicData>
            </a:graphic>
          </wp:inline>
        </w:drawing>
      </w:r>
    </w:p>
    <w:p w14:paraId="7D1FB799" w14:textId="52C50D3A" w:rsidR="00C7325C" w:rsidRPr="00C7325C" w:rsidRDefault="00C7325C" w:rsidP="00C7325C">
      <w:pPr>
        <w:tabs>
          <w:tab w:val="left" w:pos="2830"/>
        </w:tabs>
        <w:spacing w:after="0"/>
        <w:jc w:val="center"/>
        <w:rPr>
          <w:rFonts w:ascii="Times New Roman" w:hAnsi="Times New Roman" w:cs="Times New Roman"/>
          <w:noProof/>
          <w:sz w:val="20"/>
          <w:szCs w:val="20"/>
        </w:rPr>
      </w:pPr>
      <w:r w:rsidRPr="00C7325C">
        <w:rPr>
          <w:rFonts w:ascii="Times New Roman" w:hAnsi="Times New Roman" w:cs="Times New Roman"/>
          <w:noProof/>
          <w:sz w:val="20"/>
          <w:szCs w:val="20"/>
        </w:rPr>
        <w:t>Figure-</w:t>
      </w:r>
      <w:r w:rsidR="00D46F66">
        <w:rPr>
          <w:rFonts w:ascii="Times New Roman" w:hAnsi="Times New Roman" w:cs="Times New Roman"/>
          <w:noProof/>
          <w:sz w:val="20"/>
          <w:szCs w:val="20"/>
        </w:rPr>
        <w:t>4</w:t>
      </w:r>
      <w:r w:rsidRPr="00C7325C">
        <w:rPr>
          <w:rFonts w:ascii="Times New Roman" w:hAnsi="Times New Roman" w:cs="Times New Roman"/>
          <w:noProof/>
          <w:sz w:val="20"/>
          <w:szCs w:val="20"/>
        </w:rPr>
        <w:t xml:space="preserve">: Molecular Docking of Resibufogenin with </w:t>
      </w:r>
      <w:r w:rsidRPr="00324C04">
        <w:rPr>
          <w:rFonts w:ascii="Times New Roman" w:hAnsi="Times New Roman" w:cs="Times New Roman"/>
          <w:sz w:val="20"/>
          <w:szCs w:val="20"/>
        </w:rPr>
        <w:t>MTOR</w:t>
      </w:r>
    </w:p>
    <w:p w14:paraId="5D64BFD2" w14:textId="77777777" w:rsidR="00C7325C" w:rsidRDefault="00C7325C" w:rsidP="00C7325C">
      <w:pPr>
        <w:tabs>
          <w:tab w:val="left" w:pos="2830"/>
        </w:tabs>
        <w:spacing w:after="0"/>
        <w:jc w:val="center"/>
      </w:pPr>
    </w:p>
    <w:p w14:paraId="07CD2E2B" w14:textId="36EAB5CE" w:rsidR="00D374C2" w:rsidRPr="00D374C2" w:rsidRDefault="00D374C2" w:rsidP="00D374C2">
      <w:pPr>
        <w:tabs>
          <w:tab w:val="left" w:pos="2830"/>
        </w:tabs>
        <w:spacing w:after="0"/>
        <w:jc w:val="both"/>
        <w:rPr>
          <w:rFonts w:ascii="Times New Roman" w:hAnsi="Times New Roman" w:cs="Times New Roman"/>
          <w:b/>
          <w:bCs/>
        </w:rPr>
      </w:pPr>
      <w:r w:rsidRPr="00D374C2">
        <w:rPr>
          <w:rFonts w:ascii="Times New Roman" w:hAnsi="Times New Roman" w:cs="Times New Roman"/>
          <w:b/>
          <w:bCs/>
        </w:rPr>
        <w:t xml:space="preserve">Molecular Docking of </w:t>
      </w:r>
      <w:proofErr w:type="spellStart"/>
      <w:r w:rsidRPr="00D374C2">
        <w:rPr>
          <w:rFonts w:ascii="Times New Roman" w:hAnsi="Times New Roman" w:cs="Times New Roman"/>
          <w:b/>
          <w:bCs/>
        </w:rPr>
        <w:t>Resibufogenin</w:t>
      </w:r>
      <w:proofErr w:type="spellEnd"/>
      <w:r w:rsidRPr="00D374C2">
        <w:rPr>
          <w:rFonts w:ascii="Times New Roman" w:hAnsi="Times New Roman" w:cs="Times New Roman"/>
          <w:b/>
          <w:bCs/>
        </w:rPr>
        <w:t xml:space="preserve"> with PIK3CD:</w:t>
      </w:r>
    </w:p>
    <w:p w14:paraId="481BAC1D" w14:textId="4A505B58" w:rsidR="00D374C2" w:rsidRPr="00D374C2" w:rsidRDefault="00D374C2" w:rsidP="00D374C2">
      <w:pPr>
        <w:tabs>
          <w:tab w:val="left" w:pos="2830"/>
        </w:tabs>
        <w:spacing w:after="0"/>
        <w:jc w:val="both"/>
        <w:rPr>
          <w:rFonts w:ascii="Times New Roman" w:hAnsi="Times New Roman" w:cs="Times New Roman"/>
        </w:rPr>
      </w:pPr>
      <w:r w:rsidRPr="00D374C2">
        <w:rPr>
          <w:rFonts w:ascii="Times New Roman" w:hAnsi="Times New Roman" w:cs="Times New Roman"/>
        </w:rPr>
        <w:t xml:space="preserve">The molecular docking study of </w:t>
      </w:r>
      <w:proofErr w:type="spellStart"/>
      <w:r w:rsidRPr="00D374C2">
        <w:rPr>
          <w:rFonts w:ascii="Times New Roman" w:hAnsi="Times New Roman" w:cs="Times New Roman"/>
        </w:rPr>
        <w:t>Resibufogenin</w:t>
      </w:r>
      <w:proofErr w:type="spellEnd"/>
      <w:r w:rsidRPr="00D374C2">
        <w:rPr>
          <w:rFonts w:ascii="Times New Roman" w:hAnsi="Times New Roman" w:cs="Times New Roman"/>
        </w:rPr>
        <w:t xml:space="preserve"> with PIK3CD (PDB ID: 6PYR) revealed significant binding affinity across various configurations. The top-ranked pose showed a binding energy of −13.53 kcal/mol, which corresponds to an estimated dissociation constant (Ki) of 0.12 </w:t>
      </w:r>
      <w:proofErr w:type="spellStart"/>
      <w:r w:rsidRPr="00D374C2">
        <w:rPr>
          <w:rFonts w:ascii="Times New Roman" w:hAnsi="Times New Roman" w:cs="Times New Roman"/>
        </w:rPr>
        <w:t>nM</w:t>
      </w:r>
      <w:proofErr w:type="spellEnd"/>
      <w:r w:rsidRPr="00D374C2">
        <w:rPr>
          <w:rFonts w:ascii="Times New Roman" w:hAnsi="Times New Roman" w:cs="Times New Roman"/>
        </w:rPr>
        <w:t xml:space="preserve">, indicating strong binding potential. The docking scores of the leading poses ranged from −13.53 to −10.78 kcal/mol, with Ki values predominantly within the sub-nanomolar to low nanomolar range. Ligand efficiency values were recorded between −0.48 and −0.38, further confirming the effectiveness and stability of the ligand–protein interactions. Visualization of the docked complex confirmed the stable positioning of </w:t>
      </w:r>
      <w:proofErr w:type="spellStart"/>
      <w:r w:rsidRPr="00D374C2">
        <w:rPr>
          <w:rFonts w:ascii="Times New Roman" w:hAnsi="Times New Roman" w:cs="Times New Roman"/>
        </w:rPr>
        <w:t>Resibufogenin</w:t>
      </w:r>
      <w:proofErr w:type="spellEnd"/>
      <w:r w:rsidRPr="00D374C2">
        <w:rPr>
          <w:rFonts w:ascii="Times New Roman" w:hAnsi="Times New Roman" w:cs="Times New Roman"/>
        </w:rPr>
        <w:t xml:space="preserve"> within the binding site of PIK3CD. Overall, the findings suggest that </w:t>
      </w:r>
      <w:proofErr w:type="spellStart"/>
      <w:r w:rsidRPr="00D374C2">
        <w:rPr>
          <w:rFonts w:ascii="Times New Roman" w:hAnsi="Times New Roman" w:cs="Times New Roman"/>
        </w:rPr>
        <w:t>Resibufogenin</w:t>
      </w:r>
      <w:proofErr w:type="spellEnd"/>
      <w:r w:rsidRPr="00D374C2">
        <w:rPr>
          <w:rFonts w:ascii="Times New Roman" w:hAnsi="Times New Roman" w:cs="Times New Roman"/>
        </w:rPr>
        <w:t xml:space="preserve"> has the highest binding affinity for PIK3CD compared to other evaluated hub gene targets.</w:t>
      </w:r>
    </w:p>
    <w:p w14:paraId="5C80ECD5" w14:textId="77777777" w:rsidR="00D374C2" w:rsidRDefault="00D374C2" w:rsidP="00D374C2">
      <w:pPr>
        <w:tabs>
          <w:tab w:val="left" w:pos="2830"/>
        </w:tabs>
        <w:spacing w:after="0"/>
        <w:jc w:val="both"/>
        <w:rPr>
          <w:rFonts w:ascii="Times New Roman" w:hAnsi="Times New Roman" w:cs="Times New Roman"/>
        </w:rPr>
      </w:pPr>
    </w:p>
    <w:p w14:paraId="7241CDFA" w14:textId="1FC8B4BE" w:rsidR="00831E3B" w:rsidRDefault="00831E3B" w:rsidP="00831E3B">
      <w:pPr>
        <w:tabs>
          <w:tab w:val="left" w:pos="2830"/>
        </w:tabs>
        <w:spacing w:after="0"/>
        <w:jc w:val="center"/>
        <w:rPr>
          <w:rFonts w:ascii="Times New Roman" w:hAnsi="Times New Roman" w:cs="Times New Roman"/>
        </w:rPr>
      </w:pPr>
      <w:r>
        <w:rPr>
          <w:rFonts w:ascii="Times New Roman" w:hAnsi="Times New Roman" w:cs="Times New Roman"/>
          <w:noProof/>
        </w:rPr>
        <w:drawing>
          <wp:inline distT="0" distB="0" distL="0" distR="0" wp14:anchorId="7793CC0B" wp14:editId="75B01244">
            <wp:extent cx="6629272" cy="2275504"/>
            <wp:effectExtent l="19050" t="19050" r="19685" b="10795"/>
            <wp:docPr id="19936195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63176" cy="2287142"/>
                    </a:xfrm>
                    <a:prstGeom prst="rect">
                      <a:avLst/>
                    </a:prstGeom>
                    <a:noFill/>
                    <a:ln w="3175">
                      <a:solidFill>
                        <a:schemeClr val="tx1"/>
                      </a:solidFill>
                    </a:ln>
                  </pic:spPr>
                </pic:pic>
              </a:graphicData>
            </a:graphic>
          </wp:inline>
        </w:drawing>
      </w:r>
    </w:p>
    <w:p w14:paraId="0EB060E7" w14:textId="16306DB2" w:rsidR="00831E3B" w:rsidRPr="00C7325C" w:rsidRDefault="00831E3B" w:rsidP="00831E3B">
      <w:pPr>
        <w:tabs>
          <w:tab w:val="left" w:pos="2830"/>
        </w:tabs>
        <w:spacing w:after="0"/>
        <w:jc w:val="center"/>
        <w:rPr>
          <w:rFonts w:ascii="Times New Roman" w:hAnsi="Times New Roman" w:cs="Times New Roman"/>
          <w:noProof/>
          <w:sz w:val="20"/>
          <w:szCs w:val="20"/>
        </w:rPr>
      </w:pPr>
      <w:r w:rsidRPr="00C7325C">
        <w:rPr>
          <w:rFonts w:ascii="Times New Roman" w:hAnsi="Times New Roman" w:cs="Times New Roman"/>
          <w:noProof/>
          <w:sz w:val="20"/>
          <w:szCs w:val="20"/>
        </w:rPr>
        <w:t>Figure-</w:t>
      </w:r>
      <w:r w:rsidR="00D46F66">
        <w:rPr>
          <w:rFonts w:ascii="Times New Roman" w:hAnsi="Times New Roman" w:cs="Times New Roman"/>
          <w:noProof/>
          <w:sz w:val="20"/>
          <w:szCs w:val="20"/>
        </w:rPr>
        <w:t>5</w:t>
      </w:r>
      <w:r w:rsidRPr="00C7325C">
        <w:rPr>
          <w:rFonts w:ascii="Times New Roman" w:hAnsi="Times New Roman" w:cs="Times New Roman"/>
          <w:noProof/>
          <w:sz w:val="20"/>
          <w:szCs w:val="20"/>
        </w:rPr>
        <w:t xml:space="preserve">: Molecular Docking of Resibufogenin with </w:t>
      </w:r>
      <w:r w:rsidRPr="00D374C2">
        <w:rPr>
          <w:rFonts w:ascii="Times New Roman" w:hAnsi="Times New Roman" w:cs="Times New Roman"/>
          <w:sz w:val="20"/>
          <w:szCs w:val="20"/>
        </w:rPr>
        <w:t>PIK3CD</w:t>
      </w:r>
    </w:p>
    <w:p w14:paraId="5772C9CF" w14:textId="77777777" w:rsidR="000A0839" w:rsidRDefault="000A0839" w:rsidP="000A0839">
      <w:pPr>
        <w:tabs>
          <w:tab w:val="left" w:pos="2830"/>
        </w:tabs>
        <w:spacing w:after="0"/>
        <w:jc w:val="both"/>
        <w:rPr>
          <w:rFonts w:ascii="Times New Roman" w:hAnsi="Times New Roman" w:cs="Times New Roman"/>
        </w:rPr>
      </w:pPr>
    </w:p>
    <w:p w14:paraId="42A957EF" w14:textId="0D999195" w:rsidR="000A0839" w:rsidRPr="000A0839" w:rsidRDefault="000A0839" w:rsidP="000A0839">
      <w:pPr>
        <w:tabs>
          <w:tab w:val="left" w:pos="2830"/>
        </w:tabs>
        <w:spacing w:after="0"/>
        <w:jc w:val="both"/>
        <w:rPr>
          <w:rFonts w:ascii="Times New Roman" w:hAnsi="Times New Roman" w:cs="Times New Roman"/>
        </w:rPr>
      </w:pPr>
      <w:r w:rsidRPr="000A0839">
        <w:rPr>
          <w:rFonts w:ascii="Times New Roman" w:hAnsi="Times New Roman" w:cs="Times New Roman"/>
        </w:rPr>
        <w:lastRenderedPageBreak/>
        <w:t xml:space="preserve">The comparative molecular docking analysis demonstrated that </w:t>
      </w:r>
      <w:proofErr w:type="spellStart"/>
      <w:r w:rsidRPr="000A0839">
        <w:rPr>
          <w:rFonts w:ascii="Times New Roman" w:hAnsi="Times New Roman" w:cs="Times New Roman"/>
        </w:rPr>
        <w:t>Resibufogenin</w:t>
      </w:r>
      <w:proofErr w:type="spellEnd"/>
      <w:r w:rsidRPr="000A0839">
        <w:rPr>
          <w:rFonts w:ascii="Times New Roman" w:hAnsi="Times New Roman" w:cs="Times New Roman"/>
        </w:rPr>
        <w:t xml:space="preserve"> displayed a </w:t>
      </w:r>
      <w:proofErr w:type="spellStart"/>
      <w:r w:rsidRPr="000A0839">
        <w:rPr>
          <w:rFonts w:ascii="Times New Roman" w:hAnsi="Times New Roman" w:cs="Times New Roman"/>
        </w:rPr>
        <w:t>favourable</w:t>
      </w:r>
      <w:proofErr w:type="spellEnd"/>
      <w:r w:rsidRPr="000A0839">
        <w:rPr>
          <w:rFonts w:ascii="Times New Roman" w:hAnsi="Times New Roman" w:cs="Times New Roman"/>
        </w:rPr>
        <w:t xml:space="preserve"> binding affinity for all four selected hub gene targets (LCK, JAK1, MTOR, and PIK3CD), with binding energies consistently in the low nanomolar range. Of the targets examined, PIK3CD had the most robust interaction, evidenced by the lowest binding energy (−13.53 kcal/mol) and a predicted Ki in the sub-nanomolar range (0.12 </w:t>
      </w:r>
      <w:proofErr w:type="spellStart"/>
      <w:r w:rsidRPr="000A0839">
        <w:rPr>
          <w:rFonts w:ascii="Times New Roman" w:hAnsi="Times New Roman" w:cs="Times New Roman"/>
        </w:rPr>
        <w:t>nM</w:t>
      </w:r>
      <w:proofErr w:type="spellEnd"/>
      <w:r w:rsidRPr="000A0839">
        <w:rPr>
          <w:rFonts w:ascii="Times New Roman" w:hAnsi="Times New Roman" w:cs="Times New Roman"/>
        </w:rPr>
        <w:t xml:space="preserve">), signifying the highest binding affinity. The subsequent values were LCK (−12.41 kcal/mol; Ki = 0.80 </w:t>
      </w:r>
      <w:proofErr w:type="spellStart"/>
      <w:r w:rsidRPr="000A0839">
        <w:rPr>
          <w:rFonts w:ascii="Times New Roman" w:hAnsi="Times New Roman" w:cs="Times New Roman"/>
        </w:rPr>
        <w:t>nM</w:t>
      </w:r>
      <w:proofErr w:type="spellEnd"/>
      <w:r w:rsidRPr="000A0839">
        <w:rPr>
          <w:rFonts w:ascii="Times New Roman" w:hAnsi="Times New Roman" w:cs="Times New Roman"/>
        </w:rPr>
        <w:t xml:space="preserve">), JAK1 (−11.58 kcal/mol; Ki ≈ 3.25 </w:t>
      </w:r>
      <w:proofErr w:type="spellStart"/>
      <w:r w:rsidRPr="000A0839">
        <w:rPr>
          <w:rFonts w:ascii="Times New Roman" w:hAnsi="Times New Roman" w:cs="Times New Roman"/>
        </w:rPr>
        <w:t>nM</w:t>
      </w:r>
      <w:proofErr w:type="spellEnd"/>
      <w:r w:rsidRPr="000A0839">
        <w:rPr>
          <w:rFonts w:ascii="Times New Roman" w:hAnsi="Times New Roman" w:cs="Times New Roman"/>
        </w:rPr>
        <w:t xml:space="preserve">), and MTOR (−11.44 kcal/mol; Ki ≈ 4.12 </w:t>
      </w:r>
      <w:proofErr w:type="spellStart"/>
      <w:r w:rsidRPr="000A0839">
        <w:rPr>
          <w:rFonts w:ascii="Times New Roman" w:hAnsi="Times New Roman" w:cs="Times New Roman"/>
        </w:rPr>
        <w:t>nM</w:t>
      </w:r>
      <w:proofErr w:type="spellEnd"/>
      <w:r w:rsidRPr="000A0839">
        <w:rPr>
          <w:rFonts w:ascii="Times New Roman" w:hAnsi="Times New Roman" w:cs="Times New Roman"/>
        </w:rPr>
        <w:t xml:space="preserve">). These data indicate that </w:t>
      </w:r>
      <w:proofErr w:type="spellStart"/>
      <w:r w:rsidRPr="000A0839">
        <w:rPr>
          <w:rFonts w:ascii="Times New Roman" w:hAnsi="Times New Roman" w:cs="Times New Roman"/>
        </w:rPr>
        <w:t>Resibufogenin</w:t>
      </w:r>
      <w:proofErr w:type="spellEnd"/>
      <w:r w:rsidRPr="000A0839">
        <w:rPr>
          <w:rFonts w:ascii="Times New Roman" w:hAnsi="Times New Roman" w:cs="Times New Roman"/>
        </w:rPr>
        <w:t xml:space="preserve"> exhibits robust interactions with all four targets, with PIK3CD emerging as the most advantageous binding target, highlighting its potential significance in </w:t>
      </w:r>
      <w:proofErr w:type="spellStart"/>
      <w:r w:rsidRPr="000A0839">
        <w:rPr>
          <w:rFonts w:ascii="Times New Roman" w:hAnsi="Times New Roman" w:cs="Times New Roman"/>
        </w:rPr>
        <w:t>Resibufogenin</w:t>
      </w:r>
      <w:proofErr w:type="spellEnd"/>
      <w:r w:rsidRPr="000A0839">
        <w:rPr>
          <w:rFonts w:ascii="Times New Roman" w:hAnsi="Times New Roman" w:cs="Times New Roman"/>
        </w:rPr>
        <w:t>-mediated therapeutic mechanisms.</w:t>
      </w:r>
    </w:p>
    <w:p w14:paraId="27309AD3" w14:textId="77777777" w:rsidR="00831E3B" w:rsidRDefault="00831E3B" w:rsidP="000A0839">
      <w:pPr>
        <w:tabs>
          <w:tab w:val="left" w:pos="2830"/>
        </w:tabs>
        <w:spacing w:after="0"/>
        <w:jc w:val="both"/>
        <w:rPr>
          <w:rFonts w:ascii="Times New Roman" w:hAnsi="Times New Roman" w:cs="Times New Roman"/>
        </w:rPr>
      </w:pPr>
    </w:p>
    <w:p w14:paraId="56C0E2C7" w14:textId="41424753" w:rsidR="003D41F9" w:rsidRPr="00976037" w:rsidRDefault="000414F7" w:rsidP="000A0839">
      <w:pPr>
        <w:tabs>
          <w:tab w:val="left" w:pos="2830"/>
        </w:tabs>
        <w:spacing w:after="0"/>
        <w:jc w:val="both"/>
        <w:rPr>
          <w:rFonts w:ascii="Times New Roman" w:hAnsi="Times New Roman" w:cs="Times New Roman"/>
          <w:b/>
          <w:bCs/>
        </w:rPr>
      </w:pPr>
      <w:r>
        <w:rPr>
          <w:rFonts w:ascii="Times New Roman" w:hAnsi="Times New Roman" w:cs="Times New Roman"/>
          <w:b/>
          <w:bCs/>
        </w:rPr>
        <w:t xml:space="preserve">Conclusion and </w:t>
      </w:r>
      <w:r w:rsidR="003A094C" w:rsidRPr="00976037">
        <w:rPr>
          <w:rFonts w:ascii="Times New Roman" w:hAnsi="Times New Roman" w:cs="Times New Roman"/>
          <w:b/>
          <w:bCs/>
        </w:rPr>
        <w:t>Discussion:</w:t>
      </w:r>
    </w:p>
    <w:p w14:paraId="0C59E4A7" w14:textId="31A716D9" w:rsidR="000414F7" w:rsidRPr="000414F7" w:rsidRDefault="000414F7" w:rsidP="000414F7">
      <w:pPr>
        <w:tabs>
          <w:tab w:val="left" w:pos="2830"/>
        </w:tabs>
        <w:spacing w:after="0"/>
        <w:jc w:val="both"/>
        <w:rPr>
          <w:rFonts w:ascii="Times New Roman" w:hAnsi="Times New Roman" w:cs="Times New Roman"/>
        </w:rPr>
      </w:pPr>
      <w:r w:rsidRPr="000414F7">
        <w:rPr>
          <w:rFonts w:ascii="Times New Roman" w:hAnsi="Times New Roman" w:cs="Times New Roman"/>
        </w:rPr>
        <w:t xml:space="preserve">Network pharmacology </w:t>
      </w:r>
      <w:proofErr w:type="spellStart"/>
      <w:r w:rsidRPr="000414F7">
        <w:rPr>
          <w:rFonts w:ascii="Times New Roman" w:hAnsi="Times New Roman" w:cs="Times New Roman"/>
        </w:rPr>
        <w:t>prioritises</w:t>
      </w:r>
      <w:proofErr w:type="spellEnd"/>
      <w:r w:rsidRPr="000414F7">
        <w:rPr>
          <w:rFonts w:ascii="Times New Roman" w:hAnsi="Times New Roman" w:cs="Times New Roman"/>
        </w:rPr>
        <w:t xml:space="preserve"> the detection of physiologically pertinent and pharmacologically viable compound-target interactions above the comprehensive docking of all potential candidates. The current analysis </w:t>
      </w:r>
      <w:proofErr w:type="spellStart"/>
      <w:r w:rsidRPr="000414F7">
        <w:rPr>
          <w:rFonts w:ascii="Times New Roman" w:hAnsi="Times New Roman" w:cs="Times New Roman"/>
        </w:rPr>
        <w:t>prioritised</w:t>
      </w:r>
      <w:proofErr w:type="spellEnd"/>
      <w:r w:rsidRPr="000414F7">
        <w:rPr>
          <w:rFonts w:ascii="Times New Roman" w:hAnsi="Times New Roman" w:cs="Times New Roman"/>
        </w:rPr>
        <w:t xml:space="preserve"> compounds based on preliminary safety and drug-likeness evaluations, acknowledging that numerous natural products fail in subsequent phases of drug development due to intolerable toxicity profiles. The integration of in silico ADMET and toxicity screening before docking is widely advocated to enhance translational relevance</w:t>
      </w:r>
      <w:r>
        <w:rPr>
          <w:rFonts w:ascii="Times New Roman" w:hAnsi="Times New Roman" w:cs="Times New Roman"/>
        </w:rPr>
        <w:t xml:space="preserve"> </w:t>
      </w:r>
      <w:r w:rsidRPr="000414F7">
        <w:rPr>
          <w:rFonts w:ascii="Times New Roman" w:hAnsi="Times New Roman" w:cs="Times New Roman"/>
        </w:rPr>
        <w:t xml:space="preserve">and </w:t>
      </w:r>
      <w:proofErr w:type="spellStart"/>
      <w:r w:rsidRPr="000414F7">
        <w:rPr>
          <w:rFonts w:ascii="Times New Roman" w:hAnsi="Times New Roman" w:cs="Times New Roman"/>
        </w:rPr>
        <w:t>minimise</w:t>
      </w:r>
      <w:proofErr w:type="spellEnd"/>
      <w:r w:rsidRPr="000414F7">
        <w:rPr>
          <w:rFonts w:ascii="Times New Roman" w:hAnsi="Times New Roman" w:cs="Times New Roman"/>
        </w:rPr>
        <w:t xml:space="preserve"> false-positive leads.</w:t>
      </w:r>
      <w:r>
        <w:rPr>
          <w:rFonts w:ascii="Times New Roman" w:hAnsi="Times New Roman" w:cs="Times New Roman"/>
        </w:rPr>
        <w:t xml:space="preserve"> </w:t>
      </w:r>
      <w:proofErr w:type="spellStart"/>
      <w:r w:rsidRPr="000414F7">
        <w:rPr>
          <w:rFonts w:ascii="Times New Roman" w:hAnsi="Times New Roman" w:cs="Times New Roman"/>
        </w:rPr>
        <w:t>Resibufogenin</w:t>
      </w:r>
      <w:proofErr w:type="spellEnd"/>
      <w:r w:rsidRPr="000414F7">
        <w:rPr>
          <w:rFonts w:ascii="Times New Roman" w:hAnsi="Times New Roman" w:cs="Times New Roman"/>
        </w:rPr>
        <w:t xml:space="preserve"> was chosen as the primary chemical due to its lowest expected acute toxicity (class 6) while exhibiting advantageous pharmacokinetic and drug-likeness characteristics. Limiting molecular docking to hub genes identified as probable targets of </w:t>
      </w:r>
      <w:proofErr w:type="spellStart"/>
      <w:r w:rsidRPr="000414F7">
        <w:rPr>
          <w:rFonts w:ascii="Times New Roman" w:hAnsi="Times New Roman" w:cs="Times New Roman"/>
        </w:rPr>
        <w:t>Resibufogenin</w:t>
      </w:r>
      <w:proofErr w:type="spellEnd"/>
      <w:r w:rsidRPr="000414F7">
        <w:rPr>
          <w:rFonts w:ascii="Times New Roman" w:hAnsi="Times New Roman" w:cs="Times New Roman"/>
        </w:rPr>
        <w:t xml:space="preserve"> (LCK, JAK1, MTOR, and PIK3CD) facilitated a mechanistically coherent and physiologically significant investigation, aligning with known network pharmacology methodologies. Hub genes without anticipated interactions with the chosen drug were omitted from docking to prevent uninformative binding</w:t>
      </w:r>
      <w:r>
        <w:rPr>
          <w:rFonts w:ascii="Times New Roman" w:hAnsi="Times New Roman" w:cs="Times New Roman"/>
        </w:rPr>
        <w:t xml:space="preserve"> </w:t>
      </w:r>
      <w:r w:rsidRPr="000414F7">
        <w:rPr>
          <w:rFonts w:ascii="Times New Roman" w:hAnsi="Times New Roman" w:cs="Times New Roman"/>
        </w:rPr>
        <w:t>predictions.</w:t>
      </w:r>
      <w:r>
        <w:rPr>
          <w:rFonts w:ascii="Times New Roman" w:hAnsi="Times New Roman" w:cs="Times New Roman"/>
        </w:rPr>
        <w:t xml:space="preserve"> </w:t>
      </w:r>
      <w:r w:rsidRPr="000414F7">
        <w:rPr>
          <w:rFonts w:ascii="Times New Roman" w:hAnsi="Times New Roman" w:cs="Times New Roman"/>
        </w:rPr>
        <w:t xml:space="preserve">Compounds removed for adverse toxicity profiles may retain therapeutic promise if </w:t>
      </w:r>
      <w:proofErr w:type="spellStart"/>
      <w:r w:rsidRPr="000414F7">
        <w:rPr>
          <w:rFonts w:ascii="Times New Roman" w:hAnsi="Times New Roman" w:cs="Times New Roman"/>
        </w:rPr>
        <w:t>optimised</w:t>
      </w:r>
      <w:proofErr w:type="spellEnd"/>
      <w:r w:rsidRPr="000414F7">
        <w:rPr>
          <w:rFonts w:ascii="Times New Roman" w:hAnsi="Times New Roman" w:cs="Times New Roman"/>
        </w:rPr>
        <w:t xml:space="preserve"> by formulation tactics like nano-encapsulation or targeted delivery systems, which have been shown to reduce toxicity and enhance the bioavailability of bioactive compounds. These methodologies signify potential pathways for further research outside the current study's parameters.</w:t>
      </w:r>
    </w:p>
    <w:p w14:paraId="11A5FF4D" w14:textId="77777777" w:rsidR="003A094C" w:rsidRDefault="003A094C" w:rsidP="000A0839">
      <w:pPr>
        <w:tabs>
          <w:tab w:val="left" w:pos="2830"/>
        </w:tabs>
        <w:spacing w:after="0"/>
        <w:jc w:val="both"/>
        <w:rPr>
          <w:rFonts w:ascii="Times New Roman" w:hAnsi="Times New Roman" w:cs="Times New Roman"/>
        </w:rPr>
      </w:pPr>
    </w:p>
    <w:p w14:paraId="4DFBA1A0" w14:textId="77777777" w:rsidR="008B4BB7" w:rsidRPr="008B4BB7" w:rsidRDefault="008B4BB7" w:rsidP="008B4BB7">
      <w:pPr>
        <w:tabs>
          <w:tab w:val="left" w:pos="2830"/>
        </w:tabs>
        <w:spacing w:after="0"/>
        <w:jc w:val="both"/>
        <w:rPr>
          <w:rFonts w:ascii="Times New Roman" w:hAnsi="Times New Roman" w:cs="Times New Roman"/>
          <w:b/>
          <w:bCs/>
        </w:rPr>
      </w:pPr>
      <w:r w:rsidRPr="008B4BB7">
        <w:rPr>
          <w:rFonts w:ascii="Times New Roman" w:hAnsi="Times New Roman" w:cs="Times New Roman"/>
          <w:b/>
          <w:bCs/>
        </w:rPr>
        <w:t>References</w:t>
      </w:r>
    </w:p>
    <w:p w14:paraId="497449C5" w14:textId="77777777" w:rsidR="008B4BB7" w:rsidRPr="008B4BB7" w:rsidRDefault="008B4BB7" w:rsidP="008B4BB7">
      <w:pPr>
        <w:pStyle w:val="ListParagraph"/>
        <w:numPr>
          <w:ilvl w:val="0"/>
          <w:numId w:val="1"/>
        </w:numPr>
        <w:tabs>
          <w:tab w:val="left" w:pos="2830"/>
        </w:tabs>
        <w:spacing w:after="0"/>
        <w:jc w:val="both"/>
        <w:rPr>
          <w:rFonts w:ascii="Times New Roman" w:hAnsi="Times New Roman" w:cs="Times New Roman"/>
          <w:sz w:val="20"/>
          <w:szCs w:val="20"/>
        </w:rPr>
      </w:pPr>
      <w:r w:rsidRPr="008B4BB7">
        <w:rPr>
          <w:rFonts w:ascii="Times New Roman" w:hAnsi="Times New Roman" w:cs="Times New Roman"/>
          <w:sz w:val="20"/>
          <w:szCs w:val="20"/>
        </w:rPr>
        <w:t xml:space="preserve">Qi J., Tan C., Hashimi S.M., </w:t>
      </w:r>
      <w:proofErr w:type="spellStart"/>
      <w:r w:rsidRPr="008B4BB7">
        <w:rPr>
          <w:rFonts w:ascii="Times New Roman" w:hAnsi="Times New Roman" w:cs="Times New Roman"/>
          <w:sz w:val="20"/>
          <w:szCs w:val="20"/>
        </w:rPr>
        <w:t>Zulfiker</w:t>
      </w:r>
      <w:proofErr w:type="spellEnd"/>
      <w:r w:rsidRPr="008B4BB7">
        <w:rPr>
          <w:rFonts w:ascii="Times New Roman" w:hAnsi="Times New Roman" w:cs="Times New Roman"/>
          <w:sz w:val="20"/>
          <w:szCs w:val="20"/>
        </w:rPr>
        <w:t xml:space="preserve"> A.H.M., Good D., Wei M.Q. Toad glandular secretions and skin extractions as anti-inflammatory and anticancer agents. </w:t>
      </w:r>
      <w:proofErr w:type="gramStart"/>
      <w:r w:rsidRPr="008B4BB7">
        <w:rPr>
          <w:rFonts w:ascii="Times New Roman" w:hAnsi="Times New Roman" w:cs="Times New Roman"/>
          <w:sz w:val="20"/>
          <w:szCs w:val="20"/>
        </w:rPr>
        <w:t>Evid.-</w:t>
      </w:r>
      <w:proofErr w:type="gramEnd"/>
      <w:r w:rsidRPr="008B4BB7">
        <w:rPr>
          <w:rFonts w:ascii="Times New Roman" w:hAnsi="Times New Roman" w:cs="Times New Roman"/>
          <w:sz w:val="20"/>
          <w:szCs w:val="20"/>
        </w:rPr>
        <w:t xml:space="preserve">Based Complement. Altern. Med. 2014;2014 </w:t>
      </w:r>
      <w:proofErr w:type="spellStart"/>
      <w:r w:rsidRPr="008B4BB7">
        <w:rPr>
          <w:rFonts w:ascii="Times New Roman" w:hAnsi="Times New Roman" w:cs="Times New Roman"/>
          <w:sz w:val="20"/>
          <w:szCs w:val="20"/>
        </w:rPr>
        <w:t>doi</w:t>
      </w:r>
      <w:proofErr w:type="spellEnd"/>
      <w:r w:rsidRPr="008B4BB7">
        <w:rPr>
          <w:rFonts w:ascii="Times New Roman" w:hAnsi="Times New Roman" w:cs="Times New Roman"/>
          <w:sz w:val="20"/>
          <w:szCs w:val="20"/>
        </w:rPr>
        <w:t>: 10.1155/2014/312684</w:t>
      </w:r>
    </w:p>
    <w:p w14:paraId="0D3EF1D2" w14:textId="77777777" w:rsidR="008B4BB7" w:rsidRPr="008B4BB7" w:rsidRDefault="008B4BB7" w:rsidP="008B4BB7">
      <w:pPr>
        <w:pStyle w:val="ListParagraph"/>
        <w:numPr>
          <w:ilvl w:val="0"/>
          <w:numId w:val="1"/>
        </w:numPr>
        <w:tabs>
          <w:tab w:val="left" w:pos="2830"/>
        </w:tabs>
        <w:spacing w:after="0"/>
        <w:jc w:val="both"/>
        <w:rPr>
          <w:rFonts w:ascii="Times New Roman" w:hAnsi="Times New Roman" w:cs="Times New Roman"/>
          <w:sz w:val="20"/>
          <w:szCs w:val="20"/>
        </w:rPr>
      </w:pPr>
      <w:r w:rsidRPr="008B4BB7">
        <w:rPr>
          <w:rFonts w:ascii="Times New Roman" w:hAnsi="Times New Roman" w:cs="Times New Roman"/>
          <w:sz w:val="20"/>
          <w:szCs w:val="20"/>
        </w:rPr>
        <w:t xml:space="preserve">Qi, J., </w:t>
      </w:r>
      <w:proofErr w:type="spellStart"/>
      <w:r w:rsidRPr="008B4BB7">
        <w:rPr>
          <w:rFonts w:ascii="Times New Roman" w:hAnsi="Times New Roman" w:cs="Times New Roman"/>
          <w:sz w:val="20"/>
          <w:szCs w:val="20"/>
        </w:rPr>
        <w:t>Zulfiker</w:t>
      </w:r>
      <w:proofErr w:type="spellEnd"/>
      <w:r w:rsidRPr="008B4BB7">
        <w:rPr>
          <w:rFonts w:ascii="Times New Roman" w:hAnsi="Times New Roman" w:cs="Times New Roman"/>
          <w:sz w:val="20"/>
          <w:szCs w:val="20"/>
        </w:rPr>
        <w:t>, A. H. M., Li, C., Good, D., &amp; Wei, M. Q. (2018). The Development of Toad Toxins as Potential Therapeutic Agents. </w:t>
      </w:r>
      <w:r w:rsidRPr="008B4BB7">
        <w:rPr>
          <w:rFonts w:ascii="Times New Roman" w:hAnsi="Times New Roman" w:cs="Times New Roman"/>
          <w:i/>
          <w:iCs/>
          <w:sz w:val="20"/>
          <w:szCs w:val="20"/>
        </w:rPr>
        <w:t>Toxins</w:t>
      </w:r>
      <w:r w:rsidRPr="008B4BB7">
        <w:rPr>
          <w:rFonts w:ascii="Times New Roman" w:hAnsi="Times New Roman" w:cs="Times New Roman"/>
          <w:sz w:val="20"/>
          <w:szCs w:val="20"/>
        </w:rPr>
        <w:t>, </w:t>
      </w:r>
      <w:r w:rsidRPr="008B4BB7">
        <w:rPr>
          <w:rFonts w:ascii="Times New Roman" w:hAnsi="Times New Roman" w:cs="Times New Roman"/>
          <w:i/>
          <w:iCs/>
          <w:sz w:val="20"/>
          <w:szCs w:val="20"/>
        </w:rPr>
        <w:t>10</w:t>
      </w:r>
      <w:r w:rsidRPr="008B4BB7">
        <w:rPr>
          <w:rFonts w:ascii="Times New Roman" w:hAnsi="Times New Roman" w:cs="Times New Roman"/>
          <w:sz w:val="20"/>
          <w:szCs w:val="20"/>
        </w:rPr>
        <w:t>(8), 336. https://doi.org/10.3390/toxins10080336</w:t>
      </w:r>
    </w:p>
    <w:p w14:paraId="42CFC44E" w14:textId="77777777" w:rsidR="008B4BB7" w:rsidRPr="008B4BB7" w:rsidRDefault="008B4BB7" w:rsidP="008B4BB7">
      <w:pPr>
        <w:pStyle w:val="ListParagraph"/>
        <w:numPr>
          <w:ilvl w:val="0"/>
          <w:numId w:val="1"/>
        </w:numPr>
        <w:tabs>
          <w:tab w:val="left" w:pos="2830"/>
        </w:tabs>
        <w:spacing w:after="0"/>
        <w:jc w:val="both"/>
        <w:rPr>
          <w:rFonts w:ascii="Times New Roman" w:hAnsi="Times New Roman" w:cs="Times New Roman"/>
          <w:sz w:val="20"/>
          <w:szCs w:val="20"/>
        </w:rPr>
      </w:pPr>
      <w:r w:rsidRPr="008B4BB7">
        <w:rPr>
          <w:rFonts w:ascii="Times New Roman" w:hAnsi="Times New Roman" w:cs="Times New Roman"/>
          <w:sz w:val="20"/>
          <w:szCs w:val="20"/>
        </w:rPr>
        <w:t xml:space="preserve">Yuan B., He J., </w:t>
      </w:r>
      <w:proofErr w:type="spellStart"/>
      <w:r w:rsidRPr="008B4BB7">
        <w:rPr>
          <w:rFonts w:ascii="Times New Roman" w:hAnsi="Times New Roman" w:cs="Times New Roman"/>
          <w:sz w:val="20"/>
          <w:szCs w:val="20"/>
        </w:rPr>
        <w:t>Kisoh</w:t>
      </w:r>
      <w:proofErr w:type="spellEnd"/>
      <w:r w:rsidRPr="008B4BB7">
        <w:rPr>
          <w:rFonts w:ascii="Times New Roman" w:hAnsi="Times New Roman" w:cs="Times New Roman"/>
          <w:sz w:val="20"/>
          <w:szCs w:val="20"/>
        </w:rPr>
        <w:t xml:space="preserve"> K., Hayashi H., Tanaka S., Si N., Zhao H.-Y., Hirano T., Bian B., Takagi N. Effects of active </w:t>
      </w:r>
      <w:proofErr w:type="spellStart"/>
      <w:r w:rsidRPr="008B4BB7">
        <w:rPr>
          <w:rFonts w:ascii="Times New Roman" w:hAnsi="Times New Roman" w:cs="Times New Roman"/>
          <w:sz w:val="20"/>
          <w:szCs w:val="20"/>
        </w:rPr>
        <w:t>bufadienolide</w:t>
      </w:r>
      <w:proofErr w:type="spellEnd"/>
      <w:r w:rsidRPr="008B4BB7">
        <w:rPr>
          <w:rFonts w:ascii="Times New Roman" w:hAnsi="Times New Roman" w:cs="Times New Roman"/>
          <w:sz w:val="20"/>
          <w:szCs w:val="20"/>
        </w:rPr>
        <w:t xml:space="preserve"> compounds on human cancer cells and CD4+ CD25+ Foxp3+ regulatory T cells in mitogen-activated human peripheral blood mononuclear cells. Oncol. Rep. </w:t>
      </w:r>
      <w:proofErr w:type="gramStart"/>
      <w:r w:rsidRPr="008B4BB7">
        <w:rPr>
          <w:rFonts w:ascii="Times New Roman" w:hAnsi="Times New Roman" w:cs="Times New Roman"/>
          <w:sz w:val="20"/>
          <w:szCs w:val="20"/>
        </w:rPr>
        <w:t>2016;36:1377</w:t>
      </w:r>
      <w:proofErr w:type="gramEnd"/>
      <w:r w:rsidRPr="008B4BB7">
        <w:rPr>
          <w:rFonts w:ascii="Times New Roman" w:hAnsi="Times New Roman" w:cs="Times New Roman"/>
          <w:sz w:val="20"/>
          <w:szCs w:val="20"/>
        </w:rPr>
        <w:t xml:space="preserve">–1384. </w:t>
      </w:r>
      <w:proofErr w:type="spellStart"/>
      <w:r w:rsidRPr="008B4BB7">
        <w:rPr>
          <w:rFonts w:ascii="Times New Roman" w:hAnsi="Times New Roman" w:cs="Times New Roman"/>
          <w:sz w:val="20"/>
          <w:szCs w:val="20"/>
        </w:rPr>
        <w:t>doi</w:t>
      </w:r>
      <w:proofErr w:type="spellEnd"/>
      <w:r w:rsidRPr="008B4BB7">
        <w:rPr>
          <w:rFonts w:ascii="Times New Roman" w:hAnsi="Times New Roman" w:cs="Times New Roman"/>
          <w:sz w:val="20"/>
          <w:szCs w:val="20"/>
        </w:rPr>
        <w:t>: 10.3892/or.2016.4946</w:t>
      </w:r>
    </w:p>
    <w:p w14:paraId="37AAB4F6" w14:textId="77777777" w:rsidR="008B4BB7" w:rsidRPr="008B4BB7" w:rsidRDefault="008B4BB7" w:rsidP="008B4BB7">
      <w:pPr>
        <w:pStyle w:val="ListParagraph"/>
        <w:numPr>
          <w:ilvl w:val="0"/>
          <w:numId w:val="1"/>
        </w:numPr>
        <w:tabs>
          <w:tab w:val="left" w:pos="2830"/>
        </w:tabs>
        <w:spacing w:after="0"/>
        <w:jc w:val="both"/>
        <w:rPr>
          <w:rFonts w:ascii="Times New Roman" w:hAnsi="Times New Roman" w:cs="Times New Roman"/>
          <w:sz w:val="20"/>
          <w:szCs w:val="20"/>
          <w:u w:val="single"/>
        </w:rPr>
      </w:pPr>
      <w:r w:rsidRPr="008B4BB7">
        <w:rPr>
          <w:rFonts w:ascii="Times New Roman" w:hAnsi="Times New Roman" w:cs="Times New Roman"/>
          <w:sz w:val="20"/>
          <w:szCs w:val="20"/>
        </w:rPr>
        <w:t>Islami, F., Torre, L. A., Drope, J. M., Ward, E. M., &amp; Jemal, A. (2017). Global Cancer in Women: Cancer Control Priorities. </w:t>
      </w:r>
      <w:r w:rsidRPr="008B4BB7">
        <w:rPr>
          <w:rFonts w:ascii="Times New Roman" w:hAnsi="Times New Roman" w:cs="Times New Roman"/>
          <w:i/>
          <w:iCs/>
          <w:sz w:val="20"/>
          <w:szCs w:val="20"/>
        </w:rPr>
        <w:t xml:space="preserve">Cancer epidemiology, biomarkers &amp; </w:t>
      </w:r>
      <w:proofErr w:type="gramStart"/>
      <w:r w:rsidRPr="008B4BB7">
        <w:rPr>
          <w:rFonts w:ascii="Times New Roman" w:hAnsi="Times New Roman" w:cs="Times New Roman"/>
          <w:i/>
          <w:iCs/>
          <w:sz w:val="20"/>
          <w:szCs w:val="20"/>
        </w:rPr>
        <w:t>prevention :</w:t>
      </w:r>
      <w:proofErr w:type="gramEnd"/>
      <w:r w:rsidRPr="008B4BB7">
        <w:rPr>
          <w:rFonts w:ascii="Times New Roman" w:hAnsi="Times New Roman" w:cs="Times New Roman"/>
          <w:i/>
          <w:iCs/>
          <w:sz w:val="20"/>
          <w:szCs w:val="20"/>
        </w:rPr>
        <w:t xml:space="preserve"> a publication of the American </w:t>
      </w:r>
      <w:r w:rsidRPr="008B4BB7">
        <w:rPr>
          <w:rFonts w:ascii="Times New Roman" w:hAnsi="Times New Roman" w:cs="Times New Roman"/>
          <w:i/>
          <w:iCs/>
          <w:sz w:val="20"/>
          <w:szCs w:val="20"/>
        </w:rPr>
        <w:lastRenderedPageBreak/>
        <w:t>Association for Cancer Research, cosponsored by the American Society of Preventive Oncology</w:t>
      </w:r>
      <w:r w:rsidRPr="008B4BB7">
        <w:rPr>
          <w:rFonts w:ascii="Times New Roman" w:hAnsi="Times New Roman" w:cs="Times New Roman"/>
          <w:sz w:val="20"/>
          <w:szCs w:val="20"/>
        </w:rPr>
        <w:t>, </w:t>
      </w:r>
      <w:r w:rsidRPr="008B4BB7">
        <w:rPr>
          <w:rFonts w:ascii="Times New Roman" w:hAnsi="Times New Roman" w:cs="Times New Roman"/>
          <w:i/>
          <w:iCs/>
          <w:sz w:val="20"/>
          <w:szCs w:val="20"/>
        </w:rPr>
        <w:t>26</w:t>
      </w:r>
      <w:r w:rsidRPr="008B4BB7">
        <w:rPr>
          <w:rFonts w:ascii="Times New Roman" w:hAnsi="Times New Roman" w:cs="Times New Roman"/>
          <w:sz w:val="20"/>
          <w:szCs w:val="20"/>
        </w:rPr>
        <w:t xml:space="preserve">(4), 458–470. </w:t>
      </w:r>
      <w:hyperlink r:id="rId17" w:history="1">
        <w:r w:rsidRPr="008B4BB7">
          <w:rPr>
            <w:rStyle w:val="Hyperlink"/>
            <w:rFonts w:ascii="Times New Roman" w:hAnsi="Times New Roman" w:cs="Times New Roman"/>
            <w:sz w:val="20"/>
            <w:szCs w:val="20"/>
          </w:rPr>
          <w:t>https://doi.org/10.1158/1055-9965.EPI-16-0871</w:t>
        </w:r>
      </w:hyperlink>
    </w:p>
    <w:p w14:paraId="620936A7" w14:textId="3E8365BA" w:rsidR="008B4BB7" w:rsidRPr="008B4BB7" w:rsidRDefault="008B4BB7" w:rsidP="008B4BB7">
      <w:pPr>
        <w:pStyle w:val="ListParagraph"/>
        <w:numPr>
          <w:ilvl w:val="0"/>
          <w:numId w:val="1"/>
        </w:numPr>
        <w:tabs>
          <w:tab w:val="left" w:pos="2830"/>
        </w:tabs>
        <w:spacing w:after="0"/>
        <w:jc w:val="both"/>
        <w:rPr>
          <w:rFonts w:ascii="Times New Roman" w:hAnsi="Times New Roman" w:cs="Times New Roman"/>
          <w:sz w:val="20"/>
          <w:szCs w:val="20"/>
        </w:rPr>
      </w:pPr>
      <w:r w:rsidRPr="008B4BB7">
        <w:rPr>
          <w:rFonts w:ascii="Times New Roman" w:hAnsi="Times New Roman" w:cs="Times New Roman"/>
          <w:sz w:val="20"/>
          <w:szCs w:val="20"/>
        </w:rPr>
        <w:t>Liu M., Feng L.-X., Hu L.-H., Liu X., Guo D.-A. Advancement in research of anti-cancer effects of toad venom (</w:t>
      </w:r>
      <w:proofErr w:type="spellStart"/>
      <w:r w:rsidRPr="008B4BB7">
        <w:rPr>
          <w:rFonts w:ascii="Times New Roman" w:hAnsi="Times New Roman" w:cs="Times New Roman"/>
          <w:sz w:val="20"/>
          <w:szCs w:val="20"/>
        </w:rPr>
        <w:t>ChanSu</w:t>
      </w:r>
      <w:proofErr w:type="spellEnd"/>
      <w:r w:rsidRPr="008B4BB7">
        <w:rPr>
          <w:rFonts w:ascii="Times New Roman" w:hAnsi="Times New Roman" w:cs="Times New Roman"/>
          <w:sz w:val="20"/>
          <w:szCs w:val="20"/>
        </w:rPr>
        <w:t xml:space="preserve">) and perspectives. World J. </w:t>
      </w:r>
      <w:proofErr w:type="spellStart"/>
      <w:r w:rsidRPr="008B4BB7">
        <w:rPr>
          <w:rFonts w:ascii="Times New Roman" w:hAnsi="Times New Roman" w:cs="Times New Roman"/>
          <w:sz w:val="20"/>
          <w:szCs w:val="20"/>
        </w:rPr>
        <w:t>Tradit</w:t>
      </w:r>
      <w:proofErr w:type="spellEnd"/>
      <w:r w:rsidRPr="008B4BB7">
        <w:rPr>
          <w:rFonts w:ascii="Times New Roman" w:hAnsi="Times New Roman" w:cs="Times New Roman"/>
          <w:sz w:val="20"/>
          <w:szCs w:val="20"/>
        </w:rPr>
        <w:t xml:space="preserve">. Chin. Med. </w:t>
      </w:r>
      <w:proofErr w:type="gramStart"/>
      <w:r w:rsidRPr="008B4BB7">
        <w:rPr>
          <w:rFonts w:ascii="Times New Roman" w:hAnsi="Times New Roman" w:cs="Times New Roman"/>
          <w:sz w:val="20"/>
          <w:szCs w:val="20"/>
        </w:rPr>
        <w:t>2015;1:12</w:t>
      </w:r>
      <w:proofErr w:type="gramEnd"/>
      <w:r w:rsidRPr="008B4BB7">
        <w:rPr>
          <w:rFonts w:ascii="Times New Roman" w:hAnsi="Times New Roman" w:cs="Times New Roman"/>
          <w:sz w:val="20"/>
          <w:szCs w:val="20"/>
        </w:rPr>
        <w:t xml:space="preserve">–23. </w:t>
      </w:r>
      <w:proofErr w:type="spellStart"/>
      <w:r w:rsidRPr="008B4BB7">
        <w:rPr>
          <w:rFonts w:ascii="Times New Roman" w:hAnsi="Times New Roman" w:cs="Times New Roman"/>
          <w:sz w:val="20"/>
          <w:szCs w:val="20"/>
        </w:rPr>
        <w:t>doi</w:t>
      </w:r>
      <w:proofErr w:type="spellEnd"/>
      <w:r w:rsidRPr="008B4BB7">
        <w:rPr>
          <w:rFonts w:ascii="Times New Roman" w:hAnsi="Times New Roman" w:cs="Times New Roman"/>
          <w:sz w:val="20"/>
          <w:szCs w:val="20"/>
        </w:rPr>
        <w:t>: 10.15806/j.issn.2311-8571.2014.0024</w:t>
      </w:r>
    </w:p>
    <w:p w14:paraId="1682918B" w14:textId="77777777" w:rsidR="008B4BB7" w:rsidRPr="008B4BB7" w:rsidRDefault="008B4BB7" w:rsidP="008B4BB7">
      <w:pPr>
        <w:pStyle w:val="ListParagraph"/>
        <w:numPr>
          <w:ilvl w:val="0"/>
          <w:numId w:val="1"/>
        </w:numPr>
        <w:tabs>
          <w:tab w:val="left" w:pos="2830"/>
        </w:tabs>
        <w:spacing w:after="0"/>
        <w:jc w:val="both"/>
        <w:rPr>
          <w:rFonts w:ascii="Times New Roman" w:hAnsi="Times New Roman" w:cs="Times New Roman"/>
          <w:sz w:val="20"/>
          <w:szCs w:val="20"/>
        </w:rPr>
      </w:pPr>
      <w:r w:rsidRPr="008B4BB7">
        <w:rPr>
          <w:rFonts w:ascii="Times New Roman" w:hAnsi="Times New Roman" w:cs="Times New Roman"/>
          <w:sz w:val="20"/>
          <w:szCs w:val="20"/>
        </w:rPr>
        <w:t xml:space="preserve">Ram Kumar, A., Rajagopal, K., </w:t>
      </w:r>
      <w:proofErr w:type="spellStart"/>
      <w:r w:rsidRPr="008B4BB7">
        <w:rPr>
          <w:rFonts w:ascii="Times New Roman" w:hAnsi="Times New Roman" w:cs="Times New Roman"/>
          <w:sz w:val="20"/>
          <w:szCs w:val="20"/>
        </w:rPr>
        <w:t>Meenambiga</w:t>
      </w:r>
      <w:proofErr w:type="spellEnd"/>
      <w:r w:rsidRPr="008B4BB7">
        <w:rPr>
          <w:rFonts w:ascii="Times New Roman" w:hAnsi="Times New Roman" w:cs="Times New Roman"/>
          <w:sz w:val="20"/>
          <w:szCs w:val="20"/>
        </w:rPr>
        <w:t xml:space="preserve">, S. S., &amp; Kumaresan, S. (2020). In Vitro and In Silico Anti-Breast Cancer Analysis of Bioactive Metabolites of Bacillus subtilis Isolated </w:t>
      </w:r>
      <w:proofErr w:type="gramStart"/>
      <w:r w:rsidRPr="008B4BB7">
        <w:rPr>
          <w:rFonts w:ascii="Times New Roman" w:hAnsi="Times New Roman" w:cs="Times New Roman"/>
          <w:sz w:val="20"/>
          <w:szCs w:val="20"/>
        </w:rPr>
        <w:t>From</w:t>
      </w:r>
      <w:proofErr w:type="gramEnd"/>
      <w:r w:rsidRPr="008B4BB7">
        <w:rPr>
          <w:rFonts w:ascii="Times New Roman" w:hAnsi="Times New Roman" w:cs="Times New Roman"/>
          <w:sz w:val="20"/>
          <w:szCs w:val="20"/>
        </w:rPr>
        <w:t xml:space="preserve"> Soil. </w:t>
      </w:r>
      <w:r w:rsidRPr="008B4BB7">
        <w:rPr>
          <w:rFonts w:ascii="Times New Roman" w:hAnsi="Times New Roman" w:cs="Times New Roman"/>
          <w:i/>
          <w:iCs/>
          <w:sz w:val="20"/>
          <w:szCs w:val="20"/>
        </w:rPr>
        <w:t>Saudi Journal of Pathology and Microbiology</w:t>
      </w:r>
      <w:r w:rsidRPr="008B4BB7">
        <w:rPr>
          <w:rFonts w:ascii="Times New Roman" w:hAnsi="Times New Roman" w:cs="Times New Roman"/>
          <w:sz w:val="20"/>
          <w:szCs w:val="20"/>
        </w:rPr>
        <w:t xml:space="preserve">, </w:t>
      </w:r>
      <w:r w:rsidRPr="008B4BB7">
        <w:rPr>
          <w:rFonts w:ascii="Times New Roman" w:hAnsi="Times New Roman" w:cs="Times New Roman"/>
          <w:i/>
          <w:iCs/>
          <w:sz w:val="20"/>
          <w:szCs w:val="20"/>
        </w:rPr>
        <w:t>05</w:t>
      </w:r>
      <w:r w:rsidRPr="008B4BB7">
        <w:rPr>
          <w:rFonts w:ascii="Times New Roman" w:hAnsi="Times New Roman" w:cs="Times New Roman"/>
          <w:sz w:val="20"/>
          <w:szCs w:val="20"/>
        </w:rPr>
        <w:t xml:space="preserve">(04), 220–229. </w:t>
      </w:r>
      <w:hyperlink r:id="rId18" w:history="1">
        <w:r w:rsidRPr="008B4BB7">
          <w:rPr>
            <w:rStyle w:val="Hyperlink"/>
            <w:rFonts w:ascii="Times New Roman" w:hAnsi="Times New Roman" w:cs="Times New Roman"/>
            <w:sz w:val="20"/>
            <w:szCs w:val="20"/>
          </w:rPr>
          <w:t>https://doi.org/10.36348/sjpm.2020.v05i04.006</w:t>
        </w:r>
      </w:hyperlink>
    </w:p>
    <w:p w14:paraId="2A16320D" w14:textId="77777777" w:rsidR="008B4BB7" w:rsidRPr="008B4BB7" w:rsidRDefault="008B4BB7" w:rsidP="008B4BB7">
      <w:pPr>
        <w:pStyle w:val="ListParagraph"/>
        <w:numPr>
          <w:ilvl w:val="0"/>
          <w:numId w:val="1"/>
        </w:numPr>
        <w:tabs>
          <w:tab w:val="left" w:pos="2830"/>
        </w:tabs>
        <w:spacing w:after="0"/>
        <w:jc w:val="both"/>
        <w:rPr>
          <w:rFonts w:ascii="Times New Roman" w:hAnsi="Times New Roman" w:cs="Times New Roman"/>
          <w:sz w:val="20"/>
          <w:szCs w:val="20"/>
        </w:rPr>
      </w:pPr>
      <w:r w:rsidRPr="008B4BB7">
        <w:rPr>
          <w:rFonts w:ascii="Times New Roman" w:hAnsi="Times New Roman" w:cs="Times New Roman"/>
          <w:sz w:val="20"/>
          <w:szCs w:val="20"/>
        </w:rPr>
        <w:t xml:space="preserve">Yang Q., Zhou X., Zhang M., Bi L., Miao S., Cao W., Xie Y., Sun J., Tang H., Li Y. Angel of human health: Current research updates in toad medicine. Am. J. Transl. Res. </w:t>
      </w:r>
      <w:proofErr w:type="gramStart"/>
      <w:r w:rsidRPr="008B4BB7">
        <w:rPr>
          <w:rFonts w:ascii="Times New Roman" w:hAnsi="Times New Roman" w:cs="Times New Roman"/>
          <w:sz w:val="20"/>
          <w:szCs w:val="20"/>
        </w:rPr>
        <w:t>2015;7:1</w:t>
      </w:r>
      <w:proofErr w:type="gramEnd"/>
      <w:r w:rsidRPr="008B4BB7">
        <w:rPr>
          <w:rFonts w:ascii="Times New Roman" w:hAnsi="Times New Roman" w:cs="Times New Roman"/>
          <w:sz w:val="20"/>
          <w:szCs w:val="20"/>
        </w:rPr>
        <w:t>.</w:t>
      </w:r>
    </w:p>
    <w:p w14:paraId="308AEB2D" w14:textId="77777777" w:rsidR="008B4BB7" w:rsidRPr="008B4BB7" w:rsidRDefault="008B4BB7" w:rsidP="008B4BB7">
      <w:pPr>
        <w:pStyle w:val="ListParagraph"/>
        <w:numPr>
          <w:ilvl w:val="0"/>
          <w:numId w:val="1"/>
        </w:numPr>
        <w:tabs>
          <w:tab w:val="left" w:pos="2830"/>
        </w:tabs>
        <w:spacing w:after="0"/>
        <w:jc w:val="both"/>
        <w:rPr>
          <w:rFonts w:ascii="Times New Roman" w:hAnsi="Times New Roman" w:cs="Times New Roman"/>
          <w:sz w:val="20"/>
          <w:szCs w:val="20"/>
        </w:rPr>
      </w:pPr>
      <w:r w:rsidRPr="008B4BB7">
        <w:rPr>
          <w:rFonts w:ascii="Times New Roman" w:hAnsi="Times New Roman" w:cs="Times New Roman"/>
          <w:sz w:val="20"/>
          <w:szCs w:val="20"/>
        </w:rPr>
        <w:t xml:space="preserve">Gao H., </w:t>
      </w:r>
      <w:proofErr w:type="spellStart"/>
      <w:r w:rsidRPr="008B4BB7">
        <w:rPr>
          <w:rFonts w:ascii="Times New Roman" w:hAnsi="Times New Roman" w:cs="Times New Roman"/>
          <w:sz w:val="20"/>
          <w:szCs w:val="20"/>
        </w:rPr>
        <w:t>Zehl</w:t>
      </w:r>
      <w:proofErr w:type="spellEnd"/>
      <w:r w:rsidRPr="008B4BB7">
        <w:rPr>
          <w:rFonts w:ascii="Times New Roman" w:hAnsi="Times New Roman" w:cs="Times New Roman"/>
          <w:sz w:val="20"/>
          <w:szCs w:val="20"/>
        </w:rPr>
        <w:t xml:space="preserve"> M., Leitner A., Wu X., Wang Z., Kopp B. Comparison of toad venoms from different Bufo species by HPLC LC-DAD-MS/MS. J. </w:t>
      </w:r>
      <w:proofErr w:type="spellStart"/>
      <w:r w:rsidRPr="008B4BB7">
        <w:rPr>
          <w:rFonts w:ascii="Times New Roman" w:hAnsi="Times New Roman" w:cs="Times New Roman"/>
          <w:sz w:val="20"/>
          <w:szCs w:val="20"/>
        </w:rPr>
        <w:t>Ethnopharmacol</w:t>
      </w:r>
      <w:proofErr w:type="spellEnd"/>
      <w:r w:rsidRPr="008B4BB7">
        <w:rPr>
          <w:rFonts w:ascii="Times New Roman" w:hAnsi="Times New Roman" w:cs="Times New Roman"/>
          <w:sz w:val="20"/>
          <w:szCs w:val="20"/>
        </w:rPr>
        <w:t xml:space="preserve">. </w:t>
      </w:r>
      <w:proofErr w:type="gramStart"/>
      <w:r w:rsidRPr="008B4BB7">
        <w:rPr>
          <w:rFonts w:ascii="Times New Roman" w:hAnsi="Times New Roman" w:cs="Times New Roman"/>
          <w:sz w:val="20"/>
          <w:szCs w:val="20"/>
        </w:rPr>
        <w:t>2010;131:368</w:t>
      </w:r>
      <w:proofErr w:type="gramEnd"/>
      <w:r w:rsidRPr="008B4BB7">
        <w:rPr>
          <w:rFonts w:ascii="Times New Roman" w:hAnsi="Times New Roman" w:cs="Times New Roman"/>
          <w:sz w:val="20"/>
          <w:szCs w:val="20"/>
        </w:rPr>
        <w:t xml:space="preserve">–376. </w:t>
      </w:r>
      <w:proofErr w:type="spellStart"/>
      <w:r w:rsidRPr="008B4BB7">
        <w:rPr>
          <w:rFonts w:ascii="Times New Roman" w:hAnsi="Times New Roman" w:cs="Times New Roman"/>
          <w:sz w:val="20"/>
          <w:szCs w:val="20"/>
        </w:rPr>
        <w:t>doi</w:t>
      </w:r>
      <w:proofErr w:type="spellEnd"/>
      <w:r w:rsidRPr="008B4BB7">
        <w:rPr>
          <w:rFonts w:ascii="Times New Roman" w:hAnsi="Times New Roman" w:cs="Times New Roman"/>
          <w:sz w:val="20"/>
          <w:szCs w:val="20"/>
        </w:rPr>
        <w:t>: 10.1016/j.jep.2010.07.017</w:t>
      </w:r>
    </w:p>
    <w:p w14:paraId="5C6CD7A4" w14:textId="77777777" w:rsidR="008B4BB7" w:rsidRPr="008B4BB7" w:rsidRDefault="008B4BB7" w:rsidP="008B4BB7">
      <w:pPr>
        <w:tabs>
          <w:tab w:val="left" w:pos="2830"/>
        </w:tabs>
        <w:spacing w:after="0"/>
        <w:jc w:val="both"/>
        <w:rPr>
          <w:rFonts w:ascii="Times New Roman" w:hAnsi="Times New Roman" w:cs="Times New Roman"/>
          <w:sz w:val="20"/>
          <w:szCs w:val="20"/>
        </w:rPr>
      </w:pPr>
    </w:p>
    <w:p w14:paraId="5699948E" w14:textId="77777777" w:rsidR="008B4BB7" w:rsidRPr="008B4BB7" w:rsidRDefault="008B4BB7" w:rsidP="008B4BB7">
      <w:pPr>
        <w:pStyle w:val="ListParagraph"/>
        <w:numPr>
          <w:ilvl w:val="0"/>
          <w:numId w:val="1"/>
        </w:numPr>
        <w:tabs>
          <w:tab w:val="left" w:pos="2830"/>
        </w:tabs>
        <w:spacing w:after="0"/>
        <w:jc w:val="both"/>
        <w:rPr>
          <w:rFonts w:ascii="Times New Roman" w:hAnsi="Times New Roman" w:cs="Times New Roman"/>
          <w:sz w:val="20"/>
          <w:szCs w:val="20"/>
        </w:rPr>
      </w:pPr>
      <w:r w:rsidRPr="008B4BB7">
        <w:rPr>
          <w:rFonts w:ascii="Times New Roman" w:hAnsi="Times New Roman" w:cs="Times New Roman"/>
          <w:sz w:val="20"/>
          <w:szCs w:val="20"/>
        </w:rPr>
        <w:t>Kibria, M. K., Ali, M. A., &amp; Mollah, M. N. H. (2024). Exploring bacterial key genes and therapeutic agents for breast cancer among the Ghanaian female population: Insights from In Silico analyses. </w:t>
      </w:r>
      <w:proofErr w:type="spellStart"/>
      <w:r w:rsidRPr="008B4BB7">
        <w:rPr>
          <w:rFonts w:ascii="Times New Roman" w:hAnsi="Times New Roman" w:cs="Times New Roman"/>
          <w:i/>
          <w:iCs/>
          <w:sz w:val="20"/>
          <w:szCs w:val="20"/>
        </w:rPr>
        <w:t>PloS</w:t>
      </w:r>
      <w:proofErr w:type="spellEnd"/>
      <w:r w:rsidRPr="008B4BB7">
        <w:rPr>
          <w:rFonts w:ascii="Times New Roman" w:hAnsi="Times New Roman" w:cs="Times New Roman"/>
          <w:i/>
          <w:iCs/>
          <w:sz w:val="20"/>
          <w:szCs w:val="20"/>
        </w:rPr>
        <w:t xml:space="preserve"> one</w:t>
      </w:r>
      <w:r w:rsidRPr="008B4BB7">
        <w:rPr>
          <w:rFonts w:ascii="Times New Roman" w:hAnsi="Times New Roman" w:cs="Times New Roman"/>
          <w:sz w:val="20"/>
          <w:szCs w:val="20"/>
        </w:rPr>
        <w:t>, </w:t>
      </w:r>
      <w:r w:rsidRPr="008B4BB7">
        <w:rPr>
          <w:rFonts w:ascii="Times New Roman" w:hAnsi="Times New Roman" w:cs="Times New Roman"/>
          <w:i/>
          <w:iCs/>
          <w:sz w:val="20"/>
          <w:szCs w:val="20"/>
        </w:rPr>
        <w:t>19</w:t>
      </w:r>
      <w:r w:rsidRPr="008B4BB7">
        <w:rPr>
          <w:rFonts w:ascii="Times New Roman" w:hAnsi="Times New Roman" w:cs="Times New Roman"/>
          <w:sz w:val="20"/>
          <w:szCs w:val="20"/>
        </w:rPr>
        <w:t>(11), e0312493. https://doi.org/10.1371/journal.pone.0312493</w:t>
      </w:r>
    </w:p>
    <w:p w14:paraId="5CE4ED97" w14:textId="77777777" w:rsidR="008B4BB7" w:rsidRPr="008B4BB7" w:rsidRDefault="008B4BB7" w:rsidP="008B4BB7">
      <w:pPr>
        <w:pStyle w:val="ListParagraph"/>
        <w:numPr>
          <w:ilvl w:val="0"/>
          <w:numId w:val="1"/>
        </w:numPr>
        <w:tabs>
          <w:tab w:val="left" w:pos="2830"/>
        </w:tabs>
        <w:spacing w:after="0"/>
        <w:jc w:val="both"/>
        <w:rPr>
          <w:rFonts w:ascii="Times New Roman" w:hAnsi="Times New Roman" w:cs="Times New Roman"/>
          <w:sz w:val="20"/>
          <w:szCs w:val="20"/>
        </w:rPr>
      </w:pPr>
      <w:r w:rsidRPr="008B4BB7">
        <w:rPr>
          <w:rFonts w:ascii="Times New Roman" w:hAnsi="Times New Roman" w:cs="Times New Roman"/>
          <w:sz w:val="20"/>
          <w:szCs w:val="20"/>
        </w:rPr>
        <w:t xml:space="preserve">Rajagopal, K., </w:t>
      </w:r>
      <w:proofErr w:type="spellStart"/>
      <w:r w:rsidRPr="008B4BB7">
        <w:rPr>
          <w:rFonts w:ascii="Times New Roman" w:hAnsi="Times New Roman" w:cs="Times New Roman"/>
          <w:sz w:val="20"/>
          <w:szCs w:val="20"/>
        </w:rPr>
        <w:t>Kalusalingam</w:t>
      </w:r>
      <w:proofErr w:type="spellEnd"/>
      <w:r w:rsidRPr="008B4BB7">
        <w:rPr>
          <w:rFonts w:ascii="Times New Roman" w:hAnsi="Times New Roman" w:cs="Times New Roman"/>
          <w:sz w:val="20"/>
          <w:szCs w:val="20"/>
        </w:rPr>
        <w:t>, A., Bharathidasan, A. R., Sivaprakash, A., Shanmugam, K., Sundaramoorthy, M., &amp; Byran, G. (2023). </w:t>
      </w:r>
      <w:r w:rsidRPr="008B4BB7">
        <w:rPr>
          <w:rFonts w:ascii="Times New Roman" w:hAnsi="Times New Roman" w:cs="Times New Roman"/>
          <w:i/>
          <w:iCs/>
          <w:sz w:val="20"/>
          <w:szCs w:val="20"/>
        </w:rPr>
        <w:t>In Silico</w:t>
      </w:r>
      <w:r w:rsidRPr="008B4BB7">
        <w:rPr>
          <w:rFonts w:ascii="Times New Roman" w:hAnsi="Times New Roman" w:cs="Times New Roman"/>
          <w:sz w:val="20"/>
          <w:szCs w:val="20"/>
        </w:rPr>
        <w:t> Drug Design of Anti-Breast Cancer Agents. </w:t>
      </w:r>
      <w:r w:rsidRPr="008B4BB7">
        <w:rPr>
          <w:rFonts w:ascii="Times New Roman" w:hAnsi="Times New Roman" w:cs="Times New Roman"/>
          <w:i/>
          <w:iCs/>
          <w:sz w:val="20"/>
          <w:szCs w:val="20"/>
        </w:rPr>
        <w:t>Molecules (Basel, Switzerland)</w:t>
      </w:r>
      <w:r w:rsidRPr="008B4BB7">
        <w:rPr>
          <w:rFonts w:ascii="Times New Roman" w:hAnsi="Times New Roman" w:cs="Times New Roman"/>
          <w:sz w:val="20"/>
          <w:szCs w:val="20"/>
        </w:rPr>
        <w:t>, </w:t>
      </w:r>
      <w:r w:rsidRPr="008B4BB7">
        <w:rPr>
          <w:rFonts w:ascii="Times New Roman" w:hAnsi="Times New Roman" w:cs="Times New Roman"/>
          <w:i/>
          <w:iCs/>
          <w:sz w:val="20"/>
          <w:szCs w:val="20"/>
        </w:rPr>
        <w:t>28</w:t>
      </w:r>
      <w:r w:rsidRPr="008B4BB7">
        <w:rPr>
          <w:rFonts w:ascii="Times New Roman" w:hAnsi="Times New Roman" w:cs="Times New Roman"/>
          <w:sz w:val="20"/>
          <w:szCs w:val="20"/>
        </w:rPr>
        <w:t>(10), 4175. https://doi.org/10.3390/molecules28104175</w:t>
      </w:r>
    </w:p>
    <w:p w14:paraId="557BAA2C" w14:textId="77777777" w:rsidR="008B4BB7" w:rsidRPr="008B4BB7" w:rsidRDefault="008B4BB7" w:rsidP="008B4BB7">
      <w:pPr>
        <w:pStyle w:val="ListParagraph"/>
        <w:numPr>
          <w:ilvl w:val="0"/>
          <w:numId w:val="1"/>
        </w:numPr>
        <w:tabs>
          <w:tab w:val="left" w:pos="2830"/>
        </w:tabs>
        <w:spacing w:after="0"/>
        <w:jc w:val="both"/>
        <w:rPr>
          <w:rFonts w:ascii="Times New Roman" w:hAnsi="Times New Roman" w:cs="Times New Roman"/>
          <w:sz w:val="20"/>
          <w:szCs w:val="20"/>
        </w:rPr>
      </w:pPr>
      <w:r w:rsidRPr="008B4BB7">
        <w:rPr>
          <w:rFonts w:ascii="Times New Roman" w:hAnsi="Times New Roman" w:cs="Times New Roman"/>
          <w:sz w:val="20"/>
          <w:szCs w:val="20"/>
        </w:rPr>
        <w:t xml:space="preserve">Bizuayehu, H. M., Dadi, A. F., Hassen, T. A., Ketema, D. B., Ahmed, K. Y., Kassa, Z. Y., Amsalu, E., </w:t>
      </w:r>
      <w:proofErr w:type="spellStart"/>
      <w:r w:rsidRPr="008B4BB7">
        <w:rPr>
          <w:rFonts w:ascii="Times New Roman" w:hAnsi="Times New Roman" w:cs="Times New Roman"/>
          <w:sz w:val="20"/>
          <w:szCs w:val="20"/>
        </w:rPr>
        <w:t>Kibret</w:t>
      </w:r>
      <w:proofErr w:type="spellEnd"/>
      <w:r w:rsidRPr="008B4BB7">
        <w:rPr>
          <w:rFonts w:ascii="Times New Roman" w:hAnsi="Times New Roman" w:cs="Times New Roman"/>
          <w:sz w:val="20"/>
          <w:szCs w:val="20"/>
        </w:rPr>
        <w:t>, G. D., Alemu, A. A., Alebel, A., Shifa, J. E., Assefa, Y., Tessema, G. A., Sarich, P., Gebremedhin, A. F., &amp; Bore, M. G. (2024). Global burden of 34 cancers among women in 2020 and projections to 2040: Population-based data from 185 countries/territories. </w:t>
      </w:r>
      <w:r w:rsidRPr="008B4BB7">
        <w:rPr>
          <w:rFonts w:ascii="Times New Roman" w:hAnsi="Times New Roman" w:cs="Times New Roman"/>
          <w:i/>
          <w:iCs/>
          <w:sz w:val="20"/>
          <w:szCs w:val="20"/>
        </w:rPr>
        <w:t>International journal of cancer</w:t>
      </w:r>
      <w:r w:rsidRPr="008B4BB7">
        <w:rPr>
          <w:rFonts w:ascii="Times New Roman" w:hAnsi="Times New Roman" w:cs="Times New Roman"/>
          <w:sz w:val="20"/>
          <w:szCs w:val="20"/>
        </w:rPr>
        <w:t>, </w:t>
      </w:r>
      <w:r w:rsidRPr="008B4BB7">
        <w:rPr>
          <w:rFonts w:ascii="Times New Roman" w:hAnsi="Times New Roman" w:cs="Times New Roman"/>
          <w:i/>
          <w:iCs/>
          <w:sz w:val="20"/>
          <w:szCs w:val="20"/>
        </w:rPr>
        <w:t>154</w:t>
      </w:r>
      <w:r w:rsidRPr="008B4BB7">
        <w:rPr>
          <w:rFonts w:ascii="Times New Roman" w:hAnsi="Times New Roman" w:cs="Times New Roman"/>
          <w:sz w:val="20"/>
          <w:szCs w:val="20"/>
        </w:rPr>
        <w:t>(8), 1377–1393. https://doi.org/10.1002/ijc.34809</w:t>
      </w:r>
    </w:p>
    <w:p w14:paraId="043C3E8B" w14:textId="77777777" w:rsidR="008B4BB7" w:rsidRPr="008B4BB7" w:rsidRDefault="008B4BB7" w:rsidP="008B4BB7">
      <w:pPr>
        <w:pStyle w:val="ListParagraph"/>
        <w:numPr>
          <w:ilvl w:val="0"/>
          <w:numId w:val="1"/>
        </w:numPr>
        <w:tabs>
          <w:tab w:val="left" w:pos="2830"/>
        </w:tabs>
        <w:spacing w:after="0"/>
        <w:jc w:val="both"/>
        <w:rPr>
          <w:rFonts w:ascii="Times New Roman" w:hAnsi="Times New Roman" w:cs="Times New Roman"/>
          <w:sz w:val="20"/>
          <w:szCs w:val="20"/>
        </w:rPr>
      </w:pPr>
      <w:r w:rsidRPr="008B4BB7">
        <w:rPr>
          <w:rFonts w:ascii="Times New Roman" w:hAnsi="Times New Roman" w:cs="Times New Roman"/>
          <w:sz w:val="20"/>
          <w:szCs w:val="20"/>
        </w:rPr>
        <w:t>Coughlin, S. S., &amp; Ekwueme, D. U. (2009). Breast cancer as a global health concern. </w:t>
      </w:r>
      <w:r w:rsidRPr="008B4BB7">
        <w:rPr>
          <w:rFonts w:ascii="Times New Roman" w:hAnsi="Times New Roman" w:cs="Times New Roman"/>
          <w:i/>
          <w:iCs/>
          <w:sz w:val="20"/>
          <w:szCs w:val="20"/>
        </w:rPr>
        <w:t>Cancer epidemiology</w:t>
      </w:r>
      <w:r w:rsidRPr="008B4BB7">
        <w:rPr>
          <w:rFonts w:ascii="Times New Roman" w:hAnsi="Times New Roman" w:cs="Times New Roman"/>
          <w:sz w:val="20"/>
          <w:szCs w:val="20"/>
        </w:rPr>
        <w:t>, </w:t>
      </w:r>
      <w:r w:rsidRPr="008B4BB7">
        <w:rPr>
          <w:rFonts w:ascii="Times New Roman" w:hAnsi="Times New Roman" w:cs="Times New Roman"/>
          <w:i/>
          <w:iCs/>
          <w:sz w:val="20"/>
          <w:szCs w:val="20"/>
        </w:rPr>
        <w:t>33</w:t>
      </w:r>
      <w:r w:rsidRPr="008B4BB7">
        <w:rPr>
          <w:rFonts w:ascii="Times New Roman" w:hAnsi="Times New Roman" w:cs="Times New Roman"/>
          <w:sz w:val="20"/>
          <w:szCs w:val="20"/>
        </w:rPr>
        <w:t>(5), 315–318. https://doi.org/10.1016/j.canep.2009.10.003</w:t>
      </w:r>
    </w:p>
    <w:p w14:paraId="163804D5" w14:textId="77777777" w:rsidR="008B4BB7" w:rsidRPr="008B4BB7" w:rsidRDefault="008B4BB7" w:rsidP="008B4BB7">
      <w:pPr>
        <w:pStyle w:val="ListParagraph"/>
        <w:numPr>
          <w:ilvl w:val="0"/>
          <w:numId w:val="1"/>
        </w:numPr>
        <w:tabs>
          <w:tab w:val="left" w:pos="2830"/>
        </w:tabs>
        <w:spacing w:after="0"/>
        <w:jc w:val="both"/>
        <w:rPr>
          <w:rFonts w:ascii="Times New Roman" w:hAnsi="Times New Roman" w:cs="Times New Roman"/>
          <w:sz w:val="20"/>
          <w:szCs w:val="20"/>
        </w:rPr>
      </w:pPr>
      <w:r w:rsidRPr="008B4BB7">
        <w:rPr>
          <w:rFonts w:ascii="Times New Roman" w:hAnsi="Times New Roman" w:cs="Times New Roman"/>
          <w:sz w:val="20"/>
          <w:szCs w:val="20"/>
        </w:rPr>
        <w:t>Kim, J., Harper, A., McCormack, V. </w:t>
      </w:r>
      <w:r w:rsidRPr="008B4BB7">
        <w:rPr>
          <w:rFonts w:ascii="Times New Roman" w:hAnsi="Times New Roman" w:cs="Times New Roman"/>
          <w:i/>
          <w:iCs/>
          <w:sz w:val="20"/>
          <w:szCs w:val="20"/>
        </w:rPr>
        <w:t>et al.</w:t>
      </w:r>
      <w:r w:rsidRPr="008B4BB7">
        <w:rPr>
          <w:rFonts w:ascii="Times New Roman" w:hAnsi="Times New Roman" w:cs="Times New Roman"/>
          <w:sz w:val="20"/>
          <w:szCs w:val="20"/>
        </w:rPr>
        <w:t> Global patterns and trends in breast cancer incidence and mortality across 185 countries. </w:t>
      </w:r>
      <w:r w:rsidRPr="008B4BB7">
        <w:rPr>
          <w:rFonts w:ascii="Times New Roman" w:hAnsi="Times New Roman" w:cs="Times New Roman"/>
          <w:i/>
          <w:iCs/>
          <w:sz w:val="20"/>
          <w:szCs w:val="20"/>
        </w:rPr>
        <w:t>Nat Med</w:t>
      </w:r>
      <w:r w:rsidRPr="008B4BB7">
        <w:rPr>
          <w:rFonts w:ascii="Times New Roman" w:hAnsi="Times New Roman" w:cs="Times New Roman"/>
          <w:sz w:val="20"/>
          <w:szCs w:val="20"/>
        </w:rPr>
        <w:t xml:space="preserve"> (2025). </w:t>
      </w:r>
      <w:hyperlink r:id="rId19" w:history="1">
        <w:r w:rsidRPr="008B4BB7">
          <w:rPr>
            <w:rStyle w:val="Hyperlink"/>
            <w:rFonts w:ascii="Times New Roman" w:hAnsi="Times New Roman" w:cs="Times New Roman"/>
            <w:sz w:val="20"/>
            <w:szCs w:val="20"/>
          </w:rPr>
          <w:t>https://doi.org/10.1038/s41591-025-03502-3</w:t>
        </w:r>
      </w:hyperlink>
    </w:p>
    <w:p w14:paraId="7E1E2AE7" w14:textId="77777777" w:rsidR="008B4BB7" w:rsidRPr="008B4BB7" w:rsidRDefault="008B4BB7" w:rsidP="008B4BB7">
      <w:pPr>
        <w:pStyle w:val="ListParagraph"/>
        <w:numPr>
          <w:ilvl w:val="0"/>
          <w:numId w:val="1"/>
        </w:numPr>
        <w:tabs>
          <w:tab w:val="left" w:pos="2830"/>
        </w:tabs>
        <w:spacing w:after="0"/>
        <w:jc w:val="both"/>
        <w:rPr>
          <w:rFonts w:ascii="Times New Roman" w:hAnsi="Times New Roman" w:cs="Times New Roman"/>
          <w:sz w:val="20"/>
          <w:szCs w:val="20"/>
        </w:rPr>
      </w:pPr>
      <w:r w:rsidRPr="008B4BB7">
        <w:rPr>
          <w:rFonts w:ascii="Times New Roman" w:hAnsi="Times New Roman" w:cs="Times New Roman"/>
          <w:sz w:val="20"/>
          <w:szCs w:val="20"/>
        </w:rPr>
        <w:t xml:space="preserve">Zhu, B., Gu, H., Mao, Z., </w:t>
      </w:r>
      <w:proofErr w:type="spellStart"/>
      <w:r w:rsidRPr="008B4BB7">
        <w:rPr>
          <w:rFonts w:ascii="Times New Roman" w:hAnsi="Times New Roman" w:cs="Times New Roman"/>
          <w:sz w:val="20"/>
          <w:szCs w:val="20"/>
        </w:rPr>
        <w:t>Beeraka</w:t>
      </w:r>
      <w:proofErr w:type="spellEnd"/>
      <w:r w:rsidRPr="008B4BB7">
        <w:rPr>
          <w:rFonts w:ascii="Times New Roman" w:hAnsi="Times New Roman" w:cs="Times New Roman"/>
          <w:sz w:val="20"/>
          <w:szCs w:val="20"/>
        </w:rPr>
        <w:t xml:space="preserve">, N. M., Zhao, X., Mahesh Padukudru Anand, Zheng, Y., Zhao, R., Li, S., Prasath Manogaran, Fan, R., Nikolenko, V. N., Wen, H., </w:t>
      </w:r>
      <w:proofErr w:type="spellStart"/>
      <w:r w:rsidRPr="008B4BB7">
        <w:rPr>
          <w:rFonts w:ascii="Times New Roman" w:hAnsi="Times New Roman" w:cs="Times New Roman"/>
          <w:sz w:val="20"/>
          <w:szCs w:val="20"/>
        </w:rPr>
        <w:t>Basappa</w:t>
      </w:r>
      <w:proofErr w:type="spellEnd"/>
      <w:r w:rsidRPr="008B4BB7">
        <w:rPr>
          <w:rFonts w:ascii="Times New Roman" w:hAnsi="Times New Roman" w:cs="Times New Roman"/>
          <w:sz w:val="20"/>
          <w:szCs w:val="20"/>
        </w:rPr>
        <w:t xml:space="preserve"> </w:t>
      </w:r>
      <w:proofErr w:type="spellStart"/>
      <w:r w:rsidRPr="008B4BB7">
        <w:rPr>
          <w:rFonts w:ascii="Times New Roman" w:hAnsi="Times New Roman" w:cs="Times New Roman"/>
          <w:sz w:val="20"/>
          <w:szCs w:val="20"/>
        </w:rPr>
        <w:t>Basappa</w:t>
      </w:r>
      <w:proofErr w:type="spellEnd"/>
      <w:r w:rsidRPr="008B4BB7">
        <w:rPr>
          <w:rFonts w:ascii="Times New Roman" w:hAnsi="Times New Roman" w:cs="Times New Roman"/>
          <w:sz w:val="20"/>
          <w:szCs w:val="20"/>
        </w:rPr>
        <w:t xml:space="preserve">, &amp; Liu, J. (2024). Global burden of </w:t>
      </w:r>
      <w:proofErr w:type="spellStart"/>
      <w:r w:rsidRPr="008B4BB7">
        <w:rPr>
          <w:rFonts w:ascii="Times New Roman" w:hAnsi="Times New Roman" w:cs="Times New Roman"/>
          <w:sz w:val="20"/>
          <w:szCs w:val="20"/>
        </w:rPr>
        <w:t>gynaecological</w:t>
      </w:r>
      <w:proofErr w:type="spellEnd"/>
      <w:r w:rsidRPr="008B4BB7">
        <w:rPr>
          <w:rFonts w:ascii="Times New Roman" w:hAnsi="Times New Roman" w:cs="Times New Roman"/>
          <w:sz w:val="20"/>
          <w:szCs w:val="20"/>
        </w:rPr>
        <w:t xml:space="preserve"> cancers in 2022 and projections to 2050. </w:t>
      </w:r>
      <w:r w:rsidRPr="008B4BB7">
        <w:rPr>
          <w:rFonts w:ascii="Times New Roman" w:hAnsi="Times New Roman" w:cs="Times New Roman"/>
          <w:i/>
          <w:iCs/>
          <w:sz w:val="20"/>
          <w:szCs w:val="20"/>
        </w:rPr>
        <w:t>Journal of Global Health</w:t>
      </w:r>
      <w:r w:rsidRPr="008B4BB7">
        <w:rPr>
          <w:rFonts w:ascii="Times New Roman" w:hAnsi="Times New Roman" w:cs="Times New Roman"/>
          <w:sz w:val="20"/>
          <w:szCs w:val="20"/>
        </w:rPr>
        <w:t>, </w:t>
      </w:r>
      <w:r w:rsidRPr="008B4BB7">
        <w:rPr>
          <w:rFonts w:ascii="Times New Roman" w:hAnsi="Times New Roman" w:cs="Times New Roman"/>
          <w:i/>
          <w:iCs/>
          <w:sz w:val="20"/>
          <w:szCs w:val="20"/>
        </w:rPr>
        <w:t>14</w:t>
      </w:r>
      <w:r w:rsidRPr="008B4BB7">
        <w:rPr>
          <w:rFonts w:ascii="Times New Roman" w:hAnsi="Times New Roman" w:cs="Times New Roman"/>
          <w:sz w:val="20"/>
          <w:szCs w:val="20"/>
        </w:rPr>
        <w:t>. https://doi.org/10.7189/jogh.14.04155</w:t>
      </w:r>
    </w:p>
    <w:p w14:paraId="6660E3B7" w14:textId="77777777" w:rsidR="008B4BB7" w:rsidRPr="008B4BB7" w:rsidRDefault="008B4BB7" w:rsidP="008B4BB7">
      <w:pPr>
        <w:pStyle w:val="ListParagraph"/>
        <w:numPr>
          <w:ilvl w:val="0"/>
          <w:numId w:val="1"/>
        </w:numPr>
        <w:tabs>
          <w:tab w:val="left" w:pos="2830"/>
        </w:tabs>
        <w:spacing w:after="0"/>
        <w:jc w:val="both"/>
        <w:rPr>
          <w:rFonts w:ascii="Times New Roman" w:hAnsi="Times New Roman" w:cs="Times New Roman"/>
          <w:sz w:val="20"/>
          <w:szCs w:val="20"/>
        </w:rPr>
      </w:pPr>
      <w:r w:rsidRPr="008B4BB7">
        <w:rPr>
          <w:rFonts w:ascii="Times New Roman" w:hAnsi="Times New Roman" w:cs="Times New Roman"/>
          <w:sz w:val="20"/>
          <w:szCs w:val="20"/>
        </w:rPr>
        <w:t>Alizadeh-</w:t>
      </w:r>
      <w:proofErr w:type="spellStart"/>
      <w:r w:rsidRPr="008B4BB7">
        <w:rPr>
          <w:rFonts w:ascii="Times New Roman" w:hAnsi="Times New Roman" w:cs="Times New Roman"/>
          <w:sz w:val="20"/>
          <w:szCs w:val="20"/>
        </w:rPr>
        <w:t>Navaei</w:t>
      </w:r>
      <w:proofErr w:type="spellEnd"/>
      <w:r w:rsidRPr="008B4BB7">
        <w:rPr>
          <w:rFonts w:ascii="Times New Roman" w:hAnsi="Times New Roman" w:cs="Times New Roman"/>
          <w:sz w:val="20"/>
          <w:szCs w:val="20"/>
        </w:rPr>
        <w:t xml:space="preserve">, R., </w:t>
      </w:r>
      <w:proofErr w:type="spellStart"/>
      <w:r w:rsidRPr="008B4BB7">
        <w:rPr>
          <w:rFonts w:ascii="Times New Roman" w:hAnsi="Times New Roman" w:cs="Times New Roman"/>
          <w:sz w:val="20"/>
          <w:szCs w:val="20"/>
        </w:rPr>
        <w:t>Hedayatizadeh</w:t>
      </w:r>
      <w:proofErr w:type="spellEnd"/>
      <w:r w:rsidRPr="008B4BB7">
        <w:rPr>
          <w:rFonts w:ascii="Times New Roman" w:hAnsi="Times New Roman" w:cs="Times New Roman"/>
          <w:sz w:val="20"/>
          <w:szCs w:val="20"/>
        </w:rPr>
        <w:t xml:space="preserve">-Omran, A., Ashrafi, M., </w:t>
      </w:r>
      <w:proofErr w:type="spellStart"/>
      <w:r w:rsidRPr="008B4BB7">
        <w:rPr>
          <w:rFonts w:ascii="Times New Roman" w:hAnsi="Times New Roman" w:cs="Times New Roman"/>
          <w:sz w:val="20"/>
          <w:szCs w:val="20"/>
        </w:rPr>
        <w:t>Ghazizadeh</w:t>
      </w:r>
      <w:proofErr w:type="spellEnd"/>
      <w:r w:rsidRPr="008B4BB7">
        <w:rPr>
          <w:rFonts w:ascii="Times New Roman" w:hAnsi="Times New Roman" w:cs="Times New Roman"/>
          <w:sz w:val="20"/>
          <w:szCs w:val="20"/>
        </w:rPr>
        <w:t xml:space="preserve">, Z., Mousavi, R., </w:t>
      </w:r>
      <w:proofErr w:type="spellStart"/>
      <w:r w:rsidRPr="008B4BB7">
        <w:rPr>
          <w:rFonts w:ascii="Times New Roman" w:hAnsi="Times New Roman" w:cs="Times New Roman"/>
          <w:sz w:val="20"/>
          <w:szCs w:val="20"/>
        </w:rPr>
        <w:t>Shekarriz</w:t>
      </w:r>
      <w:proofErr w:type="spellEnd"/>
      <w:r w:rsidRPr="008B4BB7">
        <w:rPr>
          <w:rFonts w:ascii="Times New Roman" w:hAnsi="Times New Roman" w:cs="Times New Roman"/>
          <w:sz w:val="20"/>
          <w:szCs w:val="20"/>
        </w:rPr>
        <w:t xml:space="preserve">, R., </w:t>
      </w:r>
      <w:proofErr w:type="spellStart"/>
      <w:r w:rsidRPr="008B4BB7">
        <w:rPr>
          <w:rFonts w:ascii="Times New Roman" w:hAnsi="Times New Roman" w:cs="Times New Roman"/>
          <w:sz w:val="20"/>
          <w:szCs w:val="20"/>
        </w:rPr>
        <w:t>Jouybari</w:t>
      </w:r>
      <w:proofErr w:type="spellEnd"/>
      <w:r w:rsidRPr="008B4BB7">
        <w:rPr>
          <w:rFonts w:ascii="Times New Roman" w:hAnsi="Times New Roman" w:cs="Times New Roman"/>
          <w:sz w:val="20"/>
          <w:szCs w:val="20"/>
        </w:rPr>
        <w:t xml:space="preserve">, M., Zaboli, E., </w:t>
      </w:r>
      <w:proofErr w:type="spellStart"/>
      <w:r w:rsidRPr="008B4BB7">
        <w:rPr>
          <w:rFonts w:ascii="Times New Roman" w:hAnsi="Times New Roman" w:cs="Times New Roman"/>
          <w:sz w:val="20"/>
          <w:szCs w:val="20"/>
        </w:rPr>
        <w:t>Janbabaei</w:t>
      </w:r>
      <w:proofErr w:type="spellEnd"/>
      <w:r w:rsidRPr="008B4BB7">
        <w:rPr>
          <w:rFonts w:ascii="Times New Roman" w:hAnsi="Times New Roman" w:cs="Times New Roman"/>
          <w:sz w:val="20"/>
          <w:szCs w:val="20"/>
        </w:rPr>
        <w:t xml:space="preserve">, G., Moradi, S., Aarabi, M., </w:t>
      </w:r>
      <w:proofErr w:type="spellStart"/>
      <w:r w:rsidRPr="008B4BB7">
        <w:rPr>
          <w:rFonts w:ascii="Times New Roman" w:hAnsi="Times New Roman" w:cs="Times New Roman"/>
          <w:sz w:val="20"/>
          <w:szCs w:val="20"/>
        </w:rPr>
        <w:t>Moosazadeh</w:t>
      </w:r>
      <w:proofErr w:type="spellEnd"/>
      <w:r w:rsidRPr="008B4BB7">
        <w:rPr>
          <w:rFonts w:ascii="Times New Roman" w:hAnsi="Times New Roman" w:cs="Times New Roman"/>
          <w:sz w:val="20"/>
          <w:szCs w:val="20"/>
        </w:rPr>
        <w:t>, M., &amp; Eslami, P. (2018). Epidemiology of female reproductive cancers in Mazandaran Province (Northern Iran): Results of the Mazandaran population-based cancer registry. </w:t>
      </w:r>
      <w:r w:rsidRPr="008B4BB7">
        <w:rPr>
          <w:rFonts w:ascii="Times New Roman" w:hAnsi="Times New Roman" w:cs="Times New Roman"/>
          <w:i/>
          <w:iCs/>
          <w:sz w:val="20"/>
          <w:szCs w:val="20"/>
        </w:rPr>
        <w:t>Clinical Cancer Investigation Journal</w:t>
      </w:r>
      <w:r w:rsidRPr="008B4BB7">
        <w:rPr>
          <w:rFonts w:ascii="Times New Roman" w:hAnsi="Times New Roman" w:cs="Times New Roman"/>
          <w:sz w:val="20"/>
          <w:szCs w:val="20"/>
        </w:rPr>
        <w:t>, </w:t>
      </w:r>
      <w:r w:rsidRPr="008B4BB7">
        <w:rPr>
          <w:rFonts w:ascii="Times New Roman" w:hAnsi="Times New Roman" w:cs="Times New Roman"/>
          <w:i/>
          <w:iCs/>
          <w:sz w:val="20"/>
          <w:szCs w:val="20"/>
        </w:rPr>
        <w:t>7</w:t>
      </w:r>
      <w:r w:rsidRPr="008B4BB7">
        <w:rPr>
          <w:rFonts w:ascii="Times New Roman" w:hAnsi="Times New Roman" w:cs="Times New Roman"/>
          <w:sz w:val="20"/>
          <w:szCs w:val="20"/>
        </w:rPr>
        <w:t>(3), 87. https://doi.org/10.4103/ccij.ccij_11_18</w:t>
      </w:r>
    </w:p>
    <w:p w14:paraId="2E0CD0CD" w14:textId="77777777" w:rsidR="008B4BB7" w:rsidRPr="008B4BB7" w:rsidRDefault="008B4BB7" w:rsidP="008B4BB7">
      <w:pPr>
        <w:pStyle w:val="ListParagraph"/>
        <w:numPr>
          <w:ilvl w:val="0"/>
          <w:numId w:val="1"/>
        </w:numPr>
        <w:tabs>
          <w:tab w:val="left" w:pos="2830"/>
        </w:tabs>
        <w:spacing w:after="0"/>
        <w:jc w:val="both"/>
        <w:rPr>
          <w:rFonts w:ascii="Times New Roman" w:hAnsi="Times New Roman" w:cs="Times New Roman"/>
          <w:sz w:val="20"/>
          <w:szCs w:val="20"/>
        </w:rPr>
      </w:pPr>
      <w:r w:rsidRPr="008B4BB7">
        <w:rPr>
          <w:rFonts w:ascii="Times New Roman" w:hAnsi="Times New Roman" w:cs="Times New Roman"/>
          <w:sz w:val="20"/>
          <w:szCs w:val="20"/>
        </w:rPr>
        <w:t xml:space="preserve">Bray, F., </w:t>
      </w:r>
      <w:proofErr w:type="spellStart"/>
      <w:r w:rsidRPr="008B4BB7">
        <w:rPr>
          <w:rFonts w:ascii="Times New Roman" w:hAnsi="Times New Roman" w:cs="Times New Roman"/>
          <w:sz w:val="20"/>
          <w:szCs w:val="20"/>
        </w:rPr>
        <w:t>Laversanne</w:t>
      </w:r>
      <w:proofErr w:type="spellEnd"/>
      <w:r w:rsidRPr="008B4BB7">
        <w:rPr>
          <w:rFonts w:ascii="Times New Roman" w:hAnsi="Times New Roman" w:cs="Times New Roman"/>
          <w:sz w:val="20"/>
          <w:szCs w:val="20"/>
        </w:rPr>
        <w:t xml:space="preserve">, M., Sung, H., </w:t>
      </w:r>
      <w:proofErr w:type="spellStart"/>
      <w:r w:rsidRPr="008B4BB7">
        <w:rPr>
          <w:rFonts w:ascii="Times New Roman" w:hAnsi="Times New Roman" w:cs="Times New Roman"/>
          <w:sz w:val="20"/>
          <w:szCs w:val="20"/>
        </w:rPr>
        <w:t>Ferlay</w:t>
      </w:r>
      <w:proofErr w:type="spellEnd"/>
      <w:r w:rsidRPr="008B4BB7">
        <w:rPr>
          <w:rFonts w:ascii="Times New Roman" w:hAnsi="Times New Roman" w:cs="Times New Roman"/>
          <w:sz w:val="20"/>
          <w:szCs w:val="20"/>
        </w:rPr>
        <w:t xml:space="preserve">, J., Siegel, R. L., </w:t>
      </w:r>
      <w:proofErr w:type="spellStart"/>
      <w:r w:rsidRPr="008B4BB7">
        <w:rPr>
          <w:rFonts w:ascii="Times New Roman" w:hAnsi="Times New Roman" w:cs="Times New Roman"/>
          <w:sz w:val="20"/>
          <w:szCs w:val="20"/>
        </w:rPr>
        <w:t>Soerjomataram</w:t>
      </w:r>
      <w:proofErr w:type="spellEnd"/>
      <w:r w:rsidRPr="008B4BB7">
        <w:rPr>
          <w:rFonts w:ascii="Times New Roman" w:hAnsi="Times New Roman" w:cs="Times New Roman"/>
          <w:sz w:val="20"/>
          <w:szCs w:val="20"/>
        </w:rPr>
        <w:t>, I., &amp; Jemal, A. (2024). Global Cancer Statistics 2022: GLOBOCAN Estimates of Incidence and Mortality Worldwide for 36 Cancers in 185 Countries. </w:t>
      </w:r>
      <w:r w:rsidRPr="008B4BB7">
        <w:rPr>
          <w:rFonts w:ascii="Times New Roman" w:hAnsi="Times New Roman" w:cs="Times New Roman"/>
          <w:i/>
          <w:iCs/>
          <w:sz w:val="20"/>
          <w:szCs w:val="20"/>
        </w:rPr>
        <w:t>CA: A Cancer Journal for Clinicians</w:t>
      </w:r>
      <w:r w:rsidRPr="008B4BB7">
        <w:rPr>
          <w:rFonts w:ascii="Times New Roman" w:hAnsi="Times New Roman" w:cs="Times New Roman"/>
          <w:sz w:val="20"/>
          <w:szCs w:val="20"/>
        </w:rPr>
        <w:t>, </w:t>
      </w:r>
      <w:r w:rsidRPr="008B4BB7">
        <w:rPr>
          <w:rFonts w:ascii="Times New Roman" w:hAnsi="Times New Roman" w:cs="Times New Roman"/>
          <w:i/>
          <w:iCs/>
          <w:sz w:val="20"/>
          <w:szCs w:val="20"/>
        </w:rPr>
        <w:t>74</w:t>
      </w:r>
      <w:r w:rsidRPr="008B4BB7">
        <w:rPr>
          <w:rFonts w:ascii="Times New Roman" w:hAnsi="Times New Roman" w:cs="Times New Roman"/>
          <w:sz w:val="20"/>
          <w:szCs w:val="20"/>
        </w:rPr>
        <w:t>(3), 229–263. https://doi.org/10.3322/caac.21834</w:t>
      </w:r>
    </w:p>
    <w:p w14:paraId="3CB322D6" w14:textId="51E26936" w:rsidR="008B4BB7" w:rsidRPr="008B4BB7" w:rsidRDefault="008B4BB7" w:rsidP="008B4BB7">
      <w:pPr>
        <w:pStyle w:val="ListParagraph"/>
        <w:numPr>
          <w:ilvl w:val="0"/>
          <w:numId w:val="1"/>
        </w:numPr>
        <w:tabs>
          <w:tab w:val="left" w:pos="2830"/>
        </w:tabs>
        <w:spacing w:after="0"/>
        <w:jc w:val="both"/>
        <w:rPr>
          <w:rFonts w:ascii="Times New Roman" w:hAnsi="Times New Roman" w:cs="Times New Roman"/>
          <w:sz w:val="20"/>
          <w:szCs w:val="20"/>
        </w:rPr>
      </w:pPr>
      <w:r w:rsidRPr="008B4BB7">
        <w:rPr>
          <w:rFonts w:ascii="Times New Roman" w:hAnsi="Times New Roman" w:cs="Times New Roman"/>
          <w:sz w:val="20"/>
          <w:szCs w:val="20"/>
        </w:rPr>
        <w:t>Torre, L. A., Islami, F., Siegel, R. L., Ward, E. M., &amp; Jemal, A. (2017). Global Cancer in Women: Burden and Trends. </w:t>
      </w:r>
      <w:r w:rsidRPr="008B4BB7">
        <w:rPr>
          <w:rFonts w:ascii="Times New Roman" w:hAnsi="Times New Roman" w:cs="Times New Roman"/>
          <w:i/>
          <w:iCs/>
          <w:sz w:val="20"/>
          <w:szCs w:val="20"/>
        </w:rPr>
        <w:t>Cancer Epidemiology Biomarkers &amp; Prevention</w:t>
      </w:r>
      <w:r w:rsidRPr="008B4BB7">
        <w:rPr>
          <w:rFonts w:ascii="Times New Roman" w:hAnsi="Times New Roman" w:cs="Times New Roman"/>
          <w:sz w:val="20"/>
          <w:szCs w:val="20"/>
        </w:rPr>
        <w:t>, </w:t>
      </w:r>
      <w:r w:rsidRPr="008B4BB7">
        <w:rPr>
          <w:rFonts w:ascii="Times New Roman" w:hAnsi="Times New Roman" w:cs="Times New Roman"/>
          <w:i/>
          <w:iCs/>
          <w:sz w:val="20"/>
          <w:szCs w:val="20"/>
        </w:rPr>
        <w:t>26</w:t>
      </w:r>
      <w:r w:rsidRPr="008B4BB7">
        <w:rPr>
          <w:rFonts w:ascii="Times New Roman" w:hAnsi="Times New Roman" w:cs="Times New Roman"/>
          <w:sz w:val="20"/>
          <w:szCs w:val="20"/>
        </w:rPr>
        <w:t>(4), 444–457. https://doi.org/10.1158/1055-9965.epi-16-0858</w:t>
      </w:r>
    </w:p>
    <w:p w14:paraId="3F4C47D4" w14:textId="77777777" w:rsidR="008B4BB7" w:rsidRPr="008B4BB7" w:rsidRDefault="008B4BB7" w:rsidP="008B4BB7">
      <w:pPr>
        <w:pStyle w:val="ListParagraph"/>
        <w:numPr>
          <w:ilvl w:val="0"/>
          <w:numId w:val="1"/>
        </w:numPr>
        <w:tabs>
          <w:tab w:val="left" w:pos="2830"/>
        </w:tabs>
        <w:spacing w:after="0"/>
        <w:jc w:val="both"/>
        <w:rPr>
          <w:rFonts w:ascii="Times New Roman" w:hAnsi="Times New Roman" w:cs="Times New Roman"/>
          <w:sz w:val="20"/>
          <w:szCs w:val="20"/>
        </w:rPr>
      </w:pPr>
      <w:proofErr w:type="spellStart"/>
      <w:r w:rsidRPr="008B4BB7">
        <w:rPr>
          <w:rFonts w:ascii="Times New Roman" w:hAnsi="Times New Roman" w:cs="Times New Roman"/>
          <w:sz w:val="20"/>
          <w:szCs w:val="20"/>
        </w:rPr>
        <w:t>Franasiak</w:t>
      </w:r>
      <w:proofErr w:type="spellEnd"/>
      <w:r w:rsidRPr="008B4BB7">
        <w:rPr>
          <w:rFonts w:ascii="Times New Roman" w:hAnsi="Times New Roman" w:cs="Times New Roman"/>
          <w:sz w:val="20"/>
          <w:szCs w:val="20"/>
        </w:rPr>
        <w:t>, J. M., &amp; Scott, R. T. (2016). Demographics of Cancer in the Reproductive Age Female. </w:t>
      </w:r>
      <w:r w:rsidRPr="008B4BB7">
        <w:rPr>
          <w:rFonts w:ascii="Times New Roman" w:hAnsi="Times New Roman" w:cs="Times New Roman"/>
          <w:i/>
          <w:iCs/>
          <w:sz w:val="20"/>
          <w:szCs w:val="20"/>
        </w:rPr>
        <w:t>Current Clinical Urology</w:t>
      </w:r>
      <w:r w:rsidRPr="008B4BB7">
        <w:rPr>
          <w:rFonts w:ascii="Times New Roman" w:hAnsi="Times New Roman" w:cs="Times New Roman"/>
          <w:sz w:val="20"/>
          <w:szCs w:val="20"/>
        </w:rPr>
        <w:t>, 11–19. https://doi.org/10.1007/978-3-319-27711-0_2</w:t>
      </w:r>
    </w:p>
    <w:p w14:paraId="6C6C72EB" w14:textId="77777777" w:rsidR="008B4BB7" w:rsidRPr="008B4BB7" w:rsidRDefault="008B4BB7" w:rsidP="008B4BB7">
      <w:pPr>
        <w:pStyle w:val="ListParagraph"/>
        <w:numPr>
          <w:ilvl w:val="0"/>
          <w:numId w:val="1"/>
        </w:numPr>
        <w:tabs>
          <w:tab w:val="left" w:pos="2830"/>
        </w:tabs>
        <w:spacing w:after="0"/>
        <w:jc w:val="both"/>
        <w:rPr>
          <w:rFonts w:ascii="Times New Roman" w:hAnsi="Times New Roman" w:cs="Times New Roman"/>
          <w:sz w:val="20"/>
          <w:szCs w:val="20"/>
        </w:rPr>
      </w:pPr>
      <w:r w:rsidRPr="008B4BB7">
        <w:rPr>
          <w:rFonts w:ascii="Times New Roman" w:hAnsi="Times New Roman" w:cs="Times New Roman"/>
          <w:sz w:val="20"/>
          <w:szCs w:val="20"/>
        </w:rPr>
        <w:t>Sayed, K. (2021). Global burden of gynecological cancers. </w:t>
      </w:r>
      <w:r w:rsidRPr="008B4BB7">
        <w:rPr>
          <w:rFonts w:ascii="Times New Roman" w:hAnsi="Times New Roman" w:cs="Times New Roman"/>
          <w:i/>
          <w:iCs/>
          <w:sz w:val="20"/>
          <w:szCs w:val="20"/>
        </w:rPr>
        <w:t>LIAQUAT MEDICAL RESEARCH JOURNAL</w:t>
      </w:r>
      <w:r w:rsidRPr="008B4BB7">
        <w:rPr>
          <w:rFonts w:ascii="Times New Roman" w:hAnsi="Times New Roman" w:cs="Times New Roman"/>
          <w:sz w:val="20"/>
          <w:szCs w:val="20"/>
        </w:rPr>
        <w:t>, </w:t>
      </w:r>
      <w:r w:rsidRPr="008B4BB7">
        <w:rPr>
          <w:rFonts w:ascii="Times New Roman" w:hAnsi="Times New Roman" w:cs="Times New Roman"/>
          <w:i/>
          <w:iCs/>
          <w:sz w:val="20"/>
          <w:szCs w:val="20"/>
        </w:rPr>
        <w:t>3</w:t>
      </w:r>
      <w:r w:rsidRPr="008B4BB7">
        <w:rPr>
          <w:rFonts w:ascii="Times New Roman" w:hAnsi="Times New Roman" w:cs="Times New Roman"/>
          <w:sz w:val="20"/>
          <w:szCs w:val="20"/>
        </w:rPr>
        <w:t>(4), 86–89. https://doi.org/10.38106/lmrj.2021.3.04-01</w:t>
      </w:r>
    </w:p>
    <w:p w14:paraId="17819896" w14:textId="75EB11E2" w:rsidR="008B4BB7" w:rsidRPr="008B4BB7" w:rsidRDefault="008B4BB7" w:rsidP="008B4BB7">
      <w:pPr>
        <w:pStyle w:val="ListParagraph"/>
        <w:numPr>
          <w:ilvl w:val="0"/>
          <w:numId w:val="1"/>
        </w:numPr>
        <w:tabs>
          <w:tab w:val="left" w:pos="2830"/>
        </w:tabs>
        <w:spacing w:after="0"/>
        <w:jc w:val="both"/>
        <w:rPr>
          <w:rFonts w:ascii="Times New Roman" w:hAnsi="Times New Roman" w:cs="Times New Roman"/>
          <w:sz w:val="20"/>
          <w:szCs w:val="20"/>
        </w:rPr>
      </w:pPr>
      <w:r w:rsidRPr="008B4BB7">
        <w:rPr>
          <w:rFonts w:ascii="Times New Roman" w:hAnsi="Times New Roman" w:cs="Times New Roman"/>
          <w:sz w:val="20"/>
          <w:szCs w:val="20"/>
        </w:rPr>
        <w:lastRenderedPageBreak/>
        <w:t>Sawant, L., &amp; Udar, A. B. (2023). </w:t>
      </w:r>
      <w:r w:rsidRPr="008B4BB7">
        <w:rPr>
          <w:rFonts w:ascii="Times New Roman" w:hAnsi="Times New Roman" w:cs="Times New Roman"/>
          <w:i/>
          <w:iCs/>
          <w:sz w:val="20"/>
          <w:szCs w:val="20"/>
        </w:rPr>
        <w:t>BREAST CANCER OPPORTUNITIES AND CHALLENGES</w:t>
      </w:r>
      <w:r w:rsidRPr="008B4BB7">
        <w:rPr>
          <w:rFonts w:ascii="Times New Roman" w:hAnsi="Times New Roman" w:cs="Times New Roman"/>
          <w:sz w:val="20"/>
          <w:szCs w:val="20"/>
        </w:rPr>
        <w:t xml:space="preserve">. Semantic Scholar; Medicine. </w:t>
      </w:r>
      <w:hyperlink r:id="rId20" w:history="1">
        <w:r w:rsidRPr="008B4BB7">
          <w:rPr>
            <w:rStyle w:val="Hyperlink"/>
            <w:rFonts w:ascii="Times New Roman" w:hAnsi="Times New Roman" w:cs="Times New Roman"/>
            <w:sz w:val="20"/>
            <w:szCs w:val="20"/>
          </w:rPr>
          <w:t>https://www.semanticscholar.org/paper/BREAST-CANCER-OPPORTUNITIES-AND-CHALLENGES-Sawant Udar/7a074bcea83ef58fa484eea734e3c3fe81102945</w:t>
        </w:r>
      </w:hyperlink>
    </w:p>
    <w:p w14:paraId="61C765AB" w14:textId="77777777" w:rsidR="008B4BB7" w:rsidRPr="008B4BB7" w:rsidRDefault="008B4BB7" w:rsidP="008B4BB7">
      <w:pPr>
        <w:pStyle w:val="ListParagraph"/>
        <w:numPr>
          <w:ilvl w:val="0"/>
          <w:numId w:val="1"/>
        </w:numPr>
        <w:tabs>
          <w:tab w:val="left" w:pos="2830"/>
        </w:tabs>
        <w:spacing w:after="0"/>
        <w:jc w:val="both"/>
        <w:rPr>
          <w:rFonts w:ascii="Times New Roman" w:hAnsi="Times New Roman" w:cs="Times New Roman"/>
          <w:sz w:val="20"/>
          <w:szCs w:val="20"/>
        </w:rPr>
      </w:pPr>
      <w:r w:rsidRPr="008B4BB7">
        <w:rPr>
          <w:rFonts w:ascii="Times New Roman" w:hAnsi="Times New Roman" w:cs="Times New Roman"/>
          <w:sz w:val="20"/>
          <w:szCs w:val="20"/>
        </w:rPr>
        <w:t xml:space="preserve">Masoud, V., &amp; </w:t>
      </w:r>
      <w:proofErr w:type="spellStart"/>
      <w:r w:rsidRPr="008B4BB7">
        <w:rPr>
          <w:rFonts w:ascii="Times New Roman" w:hAnsi="Times New Roman" w:cs="Times New Roman"/>
          <w:sz w:val="20"/>
          <w:szCs w:val="20"/>
        </w:rPr>
        <w:t>Pagès</w:t>
      </w:r>
      <w:proofErr w:type="spellEnd"/>
      <w:r w:rsidRPr="008B4BB7">
        <w:rPr>
          <w:rFonts w:ascii="Times New Roman" w:hAnsi="Times New Roman" w:cs="Times New Roman"/>
          <w:sz w:val="20"/>
          <w:szCs w:val="20"/>
        </w:rPr>
        <w:t>, G. (2017). Targeted therapies in breast cancer: New challenges to fight against resistance. </w:t>
      </w:r>
      <w:r w:rsidRPr="008B4BB7">
        <w:rPr>
          <w:rFonts w:ascii="Times New Roman" w:hAnsi="Times New Roman" w:cs="Times New Roman"/>
          <w:i/>
          <w:iCs/>
          <w:sz w:val="20"/>
          <w:szCs w:val="20"/>
        </w:rPr>
        <w:t>World Journal of Clinical Oncology</w:t>
      </w:r>
      <w:r w:rsidRPr="008B4BB7">
        <w:rPr>
          <w:rFonts w:ascii="Times New Roman" w:hAnsi="Times New Roman" w:cs="Times New Roman"/>
          <w:sz w:val="20"/>
          <w:szCs w:val="20"/>
        </w:rPr>
        <w:t>, </w:t>
      </w:r>
      <w:r w:rsidRPr="008B4BB7">
        <w:rPr>
          <w:rFonts w:ascii="Times New Roman" w:hAnsi="Times New Roman" w:cs="Times New Roman"/>
          <w:i/>
          <w:iCs/>
          <w:sz w:val="20"/>
          <w:szCs w:val="20"/>
        </w:rPr>
        <w:t>8</w:t>
      </w:r>
      <w:r w:rsidRPr="008B4BB7">
        <w:rPr>
          <w:rFonts w:ascii="Times New Roman" w:hAnsi="Times New Roman" w:cs="Times New Roman"/>
          <w:sz w:val="20"/>
          <w:szCs w:val="20"/>
        </w:rPr>
        <w:t>(2), 120. https://doi.org/10.5306/wjco.v8.i2.120</w:t>
      </w:r>
    </w:p>
    <w:p w14:paraId="39942D49" w14:textId="561A0010" w:rsidR="008B4BB7" w:rsidRPr="008B4BB7" w:rsidRDefault="008B4BB7" w:rsidP="008B4BB7">
      <w:pPr>
        <w:pStyle w:val="ListParagraph"/>
        <w:numPr>
          <w:ilvl w:val="0"/>
          <w:numId w:val="1"/>
        </w:numPr>
        <w:tabs>
          <w:tab w:val="left" w:pos="2830"/>
        </w:tabs>
        <w:spacing w:after="0"/>
        <w:jc w:val="both"/>
        <w:rPr>
          <w:rFonts w:ascii="Times New Roman" w:hAnsi="Times New Roman" w:cs="Times New Roman"/>
          <w:sz w:val="20"/>
          <w:szCs w:val="20"/>
        </w:rPr>
      </w:pPr>
      <w:r w:rsidRPr="008B4BB7">
        <w:rPr>
          <w:rFonts w:ascii="Times New Roman" w:hAnsi="Times New Roman" w:cs="Times New Roman"/>
          <w:sz w:val="20"/>
          <w:szCs w:val="20"/>
        </w:rPr>
        <w:t>Isha Shah, &amp; Nensi Raytthatha. (2021). A Brief Review on Breast cancer treatment and current challenges. </w:t>
      </w:r>
      <w:r w:rsidRPr="008B4BB7">
        <w:rPr>
          <w:rFonts w:ascii="Times New Roman" w:hAnsi="Times New Roman" w:cs="Times New Roman"/>
          <w:i/>
          <w:iCs/>
          <w:sz w:val="20"/>
          <w:szCs w:val="20"/>
        </w:rPr>
        <w:t>World Journal of Current Medical and Pharmaceutical Research</w:t>
      </w:r>
      <w:r w:rsidRPr="008B4BB7">
        <w:rPr>
          <w:rFonts w:ascii="Times New Roman" w:hAnsi="Times New Roman" w:cs="Times New Roman"/>
          <w:sz w:val="20"/>
          <w:szCs w:val="20"/>
        </w:rPr>
        <w:t>, 27–31. https://doi.org/10.37022/wjcmpr.vi.170</w:t>
      </w:r>
    </w:p>
    <w:p w14:paraId="049A0D09" w14:textId="77777777" w:rsidR="008B4BB7" w:rsidRPr="008B4BB7" w:rsidRDefault="008B4BB7" w:rsidP="008B4BB7">
      <w:pPr>
        <w:pStyle w:val="ListParagraph"/>
        <w:numPr>
          <w:ilvl w:val="0"/>
          <w:numId w:val="1"/>
        </w:numPr>
        <w:tabs>
          <w:tab w:val="left" w:pos="2830"/>
        </w:tabs>
        <w:spacing w:after="0"/>
        <w:jc w:val="both"/>
        <w:rPr>
          <w:rFonts w:ascii="Times New Roman" w:hAnsi="Times New Roman" w:cs="Times New Roman"/>
          <w:sz w:val="20"/>
          <w:szCs w:val="20"/>
        </w:rPr>
      </w:pPr>
      <w:r w:rsidRPr="008B4BB7">
        <w:rPr>
          <w:rFonts w:ascii="Times New Roman" w:hAnsi="Times New Roman" w:cs="Times New Roman"/>
          <w:sz w:val="20"/>
          <w:szCs w:val="20"/>
        </w:rPr>
        <w:t>Fahad Ullah, M. (2019). Breast Cancer: Current Perspectives on the Disease Status. </w:t>
      </w:r>
      <w:r w:rsidRPr="008B4BB7">
        <w:rPr>
          <w:rFonts w:ascii="Times New Roman" w:hAnsi="Times New Roman" w:cs="Times New Roman"/>
          <w:i/>
          <w:iCs/>
          <w:sz w:val="20"/>
          <w:szCs w:val="20"/>
        </w:rPr>
        <w:t>Advances in Experimental Medicine and Biology</w:t>
      </w:r>
      <w:r w:rsidRPr="008B4BB7">
        <w:rPr>
          <w:rFonts w:ascii="Times New Roman" w:hAnsi="Times New Roman" w:cs="Times New Roman"/>
          <w:sz w:val="20"/>
          <w:szCs w:val="20"/>
        </w:rPr>
        <w:t>, </w:t>
      </w:r>
      <w:r w:rsidRPr="008B4BB7">
        <w:rPr>
          <w:rFonts w:ascii="Times New Roman" w:hAnsi="Times New Roman" w:cs="Times New Roman"/>
          <w:i/>
          <w:iCs/>
          <w:sz w:val="20"/>
          <w:szCs w:val="20"/>
        </w:rPr>
        <w:t>1152</w:t>
      </w:r>
      <w:r w:rsidRPr="008B4BB7">
        <w:rPr>
          <w:rFonts w:ascii="Times New Roman" w:hAnsi="Times New Roman" w:cs="Times New Roman"/>
          <w:sz w:val="20"/>
          <w:szCs w:val="20"/>
        </w:rPr>
        <w:t>, 51–64. https://doi.org/10.1007/978-3-030-20301-6_4</w:t>
      </w:r>
    </w:p>
    <w:p w14:paraId="24F2B8A3" w14:textId="77777777" w:rsidR="008B4BB7" w:rsidRPr="008B4BB7" w:rsidRDefault="008B4BB7" w:rsidP="008B4BB7">
      <w:pPr>
        <w:pStyle w:val="ListParagraph"/>
        <w:numPr>
          <w:ilvl w:val="0"/>
          <w:numId w:val="1"/>
        </w:numPr>
        <w:tabs>
          <w:tab w:val="left" w:pos="2830"/>
        </w:tabs>
        <w:spacing w:after="0"/>
        <w:jc w:val="both"/>
        <w:rPr>
          <w:rFonts w:ascii="Times New Roman" w:hAnsi="Times New Roman" w:cs="Times New Roman"/>
          <w:sz w:val="20"/>
          <w:szCs w:val="20"/>
        </w:rPr>
      </w:pPr>
      <w:r w:rsidRPr="008B4BB7">
        <w:rPr>
          <w:rFonts w:ascii="Times New Roman" w:hAnsi="Times New Roman" w:cs="Times New Roman"/>
          <w:sz w:val="20"/>
          <w:szCs w:val="20"/>
        </w:rPr>
        <w:t xml:space="preserve">Cumber, S. N., </w:t>
      </w:r>
      <w:proofErr w:type="spellStart"/>
      <w:r w:rsidRPr="008B4BB7">
        <w:rPr>
          <w:rFonts w:ascii="Times New Roman" w:hAnsi="Times New Roman" w:cs="Times New Roman"/>
          <w:sz w:val="20"/>
          <w:szCs w:val="20"/>
        </w:rPr>
        <w:t>Nchanji</w:t>
      </w:r>
      <w:proofErr w:type="spellEnd"/>
      <w:r w:rsidRPr="008B4BB7">
        <w:rPr>
          <w:rFonts w:ascii="Times New Roman" w:hAnsi="Times New Roman" w:cs="Times New Roman"/>
          <w:sz w:val="20"/>
          <w:szCs w:val="20"/>
        </w:rPr>
        <w:t>, K. N., &amp; Tsoka-</w:t>
      </w:r>
      <w:proofErr w:type="spellStart"/>
      <w:r w:rsidRPr="008B4BB7">
        <w:rPr>
          <w:rFonts w:ascii="Times New Roman" w:hAnsi="Times New Roman" w:cs="Times New Roman"/>
          <w:sz w:val="20"/>
          <w:szCs w:val="20"/>
        </w:rPr>
        <w:t>Gwegweni</w:t>
      </w:r>
      <w:proofErr w:type="spellEnd"/>
      <w:r w:rsidRPr="008B4BB7">
        <w:rPr>
          <w:rFonts w:ascii="Times New Roman" w:hAnsi="Times New Roman" w:cs="Times New Roman"/>
          <w:sz w:val="20"/>
          <w:szCs w:val="20"/>
        </w:rPr>
        <w:t>, J. M. (2017). Breast cancer among women in sub-Saharan Africa: prevalence and a situational analysis. </w:t>
      </w:r>
      <w:r w:rsidRPr="008B4BB7">
        <w:rPr>
          <w:rFonts w:ascii="Times New Roman" w:hAnsi="Times New Roman" w:cs="Times New Roman"/>
          <w:i/>
          <w:iCs/>
          <w:sz w:val="20"/>
          <w:szCs w:val="20"/>
        </w:rPr>
        <w:t xml:space="preserve">Southern African Journal of </w:t>
      </w:r>
      <w:proofErr w:type="spellStart"/>
      <w:r w:rsidRPr="008B4BB7">
        <w:rPr>
          <w:rFonts w:ascii="Times New Roman" w:hAnsi="Times New Roman" w:cs="Times New Roman"/>
          <w:i/>
          <w:iCs/>
          <w:sz w:val="20"/>
          <w:szCs w:val="20"/>
        </w:rPr>
        <w:t>Gynaecological</w:t>
      </w:r>
      <w:proofErr w:type="spellEnd"/>
      <w:r w:rsidRPr="008B4BB7">
        <w:rPr>
          <w:rFonts w:ascii="Times New Roman" w:hAnsi="Times New Roman" w:cs="Times New Roman"/>
          <w:i/>
          <w:iCs/>
          <w:sz w:val="20"/>
          <w:szCs w:val="20"/>
        </w:rPr>
        <w:t xml:space="preserve"> Oncology</w:t>
      </w:r>
      <w:r w:rsidRPr="008B4BB7">
        <w:rPr>
          <w:rFonts w:ascii="Times New Roman" w:hAnsi="Times New Roman" w:cs="Times New Roman"/>
          <w:sz w:val="20"/>
          <w:szCs w:val="20"/>
        </w:rPr>
        <w:t>, </w:t>
      </w:r>
      <w:r w:rsidRPr="008B4BB7">
        <w:rPr>
          <w:rFonts w:ascii="Times New Roman" w:hAnsi="Times New Roman" w:cs="Times New Roman"/>
          <w:i/>
          <w:iCs/>
          <w:sz w:val="20"/>
          <w:szCs w:val="20"/>
        </w:rPr>
        <w:t>9</w:t>
      </w:r>
      <w:r w:rsidRPr="008B4BB7">
        <w:rPr>
          <w:rFonts w:ascii="Times New Roman" w:hAnsi="Times New Roman" w:cs="Times New Roman"/>
          <w:sz w:val="20"/>
          <w:szCs w:val="20"/>
        </w:rPr>
        <w:t>(2), 35–37. https://doi.org/10.1080/20742835.2017.1391467</w:t>
      </w:r>
    </w:p>
    <w:p w14:paraId="0EA1F8B2" w14:textId="77777777" w:rsidR="008B4BB7" w:rsidRPr="008B4BB7" w:rsidRDefault="008B4BB7" w:rsidP="008B4BB7">
      <w:pPr>
        <w:pStyle w:val="ListParagraph"/>
        <w:numPr>
          <w:ilvl w:val="0"/>
          <w:numId w:val="1"/>
        </w:numPr>
        <w:tabs>
          <w:tab w:val="left" w:pos="2830"/>
        </w:tabs>
        <w:spacing w:after="0"/>
        <w:jc w:val="both"/>
        <w:rPr>
          <w:rFonts w:ascii="Times New Roman" w:hAnsi="Times New Roman" w:cs="Times New Roman"/>
          <w:sz w:val="20"/>
          <w:szCs w:val="20"/>
        </w:rPr>
      </w:pPr>
      <w:r w:rsidRPr="008B4BB7">
        <w:rPr>
          <w:rFonts w:ascii="Times New Roman" w:hAnsi="Times New Roman" w:cs="Times New Roman"/>
          <w:sz w:val="20"/>
          <w:szCs w:val="20"/>
        </w:rPr>
        <w:t>Ali Salman, R. (2023). Prevalence of women breast cancer. </w:t>
      </w:r>
      <w:r w:rsidRPr="008B4BB7">
        <w:rPr>
          <w:rFonts w:ascii="Times New Roman" w:hAnsi="Times New Roman" w:cs="Times New Roman"/>
          <w:i/>
          <w:iCs/>
          <w:sz w:val="20"/>
          <w:szCs w:val="20"/>
        </w:rPr>
        <w:t>Cellular, Molecular and Biomedical Reports</w:t>
      </w:r>
      <w:r w:rsidRPr="008B4BB7">
        <w:rPr>
          <w:rFonts w:ascii="Times New Roman" w:hAnsi="Times New Roman" w:cs="Times New Roman"/>
          <w:sz w:val="20"/>
          <w:szCs w:val="20"/>
        </w:rPr>
        <w:t>, </w:t>
      </w:r>
      <w:r w:rsidRPr="008B4BB7">
        <w:rPr>
          <w:rFonts w:ascii="Times New Roman" w:hAnsi="Times New Roman" w:cs="Times New Roman"/>
          <w:i/>
          <w:iCs/>
          <w:sz w:val="20"/>
          <w:szCs w:val="20"/>
        </w:rPr>
        <w:t>3</w:t>
      </w:r>
      <w:r w:rsidRPr="008B4BB7">
        <w:rPr>
          <w:rFonts w:ascii="Times New Roman" w:hAnsi="Times New Roman" w:cs="Times New Roman"/>
          <w:sz w:val="20"/>
          <w:szCs w:val="20"/>
        </w:rPr>
        <w:t>(4), 185–196. https://doi.org/10.55705/cmbr.2023.384467.1095</w:t>
      </w:r>
    </w:p>
    <w:p w14:paraId="76CE6FF8" w14:textId="77777777" w:rsidR="008B4BB7" w:rsidRPr="008B4BB7" w:rsidRDefault="008B4BB7" w:rsidP="008B4BB7">
      <w:pPr>
        <w:pStyle w:val="ListParagraph"/>
        <w:numPr>
          <w:ilvl w:val="0"/>
          <w:numId w:val="1"/>
        </w:numPr>
        <w:tabs>
          <w:tab w:val="left" w:pos="2830"/>
        </w:tabs>
        <w:spacing w:after="0"/>
        <w:jc w:val="both"/>
        <w:rPr>
          <w:rFonts w:ascii="Times New Roman" w:hAnsi="Times New Roman" w:cs="Times New Roman"/>
          <w:sz w:val="20"/>
          <w:szCs w:val="20"/>
        </w:rPr>
      </w:pPr>
      <w:r w:rsidRPr="008B4BB7">
        <w:rPr>
          <w:rFonts w:ascii="Times New Roman" w:hAnsi="Times New Roman" w:cs="Times New Roman"/>
          <w:sz w:val="20"/>
          <w:szCs w:val="20"/>
        </w:rPr>
        <w:t xml:space="preserve">Sonalika, S., Mishra, S. S., </w:t>
      </w:r>
      <w:proofErr w:type="spellStart"/>
      <w:r w:rsidRPr="008B4BB7">
        <w:rPr>
          <w:rFonts w:ascii="Times New Roman" w:hAnsi="Times New Roman" w:cs="Times New Roman"/>
          <w:sz w:val="20"/>
          <w:szCs w:val="20"/>
        </w:rPr>
        <w:t>Mahapatro</w:t>
      </w:r>
      <w:proofErr w:type="spellEnd"/>
      <w:r w:rsidRPr="008B4BB7">
        <w:rPr>
          <w:rFonts w:ascii="Times New Roman" w:hAnsi="Times New Roman" w:cs="Times New Roman"/>
          <w:sz w:val="20"/>
          <w:szCs w:val="20"/>
        </w:rPr>
        <w:t>, S., &amp; Sahoo, D. (2023). Advancements and Challenges in Breast Cancer: A Comprehensive Review. </w:t>
      </w:r>
      <w:r w:rsidRPr="008B4BB7">
        <w:rPr>
          <w:rFonts w:ascii="Times New Roman" w:hAnsi="Times New Roman" w:cs="Times New Roman"/>
          <w:i/>
          <w:iCs/>
          <w:sz w:val="20"/>
          <w:szCs w:val="20"/>
        </w:rPr>
        <w:t>Medical Research Archives</w:t>
      </w:r>
      <w:r w:rsidRPr="008B4BB7">
        <w:rPr>
          <w:rFonts w:ascii="Times New Roman" w:hAnsi="Times New Roman" w:cs="Times New Roman"/>
          <w:sz w:val="20"/>
          <w:szCs w:val="20"/>
        </w:rPr>
        <w:t>, </w:t>
      </w:r>
      <w:r w:rsidRPr="008B4BB7">
        <w:rPr>
          <w:rFonts w:ascii="Times New Roman" w:hAnsi="Times New Roman" w:cs="Times New Roman"/>
          <w:i/>
          <w:iCs/>
          <w:sz w:val="20"/>
          <w:szCs w:val="20"/>
        </w:rPr>
        <w:t>11</w:t>
      </w:r>
      <w:r w:rsidRPr="008B4BB7">
        <w:rPr>
          <w:rFonts w:ascii="Times New Roman" w:hAnsi="Times New Roman" w:cs="Times New Roman"/>
          <w:sz w:val="20"/>
          <w:szCs w:val="20"/>
        </w:rPr>
        <w:t>(6). https://doi.org/10.18103/mra.v11i6.3944</w:t>
      </w:r>
    </w:p>
    <w:p w14:paraId="7876264C" w14:textId="588B4A46" w:rsidR="008B4BB7" w:rsidRPr="008B4BB7" w:rsidRDefault="008B4BB7" w:rsidP="008B4BB7">
      <w:pPr>
        <w:pStyle w:val="ListParagraph"/>
        <w:numPr>
          <w:ilvl w:val="0"/>
          <w:numId w:val="1"/>
        </w:numPr>
        <w:tabs>
          <w:tab w:val="left" w:pos="2830"/>
        </w:tabs>
        <w:spacing w:after="0"/>
        <w:jc w:val="both"/>
        <w:rPr>
          <w:rFonts w:ascii="Times New Roman" w:hAnsi="Times New Roman" w:cs="Times New Roman"/>
          <w:sz w:val="20"/>
          <w:szCs w:val="20"/>
        </w:rPr>
      </w:pPr>
      <w:r w:rsidRPr="008B4BB7">
        <w:rPr>
          <w:rFonts w:ascii="Times New Roman" w:hAnsi="Times New Roman" w:cs="Times New Roman"/>
          <w:sz w:val="20"/>
          <w:szCs w:val="20"/>
        </w:rPr>
        <w:t>Ahmed, S., Mirzaei, H., Aschner, M., Khan, A., Al-</w:t>
      </w:r>
      <w:proofErr w:type="spellStart"/>
      <w:r w:rsidRPr="008B4BB7">
        <w:rPr>
          <w:rFonts w:ascii="Times New Roman" w:hAnsi="Times New Roman" w:cs="Times New Roman"/>
          <w:sz w:val="20"/>
          <w:szCs w:val="20"/>
        </w:rPr>
        <w:t>Harrasi</w:t>
      </w:r>
      <w:proofErr w:type="spellEnd"/>
      <w:r w:rsidRPr="008B4BB7">
        <w:rPr>
          <w:rFonts w:ascii="Times New Roman" w:hAnsi="Times New Roman" w:cs="Times New Roman"/>
          <w:sz w:val="20"/>
          <w:szCs w:val="20"/>
        </w:rPr>
        <w:t>, A., &amp; Khan, H. (2021). Marine peptides in breast cancer: Therapeutic and mechanistic understanding. </w:t>
      </w:r>
      <w:r w:rsidRPr="008B4BB7">
        <w:rPr>
          <w:rFonts w:ascii="Times New Roman" w:hAnsi="Times New Roman" w:cs="Times New Roman"/>
          <w:i/>
          <w:iCs/>
          <w:sz w:val="20"/>
          <w:szCs w:val="20"/>
        </w:rPr>
        <w:t>Biomedicine &amp; Pharmacotherapy</w:t>
      </w:r>
      <w:r w:rsidRPr="008B4BB7">
        <w:rPr>
          <w:rFonts w:ascii="Times New Roman" w:hAnsi="Times New Roman" w:cs="Times New Roman"/>
          <w:sz w:val="20"/>
          <w:szCs w:val="20"/>
        </w:rPr>
        <w:t>, </w:t>
      </w:r>
      <w:r w:rsidRPr="008B4BB7">
        <w:rPr>
          <w:rFonts w:ascii="Times New Roman" w:hAnsi="Times New Roman" w:cs="Times New Roman"/>
          <w:i/>
          <w:iCs/>
          <w:sz w:val="20"/>
          <w:szCs w:val="20"/>
        </w:rPr>
        <w:t>142</w:t>
      </w:r>
      <w:r w:rsidRPr="008B4BB7">
        <w:rPr>
          <w:rFonts w:ascii="Times New Roman" w:hAnsi="Times New Roman" w:cs="Times New Roman"/>
          <w:sz w:val="20"/>
          <w:szCs w:val="20"/>
        </w:rPr>
        <w:t>, 112038. https://doi.org/10.1016/j.biopha.2021.112038</w:t>
      </w:r>
    </w:p>
    <w:p w14:paraId="44426E13" w14:textId="0A5BA283" w:rsidR="008B4BB7" w:rsidRPr="008B4BB7" w:rsidRDefault="008B4BB7" w:rsidP="008B4BB7">
      <w:pPr>
        <w:pStyle w:val="ListParagraph"/>
        <w:numPr>
          <w:ilvl w:val="0"/>
          <w:numId w:val="1"/>
        </w:numPr>
        <w:tabs>
          <w:tab w:val="left" w:pos="2830"/>
        </w:tabs>
        <w:spacing w:after="0"/>
        <w:jc w:val="both"/>
        <w:rPr>
          <w:rFonts w:ascii="Times New Roman" w:hAnsi="Times New Roman" w:cs="Times New Roman"/>
          <w:sz w:val="20"/>
          <w:szCs w:val="20"/>
        </w:rPr>
      </w:pPr>
      <w:r w:rsidRPr="008B4BB7">
        <w:rPr>
          <w:rFonts w:ascii="Times New Roman" w:hAnsi="Times New Roman" w:cs="Times New Roman"/>
          <w:sz w:val="20"/>
          <w:szCs w:val="20"/>
        </w:rPr>
        <w:t xml:space="preserve">Samad     </w:t>
      </w:r>
      <w:proofErr w:type="spellStart"/>
      <w:r w:rsidRPr="008B4BB7">
        <w:rPr>
          <w:rFonts w:ascii="Times New Roman" w:hAnsi="Times New Roman" w:cs="Times New Roman"/>
          <w:sz w:val="20"/>
          <w:szCs w:val="20"/>
        </w:rPr>
        <w:t>Beheshtirouy</w:t>
      </w:r>
      <w:proofErr w:type="spellEnd"/>
      <w:r w:rsidRPr="008B4BB7">
        <w:rPr>
          <w:rFonts w:ascii="Times New Roman" w:hAnsi="Times New Roman" w:cs="Times New Roman"/>
          <w:sz w:val="20"/>
          <w:szCs w:val="20"/>
        </w:rPr>
        <w:t xml:space="preserve">, Farhad     Mirzaei, Shirin     </w:t>
      </w:r>
      <w:proofErr w:type="spellStart"/>
      <w:r w:rsidRPr="008B4BB7">
        <w:rPr>
          <w:rFonts w:ascii="Times New Roman" w:hAnsi="Times New Roman" w:cs="Times New Roman"/>
          <w:sz w:val="20"/>
          <w:szCs w:val="20"/>
        </w:rPr>
        <w:t>Eyvazi</w:t>
      </w:r>
      <w:proofErr w:type="spellEnd"/>
      <w:r w:rsidRPr="008B4BB7">
        <w:rPr>
          <w:rFonts w:ascii="Times New Roman" w:hAnsi="Times New Roman" w:cs="Times New Roman"/>
          <w:sz w:val="20"/>
          <w:szCs w:val="20"/>
        </w:rPr>
        <w:t xml:space="preserve">, </w:t>
      </w:r>
      <w:proofErr w:type="spellStart"/>
      <w:r w:rsidRPr="008B4BB7">
        <w:rPr>
          <w:rFonts w:ascii="Times New Roman" w:hAnsi="Times New Roman" w:cs="Times New Roman"/>
          <w:sz w:val="20"/>
          <w:szCs w:val="20"/>
        </w:rPr>
        <w:t>Vahideh</w:t>
      </w:r>
      <w:proofErr w:type="spellEnd"/>
      <w:r w:rsidRPr="008B4BB7">
        <w:rPr>
          <w:rFonts w:ascii="Times New Roman" w:hAnsi="Times New Roman" w:cs="Times New Roman"/>
          <w:sz w:val="20"/>
          <w:szCs w:val="20"/>
        </w:rPr>
        <w:t xml:space="preserve">     </w:t>
      </w:r>
      <w:proofErr w:type="spellStart"/>
      <w:r w:rsidRPr="008B4BB7">
        <w:rPr>
          <w:rFonts w:ascii="Times New Roman" w:hAnsi="Times New Roman" w:cs="Times New Roman"/>
          <w:sz w:val="20"/>
          <w:szCs w:val="20"/>
        </w:rPr>
        <w:t>Tarhriz</w:t>
      </w:r>
      <w:proofErr w:type="spellEnd"/>
      <w:r w:rsidRPr="008B4BB7">
        <w:rPr>
          <w:rFonts w:ascii="Times New Roman" w:hAnsi="Times New Roman" w:cs="Times New Roman"/>
          <w:sz w:val="20"/>
          <w:szCs w:val="20"/>
        </w:rPr>
        <w:t>, Recent Advances in Therapeutic Peptides for Breast Cancer Treatment, Current Protein &amp; Peptide Science; Volume 22, Issue 1, Year 2021</w:t>
      </w:r>
      <w:proofErr w:type="gramStart"/>
      <w:r w:rsidRPr="008B4BB7">
        <w:rPr>
          <w:rFonts w:ascii="Times New Roman" w:hAnsi="Times New Roman" w:cs="Times New Roman"/>
          <w:sz w:val="20"/>
          <w:szCs w:val="20"/>
        </w:rPr>
        <w:t>, .</w:t>
      </w:r>
      <w:proofErr w:type="gramEnd"/>
      <w:r w:rsidRPr="008B4BB7">
        <w:rPr>
          <w:rFonts w:ascii="Times New Roman" w:hAnsi="Times New Roman" w:cs="Times New Roman"/>
          <w:sz w:val="20"/>
          <w:szCs w:val="20"/>
        </w:rPr>
        <w:t xml:space="preserve"> DOI: 10.2174/1389203721999201117123616</w:t>
      </w:r>
    </w:p>
    <w:p w14:paraId="7F2E2708" w14:textId="10D07590" w:rsidR="00C622B9" w:rsidRPr="00C622B9" w:rsidRDefault="008B4BB7" w:rsidP="00C622B9">
      <w:pPr>
        <w:pStyle w:val="ListParagraph"/>
        <w:numPr>
          <w:ilvl w:val="0"/>
          <w:numId w:val="1"/>
        </w:numPr>
        <w:tabs>
          <w:tab w:val="left" w:pos="2830"/>
        </w:tabs>
        <w:spacing w:after="0"/>
        <w:jc w:val="both"/>
        <w:rPr>
          <w:rFonts w:ascii="Times New Roman" w:hAnsi="Times New Roman" w:cs="Times New Roman"/>
          <w:sz w:val="20"/>
          <w:szCs w:val="20"/>
        </w:rPr>
      </w:pPr>
      <w:r w:rsidRPr="008B4BB7">
        <w:rPr>
          <w:rFonts w:ascii="Times New Roman" w:hAnsi="Times New Roman" w:cs="Times New Roman"/>
          <w:sz w:val="20"/>
          <w:szCs w:val="20"/>
        </w:rPr>
        <w:t>Zhang, D., Yuan, Y., Zeng, Q., Xiong, J., Gan, Y., Jiang, K., &amp; Xie, N. (2025). Plant protein-derived anti-breast cancer peptides: sources, therapeutic approaches, mechanisms, and nanoparticle design. </w:t>
      </w:r>
      <w:r w:rsidRPr="008B4BB7">
        <w:rPr>
          <w:rFonts w:ascii="Times New Roman" w:hAnsi="Times New Roman" w:cs="Times New Roman"/>
          <w:i/>
          <w:iCs/>
          <w:sz w:val="20"/>
          <w:szCs w:val="20"/>
        </w:rPr>
        <w:t>Frontiers in Pharmacology</w:t>
      </w:r>
      <w:r w:rsidRPr="008B4BB7">
        <w:rPr>
          <w:rFonts w:ascii="Times New Roman" w:hAnsi="Times New Roman" w:cs="Times New Roman"/>
          <w:sz w:val="20"/>
          <w:szCs w:val="20"/>
        </w:rPr>
        <w:t>, </w:t>
      </w:r>
      <w:r w:rsidRPr="008B4BB7">
        <w:rPr>
          <w:rFonts w:ascii="Times New Roman" w:hAnsi="Times New Roman" w:cs="Times New Roman"/>
          <w:i/>
          <w:iCs/>
          <w:sz w:val="20"/>
          <w:szCs w:val="20"/>
        </w:rPr>
        <w:t>15</w:t>
      </w:r>
      <w:r w:rsidRPr="008B4BB7">
        <w:rPr>
          <w:rFonts w:ascii="Times New Roman" w:hAnsi="Times New Roman" w:cs="Times New Roman"/>
          <w:sz w:val="20"/>
          <w:szCs w:val="20"/>
        </w:rPr>
        <w:t xml:space="preserve">. </w:t>
      </w:r>
      <w:r w:rsidR="00C622B9" w:rsidRPr="00C622B9">
        <w:rPr>
          <w:rFonts w:ascii="Times New Roman" w:hAnsi="Times New Roman" w:cs="Times New Roman"/>
          <w:sz w:val="20"/>
          <w:szCs w:val="20"/>
        </w:rPr>
        <w:t>https://doi.org/10.3389/fphar.2024.1468977</w:t>
      </w:r>
    </w:p>
    <w:p w14:paraId="0310B4F7" w14:textId="3E91EC97" w:rsidR="00C622B9" w:rsidRPr="00C622B9" w:rsidRDefault="00C622B9" w:rsidP="00C622B9">
      <w:pPr>
        <w:pStyle w:val="ListParagraph"/>
        <w:numPr>
          <w:ilvl w:val="0"/>
          <w:numId w:val="1"/>
        </w:numPr>
        <w:tabs>
          <w:tab w:val="left" w:pos="2830"/>
        </w:tabs>
        <w:spacing w:after="0"/>
        <w:jc w:val="both"/>
        <w:rPr>
          <w:rFonts w:ascii="Times New Roman" w:hAnsi="Times New Roman" w:cs="Times New Roman"/>
          <w:sz w:val="20"/>
          <w:szCs w:val="20"/>
        </w:rPr>
      </w:pPr>
      <w:r w:rsidRPr="00C622B9">
        <w:rPr>
          <w:sz w:val="20"/>
          <w:szCs w:val="20"/>
        </w:rPr>
        <w:t xml:space="preserve">Hopkins AL. </w:t>
      </w:r>
      <w:r w:rsidRPr="00C622B9">
        <w:rPr>
          <w:rStyle w:val="Emphasis"/>
          <w:rFonts w:ascii="Times New Roman" w:eastAsiaTheme="majorEastAsia" w:hAnsi="Times New Roman" w:cs="Times New Roman"/>
          <w:sz w:val="20"/>
          <w:szCs w:val="20"/>
        </w:rPr>
        <w:t>Network pharmacology: the next paradigm in drug discovery</w:t>
      </w:r>
      <w:r w:rsidRPr="00C622B9">
        <w:rPr>
          <w:sz w:val="20"/>
          <w:szCs w:val="20"/>
        </w:rPr>
        <w:t xml:space="preserve">. </w:t>
      </w:r>
      <w:r w:rsidRPr="00C622B9">
        <w:rPr>
          <w:rStyle w:val="Strong"/>
          <w:rFonts w:ascii="Times New Roman" w:eastAsiaTheme="majorEastAsia" w:hAnsi="Times New Roman" w:cs="Times New Roman"/>
          <w:sz w:val="20"/>
          <w:szCs w:val="20"/>
        </w:rPr>
        <w:t>Nat Chem Biol</w:t>
      </w:r>
      <w:r w:rsidRPr="00C622B9">
        <w:rPr>
          <w:sz w:val="20"/>
          <w:szCs w:val="20"/>
        </w:rPr>
        <w:t>, 2008.</w:t>
      </w:r>
    </w:p>
    <w:p w14:paraId="32FB2373" w14:textId="65BA7990" w:rsidR="00C622B9" w:rsidRPr="00C622B9" w:rsidRDefault="00C622B9" w:rsidP="00C622B9">
      <w:pPr>
        <w:pStyle w:val="NormalWeb"/>
        <w:numPr>
          <w:ilvl w:val="0"/>
          <w:numId w:val="1"/>
        </w:numPr>
        <w:jc w:val="both"/>
        <w:rPr>
          <w:sz w:val="20"/>
          <w:szCs w:val="20"/>
        </w:rPr>
      </w:pPr>
      <w:r w:rsidRPr="00C622B9">
        <w:rPr>
          <w:sz w:val="20"/>
          <w:szCs w:val="20"/>
        </w:rPr>
        <w:t xml:space="preserve">Ekins S et al. </w:t>
      </w:r>
      <w:r w:rsidRPr="00C622B9">
        <w:rPr>
          <w:rStyle w:val="Emphasis"/>
          <w:rFonts w:eastAsiaTheme="majorEastAsia"/>
          <w:sz w:val="20"/>
          <w:szCs w:val="20"/>
        </w:rPr>
        <w:t>Computational toxicology: applications and limitations</w:t>
      </w:r>
      <w:r w:rsidRPr="00C622B9">
        <w:rPr>
          <w:sz w:val="20"/>
          <w:szCs w:val="20"/>
        </w:rPr>
        <w:t xml:space="preserve">. </w:t>
      </w:r>
      <w:r w:rsidRPr="00C622B9">
        <w:rPr>
          <w:rStyle w:val="Strong"/>
          <w:rFonts w:eastAsiaTheme="majorEastAsia"/>
          <w:sz w:val="20"/>
          <w:szCs w:val="20"/>
        </w:rPr>
        <w:t xml:space="preserve">Chem Res </w:t>
      </w:r>
      <w:proofErr w:type="spellStart"/>
      <w:r w:rsidRPr="00C622B9">
        <w:rPr>
          <w:rStyle w:val="Strong"/>
          <w:rFonts w:eastAsiaTheme="majorEastAsia"/>
          <w:sz w:val="20"/>
          <w:szCs w:val="20"/>
        </w:rPr>
        <w:t>Toxicol</w:t>
      </w:r>
      <w:proofErr w:type="spellEnd"/>
      <w:r w:rsidRPr="00C622B9">
        <w:rPr>
          <w:sz w:val="20"/>
          <w:szCs w:val="20"/>
        </w:rPr>
        <w:t>, 2014.</w:t>
      </w:r>
    </w:p>
    <w:p w14:paraId="678BC3B3" w14:textId="06BD3E45" w:rsidR="00C622B9" w:rsidRPr="00C622B9" w:rsidRDefault="00C622B9" w:rsidP="00C622B9">
      <w:pPr>
        <w:pStyle w:val="NormalWeb"/>
        <w:numPr>
          <w:ilvl w:val="0"/>
          <w:numId w:val="1"/>
        </w:numPr>
        <w:jc w:val="both"/>
        <w:rPr>
          <w:sz w:val="20"/>
          <w:szCs w:val="20"/>
        </w:rPr>
      </w:pPr>
      <w:r w:rsidRPr="00C622B9">
        <w:rPr>
          <w:sz w:val="20"/>
          <w:szCs w:val="20"/>
        </w:rPr>
        <w:t xml:space="preserve">Li S, Zhang B. </w:t>
      </w:r>
      <w:r w:rsidRPr="00C622B9">
        <w:rPr>
          <w:rStyle w:val="Emphasis"/>
          <w:rFonts w:eastAsiaTheme="majorEastAsia"/>
          <w:sz w:val="20"/>
          <w:szCs w:val="20"/>
        </w:rPr>
        <w:t>Traditional Chinese medicine network pharmacology</w:t>
      </w:r>
      <w:r w:rsidRPr="00C622B9">
        <w:rPr>
          <w:sz w:val="20"/>
          <w:szCs w:val="20"/>
        </w:rPr>
        <w:t xml:space="preserve">. </w:t>
      </w:r>
      <w:r w:rsidRPr="00C622B9">
        <w:rPr>
          <w:rStyle w:val="Strong"/>
          <w:rFonts w:eastAsiaTheme="majorEastAsia"/>
          <w:sz w:val="20"/>
          <w:szCs w:val="20"/>
        </w:rPr>
        <w:t>Chin J Nat Med</w:t>
      </w:r>
      <w:r w:rsidRPr="00C622B9">
        <w:rPr>
          <w:sz w:val="20"/>
          <w:szCs w:val="20"/>
        </w:rPr>
        <w:t>, 2013.</w:t>
      </w:r>
    </w:p>
    <w:p w14:paraId="77DFA176" w14:textId="117E03CB" w:rsidR="00C622B9" w:rsidRDefault="00C622B9" w:rsidP="00C622B9">
      <w:pPr>
        <w:pStyle w:val="NormalWeb"/>
        <w:numPr>
          <w:ilvl w:val="0"/>
          <w:numId w:val="1"/>
        </w:numPr>
        <w:jc w:val="both"/>
        <w:rPr>
          <w:sz w:val="20"/>
          <w:szCs w:val="20"/>
        </w:rPr>
      </w:pPr>
      <w:r w:rsidRPr="00C622B9">
        <w:rPr>
          <w:sz w:val="20"/>
          <w:szCs w:val="20"/>
        </w:rPr>
        <w:t xml:space="preserve">Pires DEV et al. </w:t>
      </w:r>
      <w:r w:rsidRPr="00C622B9">
        <w:rPr>
          <w:rStyle w:val="Emphasis"/>
          <w:rFonts w:eastAsiaTheme="majorEastAsia"/>
          <w:sz w:val="20"/>
          <w:szCs w:val="20"/>
        </w:rPr>
        <w:t>ADMET prediction in drug discovery</w:t>
      </w:r>
      <w:r w:rsidRPr="00C622B9">
        <w:rPr>
          <w:sz w:val="20"/>
          <w:szCs w:val="20"/>
        </w:rPr>
        <w:t xml:space="preserve">. </w:t>
      </w:r>
      <w:r w:rsidRPr="00C622B9">
        <w:rPr>
          <w:rStyle w:val="Strong"/>
          <w:rFonts w:eastAsiaTheme="majorEastAsia"/>
          <w:sz w:val="20"/>
          <w:szCs w:val="20"/>
        </w:rPr>
        <w:t xml:space="preserve">Brief </w:t>
      </w:r>
      <w:proofErr w:type="spellStart"/>
      <w:r w:rsidRPr="00C622B9">
        <w:rPr>
          <w:rStyle w:val="Strong"/>
          <w:rFonts w:eastAsiaTheme="majorEastAsia"/>
          <w:sz w:val="20"/>
          <w:szCs w:val="20"/>
        </w:rPr>
        <w:t>Bioinform</w:t>
      </w:r>
      <w:proofErr w:type="spellEnd"/>
      <w:r w:rsidRPr="00C622B9">
        <w:rPr>
          <w:sz w:val="20"/>
          <w:szCs w:val="20"/>
        </w:rPr>
        <w:t>, 2015.</w:t>
      </w:r>
    </w:p>
    <w:p w14:paraId="5A30168E" w14:textId="77777777" w:rsidR="00933B29" w:rsidRPr="00933B29" w:rsidRDefault="00933B29" w:rsidP="00933B29">
      <w:pPr>
        <w:pStyle w:val="ListParagraph"/>
        <w:numPr>
          <w:ilvl w:val="0"/>
          <w:numId w:val="1"/>
        </w:numPr>
        <w:rPr>
          <w:rFonts w:ascii="Times New Roman" w:hAnsi="Times New Roman" w:cs="Times New Roman"/>
          <w:b/>
          <w:color w:val="1F1F1F"/>
          <w:sz w:val="20"/>
          <w:szCs w:val="20"/>
        </w:rPr>
      </w:pPr>
      <w:r w:rsidRPr="00933B29">
        <w:rPr>
          <w:rFonts w:ascii="Times New Roman" w:hAnsi="Times New Roman" w:cs="Times New Roman"/>
          <w:sz w:val="20"/>
          <w:szCs w:val="20"/>
        </w:rPr>
        <w:t xml:space="preserve">Wu, Q., Xu, X., Liu, H., Zhang, J., Zhang, Q., &amp; Zhang, D. (2025). Efficacy and safety of </w:t>
      </w:r>
      <w:proofErr w:type="spellStart"/>
      <w:r w:rsidRPr="00933B29">
        <w:rPr>
          <w:rFonts w:ascii="Times New Roman" w:hAnsi="Times New Roman" w:cs="Times New Roman"/>
          <w:sz w:val="20"/>
          <w:szCs w:val="20"/>
        </w:rPr>
        <w:t>Huachansu</w:t>
      </w:r>
      <w:proofErr w:type="spellEnd"/>
      <w:r w:rsidRPr="00933B29">
        <w:rPr>
          <w:rFonts w:ascii="Times New Roman" w:hAnsi="Times New Roman" w:cs="Times New Roman"/>
          <w:sz w:val="20"/>
          <w:szCs w:val="20"/>
        </w:rPr>
        <w:t xml:space="preserve"> capsule as adjuvant therapy for breast cancer: A systematic review and meta-analysis of randomized controlled trials. </w:t>
      </w:r>
      <w:r w:rsidRPr="00933B29">
        <w:rPr>
          <w:rFonts w:ascii="Times New Roman" w:hAnsi="Times New Roman" w:cs="Times New Roman"/>
          <w:i/>
          <w:iCs/>
          <w:sz w:val="20"/>
          <w:szCs w:val="20"/>
        </w:rPr>
        <w:t>Journal of Ethnopharmacology</w:t>
      </w:r>
      <w:r w:rsidRPr="00933B29">
        <w:rPr>
          <w:rFonts w:ascii="Times New Roman" w:hAnsi="Times New Roman" w:cs="Times New Roman"/>
          <w:sz w:val="20"/>
          <w:szCs w:val="20"/>
        </w:rPr>
        <w:t xml:space="preserve">, </w:t>
      </w:r>
      <w:r w:rsidRPr="00933B29">
        <w:rPr>
          <w:rFonts w:ascii="Times New Roman" w:hAnsi="Times New Roman" w:cs="Times New Roman"/>
          <w:i/>
          <w:iCs/>
          <w:sz w:val="20"/>
          <w:szCs w:val="20"/>
        </w:rPr>
        <w:t>353</w:t>
      </w:r>
      <w:r w:rsidRPr="00933B29">
        <w:rPr>
          <w:rFonts w:ascii="Times New Roman" w:hAnsi="Times New Roman" w:cs="Times New Roman"/>
          <w:sz w:val="20"/>
          <w:szCs w:val="20"/>
        </w:rPr>
        <w:t xml:space="preserve">, 120464. </w:t>
      </w:r>
      <w:hyperlink r:id="rId21" w:history="1">
        <w:r w:rsidRPr="00933B29">
          <w:rPr>
            <w:rStyle w:val="Hyperlink"/>
            <w:rFonts w:ascii="Times New Roman" w:eastAsiaTheme="majorEastAsia" w:hAnsi="Times New Roman" w:cs="Times New Roman"/>
            <w:sz w:val="20"/>
            <w:szCs w:val="20"/>
          </w:rPr>
          <w:t>https://doi.org/10.1016/j.jep.2025.120464</w:t>
        </w:r>
      </w:hyperlink>
    </w:p>
    <w:p w14:paraId="2CD60133" w14:textId="77777777" w:rsidR="00933B29" w:rsidRPr="00933B29" w:rsidRDefault="00933B29" w:rsidP="00933B29">
      <w:pPr>
        <w:pStyle w:val="ListParagraph"/>
        <w:numPr>
          <w:ilvl w:val="0"/>
          <w:numId w:val="1"/>
        </w:numPr>
        <w:rPr>
          <w:rFonts w:ascii="Times New Roman" w:hAnsi="Times New Roman" w:cs="Times New Roman"/>
          <w:b/>
          <w:color w:val="1F1F1F"/>
          <w:sz w:val="20"/>
          <w:szCs w:val="20"/>
        </w:rPr>
      </w:pPr>
      <w:r w:rsidRPr="00933B29">
        <w:rPr>
          <w:sz w:val="20"/>
          <w:szCs w:val="20"/>
        </w:rPr>
        <w:t xml:space="preserve">Li, S., Zhang, L., Zhang, W., Chen, H., Hong, M., Xia, J., … Lu, D. (2025). Identifying traditional Chinese medicine combinations for breast cancer treatment based on transcriptional regulation and chemical structure. </w:t>
      </w:r>
      <w:r w:rsidRPr="00933B29">
        <w:rPr>
          <w:i/>
          <w:iCs/>
          <w:sz w:val="20"/>
          <w:szCs w:val="20"/>
        </w:rPr>
        <w:t>Chinese Medicine</w:t>
      </w:r>
      <w:r w:rsidRPr="00933B29">
        <w:rPr>
          <w:sz w:val="20"/>
          <w:szCs w:val="20"/>
        </w:rPr>
        <w:t xml:space="preserve">, </w:t>
      </w:r>
      <w:r w:rsidRPr="00933B29">
        <w:rPr>
          <w:i/>
          <w:iCs/>
          <w:sz w:val="20"/>
          <w:szCs w:val="20"/>
        </w:rPr>
        <w:t>20</w:t>
      </w:r>
      <w:r w:rsidRPr="00933B29">
        <w:rPr>
          <w:sz w:val="20"/>
          <w:szCs w:val="20"/>
        </w:rPr>
        <w:t xml:space="preserve">(1). </w:t>
      </w:r>
      <w:hyperlink r:id="rId22" w:history="1">
        <w:r w:rsidRPr="00933B29">
          <w:rPr>
            <w:rStyle w:val="Hyperlink"/>
            <w:rFonts w:ascii="Times New Roman" w:eastAsiaTheme="majorEastAsia" w:hAnsi="Times New Roman" w:cs="Times New Roman"/>
            <w:sz w:val="20"/>
            <w:szCs w:val="20"/>
          </w:rPr>
          <w:t>https://doi.org/10.1186/s13020-025-01074-5</w:t>
        </w:r>
      </w:hyperlink>
    </w:p>
    <w:p w14:paraId="5CD435E5" w14:textId="5EACF8EA" w:rsidR="00933B29" w:rsidRPr="00933B29" w:rsidRDefault="00933B29" w:rsidP="00933B29">
      <w:pPr>
        <w:pStyle w:val="ListParagraph"/>
        <w:numPr>
          <w:ilvl w:val="0"/>
          <w:numId w:val="1"/>
        </w:numPr>
        <w:rPr>
          <w:rFonts w:ascii="Times New Roman" w:hAnsi="Times New Roman" w:cs="Times New Roman"/>
          <w:b/>
          <w:color w:val="1F1F1F"/>
          <w:sz w:val="20"/>
          <w:szCs w:val="20"/>
        </w:rPr>
      </w:pPr>
      <w:r w:rsidRPr="00933B29">
        <w:rPr>
          <w:sz w:val="20"/>
          <w:szCs w:val="20"/>
        </w:rPr>
        <w:t xml:space="preserve">Wang, N., Yang, Y., Wang, H., Li, Y., Wang, M., &amp; Li, Q. (2025). Cinobufagin modulates vasculogenic mimicry and tumor-associated macrophages to inhibit ovarian cancer progression. </w:t>
      </w:r>
      <w:r w:rsidRPr="00933B29">
        <w:rPr>
          <w:i/>
          <w:iCs/>
          <w:sz w:val="20"/>
          <w:szCs w:val="20"/>
        </w:rPr>
        <w:t>European Journal of Pharmacology</w:t>
      </w:r>
      <w:r w:rsidRPr="00933B29">
        <w:rPr>
          <w:sz w:val="20"/>
          <w:szCs w:val="20"/>
        </w:rPr>
        <w:t xml:space="preserve">, </w:t>
      </w:r>
      <w:r w:rsidRPr="00933B29">
        <w:rPr>
          <w:i/>
          <w:iCs/>
          <w:sz w:val="20"/>
          <w:szCs w:val="20"/>
        </w:rPr>
        <w:t>987</w:t>
      </w:r>
      <w:r w:rsidRPr="00933B29">
        <w:rPr>
          <w:sz w:val="20"/>
          <w:szCs w:val="20"/>
        </w:rPr>
        <w:t>, 177157. https://doi.org/10.1016/j.ejphar.2024.177157</w:t>
      </w:r>
    </w:p>
    <w:p w14:paraId="5F14BA15" w14:textId="77777777" w:rsidR="00933B29" w:rsidRPr="00C622B9" w:rsidRDefault="00933B29" w:rsidP="00933B29">
      <w:pPr>
        <w:pStyle w:val="NormalWeb"/>
        <w:ind w:left="720"/>
        <w:jc w:val="both"/>
        <w:rPr>
          <w:sz w:val="20"/>
          <w:szCs w:val="20"/>
        </w:rPr>
      </w:pPr>
    </w:p>
    <w:p w14:paraId="73CF81AB" w14:textId="77777777" w:rsidR="00C622B9" w:rsidRPr="008B4BB7" w:rsidRDefault="00C622B9" w:rsidP="00C622B9">
      <w:pPr>
        <w:pStyle w:val="ListParagraph"/>
        <w:tabs>
          <w:tab w:val="left" w:pos="2830"/>
        </w:tabs>
        <w:spacing w:after="0"/>
        <w:jc w:val="both"/>
        <w:rPr>
          <w:rFonts w:ascii="Times New Roman" w:hAnsi="Times New Roman" w:cs="Times New Roman"/>
          <w:sz w:val="20"/>
          <w:szCs w:val="20"/>
        </w:rPr>
      </w:pPr>
    </w:p>
    <w:p w14:paraId="51CE1AE1" w14:textId="77777777" w:rsidR="008B4BB7" w:rsidRPr="00D374C2" w:rsidRDefault="008B4BB7" w:rsidP="000A0839">
      <w:pPr>
        <w:tabs>
          <w:tab w:val="left" w:pos="2830"/>
        </w:tabs>
        <w:spacing w:after="0"/>
        <w:jc w:val="both"/>
        <w:rPr>
          <w:rFonts w:ascii="Times New Roman" w:hAnsi="Times New Roman" w:cs="Times New Roman"/>
        </w:rPr>
      </w:pPr>
    </w:p>
    <w:sectPr w:rsidR="008B4BB7" w:rsidRPr="00D374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B32361"/>
    <w:multiLevelType w:val="hybridMultilevel"/>
    <w:tmpl w:val="DB665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2846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78F"/>
    <w:rsid w:val="00011DA9"/>
    <w:rsid w:val="000414F7"/>
    <w:rsid w:val="00080CF5"/>
    <w:rsid w:val="000A0839"/>
    <w:rsid w:val="000B5094"/>
    <w:rsid w:val="00101A7A"/>
    <w:rsid w:val="00107322"/>
    <w:rsid w:val="001356C0"/>
    <w:rsid w:val="00141D2F"/>
    <w:rsid w:val="00154E58"/>
    <w:rsid w:val="0016045C"/>
    <w:rsid w:val="0016715B"/>
    <w:rsid w:val="001904A7"/>
    <w:rsid w:val="001A5056"/>
    <w:rsid w:val="001B69A3"/>
    <w:rsid w:val="001F7F1E"/>
    <w:rsid w:val="0020372C"/>
    <w:rsid w:val="00206CCC"/>
    <w:rsid w:val="00211532"/>
    <w:rsid w:val="0021571E"/>
    <w:rsid w:val="0023478F"/>
    <w:rsid w:val="00272253"/>
    <w:rsid w:val="00274D9A"/>
    <w:rsid w:val="00291AD6"/>
    <w:rsid w:val="002A6124"/>
    <w:rsid w:val="002F5C8A"/>
    <w:rsid w:val="00324C04"/>
    <w:rsid w:val="0037655D"/>
    <w:rsid w:val="0038754D"/>
    <w:rsid w:val="00391C58"/>
    <w:rsid w:val="00393E45"/>
    <w:rsid w:val="003A094C"/>
    <w:rsid w:val="003A517D"/>
    <w:rsid w:val="003C44B6"/>
    <w:rsid w:val="003D41F9"/>
    <w:rsid w:val="004204A6"/>
    <w:rsid w:val="00441C16"/>
    <w:rsid w:val="004426BC"/>
    <w:rsid w:val="00460180"/>
    <w:rsid w:val="00471009"/>
    <w:rsid w:val="00486236"/>
    <w:rsid w:val="004B1BA4"/>
    <w:rsid w:val="004C573F"/>
    <w:rsid w:val="005049DE"/>
    <w:rsid w:val="00504FCB"/>
    <w:rsid w:val="005111C2"/>
    <w:rsid w:val="00521AB6"/>
    <w:rsid w:val="00521F58"/>
    <w:rsid w:val="00527406"/>
    <w:rsid w:val="00534F38"/>
    <w:rsid w:val="00542B7A"/>
    <w:rsid w:val="0058107C"/>
    <w:rsid w:val="00590B4D"/>
    <w:rsid w:val="005A2C9E"/>
    <w:rsid w:val="005D162F"/>
    <w:rsid w:val="006002F2"/>
    <w:rsid w:val="00602456"/>
    <w:rsid w:val="00615191"/>
    <w:rsid w:val="00624A04"/>
    <w:rsid w:val="00631FD2"/>
    <w:rsid w:val="006431A9"/>
    <w:rsid w:val="00681569"/>
    <w:rsid w:val="006860BB"/>
    <w:rsid w:val="006A2579"/>
    <w:rsid w:val="006B03B5"/>
    <w:rsid w:val="006E3F6D"/>
    <w:rsid w:val="00704E70"/>
    <w:rsid w:val="0071122D"/>
    <w:rsid w:val="00736A79"/>
    <w:rsid w:val="007539BE"/>
    <w:rsid w:val="007C186D"/>
    <w:rsid w:val="007C5CB3"/>
    <w:rsid w:val="007D6C29"/>
    <w:rsid w:val="007F1854"/>
    <w:rsid w:val="00810BB6"/>
    <w:rsid w:val="00831E3B"/>
    <w:rsid w:val="008539E3"/>
    <w:rsid w:val="00881CF2"/>
    <w:rsid w:val="008949B1"/>
    <w:rsid w:val="008A0006"/>
    <w:rsid w:val="008B4BB7"/>
    <w:rsid w:val="008B735D"/>
    <w:rsid w:val="008C7C63"/>
    <w:rsid w:val="00920C35"/>
    <w:rsid w:val="00933B29"/>
    <w:rsid w:val="00945619"/>
    <w:rsid w:val="00976037"/>
    <w:rsid w:val="009964C9"/>
    <w:rsid w:val="009C609D"/>
    <w:rsid w:val="00A03983"/>
    <w:rsid w:val="00A15251"/>
    <w:rsid w:val="00A15275"/>
    <w:rsid w:val="00A25380"/>
    <w:rsid w:val="00B450B1"/>
    <w:rsid w:val="00BD17DB"/>
    <w:rsid w:val="00BE5A0E"/>
    <w:rsid w:val="00BE5B21"/>
    <w:rsid w:val="00BF1F44"/>
    <w:rsid w:val="00C21972"/>
    <w:rsid w:val="00C22FBF"/>
    <w:rsid w:val="00C37EE2"/>
    <w:rsid w:val="00C622B9"/>
    <w:rsid w:val="00C66C3E"/>
    <w:rsid w:val="00C7325C"/>
    <w:rsid w:val="00CA332E"/>
    <w:rsid w:val="00CB6CDA"/>
    <w:rsid w:val="00CD56F4"/>
    <w:rsid w:val="00CE6F70"/>
    <w:rsid w:val="00D22B14"/>
    <w:rsid w:val="00D374C2"/>
    <w:rsid w:val="00D46F66"/>
    <w:rsid w:val="00D52253"/>
    <w:rsid w:val="00D5454B"/>
    <w:rsid w:val="00E01EC2"/>
    <w:rsid w:val="00E03B58"/>
    <w:rsid w:val="00E06EA4"/>
    <w:rsid w:val="00E21C21"/>
    <w:rsid w:val="00E27AF3"/>
    <w:rsid w:val="00E30596"/>
    <w:rsid w:val="00E33F7B"/>
    <w:rsid w:val="00E70B17"/>
    <w:rsid w:val="00E910FB"/>
    <w:rsid w:val="00EA337F"/>
    <w:rsid w:val="00EB44A1"/>
    <w:rsid w:val="00F04F05"/>
    <w:rsid w:val="00F35F3F"/>
    <w:rsid w:val="00FC795F"/>
    <w:rsid w:val="00FD0E2E"/>
    <w:rsid w:val="00FD301E"/>
    <w:rsid w:val="00FE2B71"/>
    <w:rsid w:val="00FF5C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52035"/>
  <w15:chartTrackingRefBased/>
  <w15:docId w15:val="{43C13922-2F58-41E3-BE60-E6F24D623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47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47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47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47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47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47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47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47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47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47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47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47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47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47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47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47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47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478F"/>
    <w:rPr>
      <w:rFonts w:eastAsiaTheme="majorEastAsia" w:cstheme="majorBidi"/>
      <w:color w:val="272727" w:themeColor="text1" w:themeTint="D8"/>
    </w:rPr>
  </w:style>
  <w:style w:type="paragraph" w:styleId="Title">
    <w:name w:val="Title"/>
    <w:basedOn w:val="Normal"/>
    <w:next w:val="Normal"/>
    <w:link w:val="TitleChar"/>
    <w:uiPriority w:val="10"/>
    <w:qFormat/>
    <w:rsid w:val="002347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47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47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47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478F"/>
    <w:pPr>
      <w:spacing w:before="160"/>
      <w:jc w:val="center"/>
    </w:pPr>
    <w:rPr>
      <w:i/>
      <w:iCs/>
      <w:color w:val="404040" w:themeColor="text1" w:themeTint="BF"/>
    </w:rPr>
  </w:style>
  <w:style w:type="character" w:customStyle="1" w:styleId="QuoteChar">
    <w:name w:val="Quote Char"/>
    <w:basedOn w:val="DefaultParagraphFont"/>
    <w:link w:val="Quote"/>
    <w:uiPriority w:val="29"/>
    <w:rsid w:val="0023478F"/>
    <w:rPr>
      <w:i/>
      <w:iCs/>
      <w:color w:val="404040" w:themeColor="text1" w:themeTint="BF"/>
    </w:rPr>
  </w:style>
  <w:style w:type="paragraph" w:styleId="ListParagraph">
    <w:name w:val="List Paragraph"/>
    <w:basedOn w:val="Normal"/>
    <w:uiPriority w:val="34"/>
    <w:qFormat/>
    <w:rsid w:val="0023478F"/>
    <w:pPr>
      <w:ind w:left="720"/>
      <w:contextualSpacing/>
    </w:pPr>
  </w:style>
  <w:style w:type="character" w:styleId="IntenseEmphasis">
    <w:name w:val="Intense Emphasis"/>
    <w:basedOn w:val="DefaultParagraphFont"/>
    <w:uiPriority w:val="21"/>
    <w:qFormat/>
    <w:rsid w:val="0023478F"/>
    <w:rPr>
      <w:i/>
      <w:iCs/>
      <w:color w:val="2F5496" w:themeColor="accent1" w:themeShade="BF"/>
    </w:rPr>
  </w:style>
  <w:style w:type="paragraph" w:styleId="IntenseQuote">
    <w:name w:val="Intense Quote"/>
    <w:basedOn w:val="Normal"/>
    <w:next w:val="Normal"/>
    <w:link w:val="IntenseQuoteChar"/>
    <w:uiPriority w:val="30"/>
    <w:qFormat/>
    <w:rsid w:val="002347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478F"/>
    <w:rPr>
      <w:i/>
      <w:iCs/>
      <w:color w:val="2F5496" w:themeColor="accent1" w:themeShade="BF"/>
    </w:rPr>
  </w:style>
  <w:style w:type="character" w:styleId="IntenseReference">
    <w:name w:val="Intense Reference"/>
    <w:basedOn w:val="DefaultParagraphFont"/>
    <w:uiPriority w:val="32"/>
    <w:qFormat/>
    <w:rsid w:val="0023478F"/>
    <w:rPr>
      <w:b/>
      <w:bCs/>
      <w:smallCaps/>
      <w:color w:val="2F5496" w:themeColor="accent1" w:themeShade="BF"/>
      <w:spacing w:val="5"/>
    </w:rPr>
  </w:style>
  <w:style w:type="table" w:styleId="TableGrid">
    <w:name w:val="Table Grid"/>
    <w:basedOn w:val="TableNormal"/>
    <w:uiPriority w:val="39"/>
    <w:rsid w:val="005D16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D41F9"/>
    <w:rPr>
      <w:color w:val="0563C1" w:themeColor="hyperlink"/>
      <w:u w:val="single"/>
    </w:rPr>
  </w:style>
  <w:style w:type="character" w:styleId="UnresolvedMention">
    <w:name w:val="Unresolved Mention"/>
    <w:basedOn w:val="DefaultParagraphFont"/>
    <w:uiPriority w:val="99"/>
    <w:semiHidden/>
    <w:unhideWhenUsed/>
    <w:rsid w:val="003D41F9"/>
    <w:rPr>
      <w:color w:val="605E5C"/>
      <w:shd w:val="clear" w:color="auto" w:fill="E1DFDD"/>
    </w:rPr>
  </w:style>
  <w:style w:type="character" w:styleId="Emphasis">
    <w:name w:val="Emphasis"/>
    <w:basedOn w:val="DefaultParagraphFont"/>
    <w:uiPriority w:val="20"/>
    <w:qFormat/>
    <w:rsid w:val="00A15275"/>
    <w:rPr>
      <w:i/>
      <w:iCs/>
    </w:rPr>
  </w:style>
  <w:style w:type="paragraph" w:styleId="NormalWeb">
    <w:name w:val="Normal (Web)"/>
    <w:basedOn w:val="Normal"/>
    <w:uiPriority w:val="99"/>
    <w:semiHidden/>
    <w:unhideWhenUsed/>
    <w:rsid w:val="00C622B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622B9"/>
    <w:rPr>
      <w:b/>
      <w:bCs/>
    </w:rPr>
  </w:style>
  <w:style w:type="character" w:styleId="CommentReference">
    <w:name w:val="annotation reference"/>
    <w:basedOn w:val="DefaultParagraphFont"/>
    <w:uiPriority w:val="99"/>
    <w:semiHidden/>
    <w:unhideWhenUsed/>
    <w:rsid w:val="0037655D"/>
    <w:rPr>
      <w:sz w:val="16"/>
      <w:szCs w:val="16"/>
    </w:rPr>
  </w:style>
  <w:style w:type="paragraph" w:styleId="CommentText">
    <w:name w:val="annotation text"/>
    <w:basedOn w:val="Normal"/>
    <w:link w:val="CommentTextChar"/>
    <w:uiPriority w:val="99"/>
    <w:semiHidden/>
    <w:unhideWhenUsed/>
    <w:rsid w:val="0037655D"/>
    <w:pPr>
      <w:spacing w:line="240" w:lineRule="auto"/>
    </w:pPr>
    <w:rPr>
      <w:sz w:val="20"/>
      <w:szCs w:val="20"/>
    </w:rPr>
  </w:style>
  <w:style w:type="character" w:customStyle="1" w:styleId="CommentTextChar">
    <w:name w:val="Comment Text Char"/>
    <w:basedOn w:val="DefaultParagraphFont"/>
    <w:link w:val="CommentText"/>
    <w:uiPriority w:val="99"/>
    <w:semiHidden/>
    <w:rsid w:val="0037655D"/>
    <w:rPr>
      <w:sz w:val="20"/>
      <w:szCs w:val="20"/>
    </w:rPr>
  </w:style>
  <w:style w:type="paragraph" w:styleId="CommentSubject">
    <w:name w:val="annotation subject"/>
    <w:basedOn w:val="CommentText"/>
    <w:next w:val="CommentText"/>
    <w:link w:val="CommentSubjectChar"/>
    <w:uiPriority w:val="99"/>
    <w:semiHidden/>
    <w:unhideWhenUsed/>
    <w:rsid w:val="0037655D"/>
    <w:rPr>
      <w:b/>
      <w:bCs/>
    </w:rPr>
  </w:style>
  <w:style w:type="character" w:customStyle="1" w:styleId="CommentSubjectChar">
    <w:name w:val="Comment Subject Char"/>
    <w:basedOn w:val="CommentTextChar"/>
    <w:link w:val="CommentSubject"/>
    <w:uiPriority w:val="99"/>
    <w:semiHidden/>
    <w:rsid w:val="0037655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ox-new.charite.de/protox_II/index.php?site=compound_input" TargetMode="External"/><Relationship Id="rId13" Type="http://schemas.openxmlformats.org/officeDocument/2006/relationships/image" Target="media/image2.png"/><Relationship Id="rId18" Type="http://schemas.openxmlformats.org/officeDocument/2006/relationships/hyperlink" Target="https://doi.org/10.36348/sjpm.2020.v05i04.006" TargetMode="External"/><Relationship Id="rId3" Type="http://schemas.openxmlformats.org/officeDocument/2006/relationships/settings" Target="settings.xml"/><Relationship Id="rId21" Type="http://schemas.openxmlformats.org/officeDocument/2006/relationships/hyperlink" Target="https://doi.org/10.1016/j.jep.2025.120464" TargetMode="External"/><Relationship Id="rId7" Type="http://schemas.openxmlformats.org/officeDocument/2006/relationships/hyperlink" Target="https://molsoft.com/mprop/" TargetMode="External"/><Relationship Id="rId12" Type="http://schemas.openxmlformats.org/officeDocument/2006/relationships/image" Target="media/image1.png"/><Relationship Id="rId17" Type="http://schemas.openxmlformats.org/officeDocument/2006/relationships/hyperlink" Target="https://doi.org/10.1158/1055-9965.EPI-16-0871" TargetMode="Externa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yperlink" Target="https://www.semanticscholar.org/paper/BREAST-CANCER-OPPORTUNITIES-AND-CHALLENGES-Sawant%20Udar/7a074bcea83ef58fa484eea734e3c3fe81102945" TargetMode="External"/><Relationship Id="rId1" Type="http://schemas.openxmlformats.org/officeDocument/2006/relationships/numbering" Target="numbering.xml"/><Relationship Id="rId6" Type="http://schemas.openxmlformats.org/officeDocument/2006/relationships/hyperlink" Target="http://www.swissadme.ch/index.php" TargetMode="External"/><Relationship Id="rId11" Type="http://schemas.openxmlformats.org/officeDocument/2006/relationships/hyperlink" Target="https://david.ncifcrf.gov/" TargetMode="External"/><Relationship Id="rId24" Type="http://schemas.openxmlformats.org/officeDocument/2006/relationships/theme" Target="theme/theme1.xml"/><Relationship Id="rId5" Type="http://schemas.openxmlformats.org/officeDocument/2006/relationships/hyperlink" Target="https://pubchem.ncbi.nlm.nih.gov/" TargetMode="Externa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hyperlink" Target="https://www.genome.jp/kegg/pathway.html" TargetMode="External"/><Relationship Id="rId19" Type="http://schemas.openxmlformats.org/officeDocument/2006/relationships/hyperlink" Target="https://doi.org/10.1038/s41591-025-03502-3" TargetMode="External"/><Relationship Id="rId4" Type="http://schemas.openxmlformats.org/officeDocument/2006/relationships/webSettings" Target="webSettings.xml"/><Relationship Id="rId9" Type="http://schemas.openxmlformats.org/officeDocument/2006/relationships/hyperlink" Target="https://bioinformatics.psb.ugent.be/webtools/Venn/" TargetMode="External"/><Relationship Id="rId14" Type="http://schemas.openxmlformats.org/officeDocument/2006/relationships/image" Target="media/image3.png"/><Relationship Id="rId22" Type="http://schemas.openxmlformats.org/officeDocument/2006/relationships/hyperlink" Target="https://doi.org/10.1186/s13020-025-0107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3742</TotalTime>
  <Pages>10</Pages>
  <Words>4162</Words>
  <Characters>23725</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Sailee Hingane</dc:creator>
  <cp:keywords/>
  <dc:description/>
  <cp:lastModifiedBy>Sailee Hingane</cp:lastModifiedBy>
  <cp:revision>131</cp:revision>
  <dcterms:created xsi:type="dcterms:W3CDTF">2026-01-09T04:35:00Z</dcterms:created>
  <dcterms:modified xsi:type="dcterms:W3CDTF">2026-07-23T12:29:00Z</dcterms:modified>
</cp:coreProperties>
</file>