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4A2B" w14:textId="77777777" w:rsidR="005519C7" w:rsidRDefault="005519C7" w:rsidP="005519C7">
      <w:pPr>
        <w:jc w:val="center"/>
        <w:rPr>
          <w:b/>
          <w:bCs/>
          <w:sz w:val="28"/>
          <w:szCs w:val="28"/>
        </w:rPr>
      </w:pPr>
    </w:p>
    <w:p w14:paraId="48A0254B" w14:textId="77777777" w:rsidR="005519C7" w:rsidRDefault="005519C7" w:rsidP="005519C7">
      <w:pPr>
        <w:jc w:val="center"/>
        <w:rPr>
          <w:b/>
          <w:bCs/>
          <w:sz w:val="28"/>
          <w:szCs w:val="28"/>
        </w:rPr>
      </w:pPr>
    </w:p>
    <w:p w14:paraId="52500760" w14:textId="4382C2D0" w:rsidR="006677BA" w:rsidRDefault="005519C7" w:rsidP="005519C7">
      <w:pPr>
        <w:jc w:val="center"/>
        <w:rPr>
          <w:b/>
          <w:bCs/>
          <w:sz w:val="40"/>
          <w:szCs w:val="40"/>
        </w:rPr>
      </w:pPr>
      <w:r w:rsidRPr="00DB30DE">
        <w:rPr>
          <w:b/>
          <w:bCs/>
          <w:sz w:val="40"/>
          <w:szCs w:val="40"/>
        </w:rPr>
        <w:t xml:space="preserve">R9 VDC SDE </w:t>
      </w:r>
      <w:r w:rsidR="009A35E2">
        <w:rPr>
          <w:b/>
          <w:bCs/>
          <w:sz w:val="40"/>
          <w:szCs w:val="40"/>
        </w:rPr>
        <w:t xml:space="preserve">FDS </w:t>
      </w:r>
      <w:r w:rsidRPr="00DB30DE">
        <w:rPr>
          <w:b/>
          <w:bCs/>
          <w:sz w:val="40"/>
          <w:szCs w:val="40"/>
        </w:rPr>
        <w:t>Migration Plan</w:t>
      </w:r>
    </w:p>
    <w:p w14:paraId="5773C24C" w14:textId="6CEB2AB7" w:rsidR="00596208" w:rsidRPr="00596208" w:rsidRDefault="00596208" w:rsidP="005519C7">
      <w:pPr>
        <w:jc w:val="center"/>
        <w:rPr>
          <w:b/>
          <w:bCs/>
        </w:rPr>
      </w:pPr>
      <w:r>
        <w:rPr>
          <w:b/>
          <w:bCs/>
        </w:rPr>
        <w:t>Region 9 Data Governance Team</w:t>
      </w:r>
    </w:p>
    <w:p w14:paraId="5FECE0D2" w14:textId="2730BEDF" w:rsidR="005519C7" w:rsidRDefault="005519C7" w:rsidP="005519C7">
      <w:pPr>
        <w:jc w:val="center"/>
      </w:pPr>
      <w:r w:rsidRPr="005519C7">
        <w:rPr>
          <w:b/>
          <w:bCs/>
        </w:rPr>
        <w:fldChar w:fldCharType="begin"/>
      </w:r>
      <w:r w:rsidRPr="005519C7">
        <w:rPr>
          <w:b/>
          <w:bCs/>
        </w:rPr>
        <w:instrText xml:space="preserve"> DATE \@ "d MMMM yyyy" </w:instrText>
      </w:r>
      <w:r w:rsidRPr="005519C7">
        <w:rPr>
          <w:b/>
          <w:bCs/>
        </w:rPr>
        <w:fldChar w:fldCharType="separate"/>
      </w:r>
      <w:r w:rsidR="009A35E2">
        <w:rPr>
          <w:b/>
          <w:bCs/>
          <w:noProof/>
        </w:rPr>
        <w:t>25 April 2023</w:t>
      </w:r>
      <w:r w:rsidRPr="005519C7">
        <w:rPr>
          <w:b/>
          <w:bCs/>
        </w:rPr>
        <w:fldChar w:fldCharType="end"/>
      </w:r>
    </w:p>
    <w:p w14:paraId="6BCEF8BC" w14:textId="14D296DC" w:rsidR="005519C7" w:rsidRDefault="005519C7" w:rsidP="005519C7">
      <w:pPr>
        <w:jc w:val="center"/>
      </w:pPr>
    </w:p>
    <w:p w14:paraId="3288C593" w14:textId="77777777" w:rsidR="00596208" w:rsidRDefault="00596208" w:rsidP="005519C7">
      <w:pPr>
        <w:jc w:val="center"/>
      </w:pPr>
    </w:p>
    <w:p w14:paraId="0B44ED27" w14:textId="6E4AB56D" w:rsidR="005519C7" w:rsidRDefault="005519C7" w:rsidP="005519C7">
      <w:pPr>
        <w:jc w:val="center"/>
      </w:pPr>
    </w:p>
    <w:p w14:paraId="431F02A5" w14:textId="3ECE37D6" w:rsidR="00EC40B0" w:rsidRDefault="005519C7" w:rsidP="005519C7">
      <w:pPr>
        <w:rPr>
          <w:i/>
          <w:iCs/>
        </w:rPr>
      </w:pPr>
      <w:r w:rsidRPr="00DB30DE">
        <w:rPr>
          <w:i/>
          <w:iCs/>
        </w:rPr>
        <w:t xml:space="preserve">This document is intended to provide guidance to Region 9 Forests and Grasslands for the migration of </w:t>
      </w:r>
      <w:r w:rsidR="00DB30DE" w:rsidRPr="00DB30DE">
        <w:rPr>
          <w:i/>
          <w:iCs/>
        </w:rPr>
        <w:t xml:space="preserve">VDC corporate data to themed feature datasets. </w:t>
      </w:r>
      <w:r w:rsidR="00DB30DE" w:rsidRPr="00596208">
        <w:rPr>
          <w:i/>
          <w:iCs/>
          <w:u w:val="single"/>
        </w:rPr>
        <w:t>This is an interim action plan that will facilitate the upcoming migration to PostgreSQL</w:t>
      </w:r>
      <w:r w:rsidR="00DB30DE" w:rsidRPr="00DB30DE">
        <w:rPr>
          <w:i/>
          <w:iCs/>
        </w:rPr>
        <w:t>. Portions of this document may become part of the R9 Data Governance Strategy as it is developed.</w:t>
      </w:r>
    </w:p>
    <w:p w14:paraId="0840E96F" w14:textId="77777777" w:rsidR="00EC40B0" w:rsidRDefault="00EC40B0">
      <w:pPr>
        <w:rPr>
          <w:i/>
          <w:iCs/>
        </w:rPr>
      </w:pPr>
      <w:r>
        <w:rPr>
          <w:i/>
          <w:iCs/>
        </w:rPr>
        <w:br w:type="page"/>
      </w:r>
    </w:p>
    <w:p w14:paraId="21687145" w14:textId="3D47EEE3" w:rsidR="005519C7" w:rsidRDefault="005519C7" w:rsidP="005519C7"/>
    <w:p w14:paraId="0BA450B6" w14:textId="39B90C37" w:rsidR="00EC40B0" w:rsidRDefault="00EC40B0" w:rsidP="005519C7"/>
    <w:p w14:paraId="0B16795E" w14:textId="1B645D66" w:rsidR="00EC40B0" w:rsidRDefault="00EC40B0" w:rsidP="005519C7">
      <w:r>
        <w:t>Background</w:t>
      </w:r>
    </w:p>
    <w:p w14:paraId="12FF991E" w14:textId="45C064A6" w:rsidR="001F26D8" w:rsidRDefault="00EC40B0" w:rsidP="005519C7">
      <w:r>
        <w:t>In 2018 Region 9 made the decision to move from feature datasets</w:t>
      </w:r>
      <w:r w:rsidR="007602A4">
        <w:t xml:space="preserve"> (FDS)</w:t>
      </w:r>
      <w:r>
        <w:t xml:space="preserve"> in the VDC SDE</w:t>
      </w:r>
      <w:r w:rsidR="00DE5E7D">
        <w:t xml:space="preserve">. At that time this was a viable solution for organizing data. Since </w:t>
      </w:r>
      <w:r w:rsidR="007602A4">
        <w:t>then,</w:t>
      </w:r>
      <w:r w:rsidR="00DE5E7D">
        <w:t xml:space="preserve"> National guidance has become more structured and significant efforts are being made to improve data quality through the National GIS Data Dictionary. The National </w:t>
      </w:r>
      <w:r w:rsidR="007602A4">
        <w:t xml:space="preserve">GIS </w:t>
      </w:r>
      <w:r w:rsidR="00DE5E7D">
        <w:t xml:space="preserve">Data Dictionary </w:t>
      </w:r>
      <w:r w:rsidR="007602A4">
        <w:t>provides business themed based organization through FDSs which has become the recommended “best practices” for managing VDC SDE data.</w:t>
      </w:r>
    </w:p>
    <w:p w14:paraId="00E200A9" w14:textId="79400A64" w:rsidR="001F26D8" w:rsidRDefault="001F26D8" w:rsidP="005519C7"/>
    <w:p w14:paraId="28DB849C" w14:textId="24B5AA56" w:rsidR="001F26D8" w:rsidRDefault="001F26D8" w:rsidP="005519C7">
      <w:r>
        <w:t>Objective</w:t>
      </w:r>
    </w:p>
    <w:p w14:paraId="68547E1B" w14:textId="2D4DA07E" w:rsidR="001F26D8" w:rsidRDefault="000F3DA6" w:rsidP="005519C7">
      <w:r>
        <w:t>Transition</w:t>
      </w:r>
      <w:r w:rsidR="001F26D8">
        <w:t xml:space="preserve"> all </w:t>
      </w:r>
      <w:r>
        <w:t xml:space="preserve">unit </w:t>
      </w:r>
      <w:r w:rsidR="001F26D8">
        <w:t>VDC SDE data to business themed FDSs and implement the National GIS Data Dictionary standards where applicable</w:t>
      </w:r>
      <w:r>
        <w:t>.</w:t>
      </w:r>
    </w:p>
    <w:p w14:paraId="0F63978C" w14:textId="392B8751" w:rsidR="000F3DA6" w:rsidRDefault="000F3DA6" w:rsidP="005519C7">
      <w:r>
        <w:t>Impacts</w:t>
      </w:r>
    </w:p>
    <w:p w14:paraId="55F2EF76" w14:textId="4A8858D1" w:rsidR="000F3DA6" w:rsidRDefault="000F3DA6" w:rsidP="005519C7">
      <w:r>
        <w:t>The transition to FDSs will have impacts and require significant effort to complete. The Data Governance Cadre sub region representatives will be available to assist as needed. The following are some anticipated impacts:</w:t>
      </w:r>
    </w:p>
    <w:p w14:paraId="661CB4E8" w14:textId="2CA44C24" w:rsidR="000F3DA6" w:rsidRDefault="000F3DA6" w:rsidP="000F3DA6">
      <w:pPr>
        <w:pStyle w:val="ListParagraph"/>
        <w:numPr>
          <w:ilvl w:val="0"/>
          <w:numId w:val="1"/>
        </w:numPr>
      </w:pPr>
      <w:r>
        <w:t>Layerfiles</w:t>
      </w:r>
      <w:r w:rsidR="008A3554">
        <w:t xml:space="preserve"> - Reset</w:t>
      </w:r>
    </w:p>
    <w:p w14:paraId="2A2FB97D" w14:textId="423E6F26" w:rsidR="000F3DA6" w:rsidRDefault="008A3554" w:rsidP="000F3DA6">
      <w:pPr>
        <w:pStyle w:val="ListParagraph"/>
        <w:numPr>
          <w:ilvl w:val="0"/>
          <w:numId w:val="1"/>
        </w:numPr>
      </w:pPr>
      <w:r>
        <w:t>GI data sources – Reset</w:t>
      </w:r>
    </w:p>
    <w:p w14:paraId="2E15951D" w14:textId="5FF8B83A" w:rsidR="008A3554" w:rsidRDefault="008A3554" w:rsidP="000F3DA6">
      <w:pPr>
        <w:pStyle w:val="ListParagraph"/>
        <w:numPr>
          <w:ilvl w:val="0"/>
          <w:numId w:val="1"/>
        </w:numPr>
      </w:pPr>
      <w:r>
        <w:t>EDW - Reset</w:t>
      </w:r>
    </w:p>
    <w:p w14:paraId="56054E62" w14:textId="074D7073" w:rsidR="008A3554" w:rsidRDefault="008A3554" w:rsidP="000F3DA6">
      <w:pPr>
        <w:pStyle w:val="ListParagraph"/>
        <w:numPr>
          <w:ilvl w:val="0"/>
          <w:numId w:val="1"/>
        </w:numPr>
      </w:pPr>
      <w:r>
        <w:t>National Data Assessment – Reset (If applicable: NDA points to FC name only.)</w:t>
      </w:r>
    </w:p>
    <w:p w14:paraId="6F803B33" w14:textId="5BCA9796" w:rsidR="00A47B0D" w:rsidRDefault="00FE2E44" w:rsidP="00A47B0D">
      <w:r>
        <w:t>Implementation</w:t>
      </w:r>
    </w:p>
    <w:p w14:paraId="06262B4B" w14:textId="74CCDC64" w:rsidR="00FE2E44" w:rsidRDefault="005E5991" w:rsidP="00A47B0D">
      <w:r>
        <w:t>Implementation should be completed in stages and will differ depending upon GIS data content. The following are high-level steps that will facilitate implementation:</w:t>
      </w:r>
    </w:p>
    <w:p w14:paraId="742E3AAA" w14:textId="70D4D4D2" w:rsidR="005E5991" w:rsidRDefault="005E5991" w:rsidP="005E5991">
      <w:pPr>
        <w:pStyle w:val="ListParagraph"/>
        <w:numPr>
          <w:ilvl w:val="0"/>
          <w:numId w:val="2"/>
        </w:numPr>
      </w:pPr>
      <w:r>
        <w:t>Complete a VDC SDE inventory and categorize each feature class</w:t>
      </w:r>
      <w:r w:rsidR="00171EFC">
        <w:t xml:space="preserve"> (FC)</w:t>
      </w:r>
      <w:r>
        <w:t xml:space="preserve"> in a business theme</w:t>
      </w:r>
    </w:p>
    <w:p w14:paraId="59AB168A" w14:textId="67BDD33C" w:rsidR="005E5991" w:rsidRDefault="005E5991" w:rsidP="005E5991">
      <w:pPr>
        <w:pStyle w:val="ListParagraph"/>
        <w:numPr>
          <w:ilvl w:val="0"/>
          <w:numId w:val="2"/>
        </w:numPr>
      </w:pPr>
      <w:r>
        <w:t>Create a business theme based FDS for each category (Local Projection if applicable)</w:t>
      </w:r>
    </w:p>
    <w:p w14:paraId="23953378" w14:textId="43A5AADF" w:rsidR="005E5991" w:rsidRDefault="005E5991" w:rsidP="00171EFC">
      <w:pPr>
        <w:pStyle w:val="ListParagraph"/>
        <w:numPr>
          <w:ilvl w:val="0"/>
          <w:numId w:val="2"/>
        </w:numPr>
      </w:pPr>
      <w:r>
        <w:t>Load categorized feature classes into the corresponding FDS</w:t>
      </w:r>
      <w:r w:rsidR="00171EFC">
        <w:t xml:space="preserve"> (Rename without theme in FC name)</w:t>
      </w:r>
    </w:p>
    <w:p w14:paraId="4598FE3C" w14:textId="0A1A2C83" w:rsidR="00171EFC" w:rsidRDefault="00171EFC" w:rsidP="00171EFC">
      <w:pPr>
        <w:pStyle w:val="ListParagraph"/>
        <w:numPr>
          <w:ilvl w:val="0"/>
          <w:numId w:val="2"/>
        </w:numPr>
      </w:pPr>
      <w:r>
        <w:t>Update metadata (if applicable)</w:t>
      </w:r>
    </w:p>
    <w:p w14:paraId="292A52F1" w14:textId="53BB2AA8" w:rsidR="00171EFC" w:rsidRDefault="00171EFC" w:rsidP="00171EFC">
      <w:pPr>
        <w:pStyle w:val="ListParagraph"/>
        <w:numPr>
          <w:ilvl w:val="0"/>
          <w:numId w:val="2"/>
        </w:numPr>
      </w:pPr>
      <w:r>
        <w:t>Reset data sources (GI, Layerfiles)</w:t>
      </w:r>
    </w:p>
    <w:p w14:paraId="4E605994" w14:textId="280694BA" w:rsidR="00171EFC" w:rsidRDefault="00171EFC" w:rsidP="00171EFC">
      <w:pPr>
        <w:pStyle w:val="ListParagraph"/>
        <w:numPr>
          <w:ilvl w:val="0"/>
          <w:numId w:val="2"/>
        </w:numPr>
      </w:pPr>
      <w:r>
        <w:t>Update EDW ETLs with EDW</w:t>
      </w:r>
    </w:p>
    <w:p w14:paraId="1F846057" w14:textId="1AD1B022" w:rsidR="00171EFC" w:rsidRDefault="00171EFC" w:rsidP="00171EFC">
      <w:pPr>
        <w:pStyle w:val="ListParagraph"/>
        <w:numPr>
          <w:ilvl w:val="0"/>
          <w:numId w:val="2"/>
        </w:numPr>
      </w:pPr>
      <w:r>
        <w:t>Verify Data Assessment tool connections</w:t>
      </w:r>
    </w:p>
    <w:p w14:paraId="795EBADA" w14:textId="6953A1A5" w:rsidR="00AD223C" w:rsidRDefault="00AD223C" w:rsidP="00171EFC">
      <w:pPr>
        <w:pStyle w:val="ListParagraph"/>
        <w:numPr>
          <w:ilvl w:val="0"/>
          <w:numId w:val="2"/>
        </w:numPr>
      </w:pPr>
      <w:r>
        <w:t>Organize Layer file directory themes to match FDS themes</w:t>
      </w:r>
    </w:p>
    <w:p w14:paraId="7BD3DEF6" w14:textId="4EDE39CE" w:rsidR="00171EFC" w:rsidRDefault="00171EFC" w:rsidP="00171EFC">
      <w:pPr>
        <w:pStyle w:val="ListParagraph"/>
        <w:numPr>
          <w:ilvl w:val="0"/>
          <w:numId w:val="2"/>
        </w:numPr>
      </w:pPr>
      <w:r>
        <w:t xml:space="preserve">Rollout the new FDS structure to your </w:t>
      </w:r>
      <w:r w:rsidR="009335EF">
        <w:t>unit users (update project links if required)</w:t>
      </w:r>
    </w:p>
    <w:p w14:paraId="3E5C8162" w14:textId="5CEBD315" w:rsidR="009335EF" w:rsidRDefault="009335EF" w:rsidP="00171EFC">
      <w:pPr>
        <w:pStyle w:val="ListParagraph"/>
        <w:numPr>
          <w:ilvl w:val="0"/>
          <w:numId w:val="2"/>
        </w:numPr>
      </w:pPr>
      <w:r>
        <w:t>Remove legacy file structure</w:t>
      </w:r>
    </w:p>
    <w:p w14:paraId="5E0DBCCC" w14:textId="07B03905" w:rsidR="00DD0EE9" w:rsidRDefault="009335EF" w:rsidP="00171EFC">
      <w:pPr>
        <w:pStyle w:val="ListParagraph"/>
        <w:numPr>
          <w:ilvl w:val="0"/>
          <w:numId w:val="2"/>
        </w:numPr>
      </w:pPr>
      <w:r>
        <w:t xml:space="preserve">Finalize </w:t>
      </w:r>
      <w:r w:rsidR="00AD223C">
        <w:t>unit GIS file catalog and data steward</w:t>
      </w:r>
      <w:r w:rsidR="00DD0EE9">
        <w:t>ship responsibilities</w:t>
      </w:r>
    </w:p>
    <w:p w14:paraId="0E882DD7" w14:textId="77777777" w:rsidR="00DD0EE9" w:rsidRDefault="00DD0EE9">
      <w:r>
        <w:br w:type="page"/>
      </w:r>
    </w:p>
    <w:p w14:paraId="620C29E6" w14:textId="78384C41" w:rsidR="009335EF" w:rsidRDefault="009335EF" w:rsidP="00DD0EE9"/>
    <w:p w14:paraId="22D25B04" w14:textId="04021AB9" w:rsidR="00DD0EE9" w:rsidRDefault="00DD0EE9" w:rsidP="00DD0EE9">
      <w:r>
        <w:t>VDC</w:t>
      </w:r>
      <w:r w:rsidR="0052782F">
        <w:t xml:space="preserve"> SDE</w:t>
      </w:r>
      <w:r>
        <w:t xml:space="preserve"> Inventory</w:t>
      </w:r>
    </w:p>
    <w:p w14:paraId="7E83550C" w14:textId="0C190C36" w:rsidR="0052782F" w:rsidRDefault="00B147BB" w:rsidP="00DD0EE9">
      <w:r>
        <w:t xml:space="preserve">A complete VDC </w:t>
      </w:r>
      <w:r w:rsidR="0052782F">
        <w:t xml:space="preserve">SDE </w:t>
      </w:r>
      <w:r>
        <w:t xml:space="preserve">inventory should be completed by the unit SDE manager using the SDE </w:t>
      </w:r>
      <w:r w:rsidR="0052782F">
        <w:t>m</w:t>
      </w:r>
      <w:r>
        <w:t>anager toolbox. This tool will produce a spreadsheet that can be used to categorize data into business themes. This can also provide insights into data source options by highlighting if a FC can be discarded in favor of an existing EDW source.</w:t>
      </w:r>
      <w:r w:rsidR="0052782F">
        <w:t xml:space="preserve"> Using EDW data instead of maintaining a standalone FC in SDE reducing data stewardship responsibilities to the unit. The VDC SDE inventory output can also be used to build the unit GIS file catalog referenced later in this document. The following are the suggested inventory steps:</w:t>
      </w:r>
    </w:p>
    <w:p w14:paraId="3A3EF790" w14:textId="027F7835" w:rsidR="0052782F" w:rsidRPr="0052782F" w:rsidRDefault="0052782F" w:rsidP="0052782F">
      <w:pPr>
        <w:pStyle w:val="ListParagraph"/>
        <w:numPr>
          <w:ilvl w:val="0"/>
          <w:numId w:val="3"/>
        </w:numPr>
      </w:pPr>
      <w:r>
        <w:t>Run Inventory tool (</w:t>
      </w:r>
      <w:r w:rsidRPr="00B147BB">
        <w:rPr>
          <w:i/>
          <w:iCs/>
          <w:u w:val="single"/>
        </w:rPr>
        <w:t xml:space="preserve">T:\FS\Reference\GeoTool\agency\Toolbox\CIOToolbox\SDE Manager </w:t>
      </w:r>
      <w:proofErr w:type="spellStart"/>
      <w:r w:rsidRPr="00B147BB">
        <w:rPr>
          <w:i/>
          <w:iCs/>
          <w:u w:val="single"/>
        </w:rPr>
        <w:t>Toolbox.pyt</w:t>
      </w:r>
      <w:proofErr w:type="spellEnd"/>
      <w:r w:rsidRPr="00B147BB">
        <w:rPr>
          <w:i/>
          <w:iCs/>
          <w:u w:val="single"/>
        </w:rPr>
        <w:t>\Inventory\Inventory Geodatabase</w:t>
      </w:r>
      <w:r>
        <w:rPr>
          <w:i/>
          <w:iCs/>
          <w:u w:val="single"/>
        </w:rPr>
        <w:t>)</w:t>
      </w:r>
    </w:p>
    <w:p w14:paraId="6F333CBA" w14:textId="1AB6E189" w:rsidR="0052782F" w:rsidRDefault="0052782F" w:rsidP="0052782F">
      <w:pPr>
        <w:pStyle w:val="ListParagraph"/>
        <w:numPr>
          <w:ilvl w:val="0"/>
          <w:numId w:val="3"/>
        </w:numPr>
      </w:pPr>
      <w:r>
        <w:t xml:space="preserve">Add a column </w:t>
      </w:r>
      <w:r w:rsidR="00DD154E">
        <w:t xml:space="preserve">named “Theme” </w:t>
      </w:r>
      <w:r>
        <w:t>to the spreadsheet and assign a theme to each FC</w:t>
      </w:r>
    </w:p>
    <w:p w14:paraId="033CF706" w14:textId="1564A9CC" w:rsidR="0052782F" w:rsidRDefault="0052782F" w:rsidP="0052782F">
      <w:pPr>
        <w:pStyle w:val="ListParagraph"/>
        <w:numPr>
          <w:ilvl w:val="0"/>
          <w:numId w:val="3"/>
        </w:numPr>
      </w:pPr>
      <w:r>
        <w:t xml:space="preserve">Review existing FCs to see if they exist in the EDW. If </w:t>
      </w:r>
      <w:r w:rsidR="00DD154E">
        <w:t>so,</w:t>
      </w:r>
      <w:r>
        <w:t xml:space="preserve"> consider deleting FC and sourcing EDW layer in your layer file directory</w:t>
      </w:r>
    </w:p>
    <w:p w14:paraId="25FC40E0" w14:textId="59FA28F1" w:rsidR="0052782F" w:rsidRDefault="00DD154E" w:rsidP="0052782F">
      <w:pPr>
        <w:pStyle w:val="ListParagraph"/>
        <w:numPr>
          <w:ilvl w:val="0"/>
          <w:numId w:val="3"/>
        </w:numPr>
      </w:pPr>
      <w:r>
        <w:t>Update the spreadsheet to reflect changes and retain for use with GIS file catalog</w:t>
      </w:r>
    </w:p>
    <w:p w14:paraId="6D017C77" w14:textId="5E8B592B" w:rsidR="00DD154E" w:rsidRDefault="00DD154E" w:rsidP="00DD154E">
      <w:r>
        <w:t>Convert VDC SDE to FDSs</w:t>
      </w:r>
    </w:p>
    <w:p w14:paraId="6BDEEEF2" w14:textId="4CC1C18A" w:rsidR="00336540" w:rsidRDefault="00336540" w:rsidP="00DD154E">
      <w:r>
        <w:t>Feature datasets should be created using core business themes provided by the Region. Existing data with matching themes will be migrated to the appropriate FDS. Additional FDSs may be added to accommodate individual unit needs. Core business themes are provided in Appendix 1.</w:t>
      </w:r>
      <w:r w:rsidR="00DF288F">
        <w:t xml:space="preserve"> The following are suggested conversion steps:</w:t>
      </w:r>
    </w:p>
    <w:p w14:paraId="402AB9F4" w14:textId="6EBFB37E" w:rsidR="00DF288F" w:rsidRDefault="00DF288F" w:rsidP="00DF288F">
      <w:pPr>
        <w:pStyle w:val="ListParagraph"/>
        <w:numPr>
          <w:ilvl w:val="0"/>
          <w:numId w:val="5"/>
        </w:numPr>
      </w:pPr>
      <w:r>
        <w:t xml:space="preserve">Create core FDSs </w:t>
      </w:r>
      <w:r w:rsidR="00C51F04">
        <w:t>using National DD if one exists (use local projection where applicable)</w:t>
      </w:r>
    </w:p>
    <w:p w14:paraId="7BBBD281" w14:textId="7C52B419" w:rsidR="00DF288F" w:rsidRDefault="00DF288F" w:rsidP="00DF288F">
      <w:pPr>
        <w:pStyle w:val="ListParagraph"/>
        <w:numPr>
          <w:ilvl w:val="0"/>
          <w:numId w:val="5"/>
        </w:numPr>
      </w:pPr>
      <w:r>
        <w:t>Create optional core FDSs (use local projection where applicable)</w:t>
      </w:r>
    </w:p>
    <w:p w14:paraId="391CB90D" w14:textId="2CB0E6F2" w:rsidR="00C51F04" w:rsidRDefault="00C51F04" w:rsidP="00C51F04">
      <w:pPr>
        <w:pStyle w:val="ListParagraph"/>
        <w:numPr>
          <w:ilvl w:val="0"/>
          <w:numId w:val="5"/>
        </w:numPr>
      </w:pPr>
      <w:r>
        <w:t>Migrate feature classes to FDSs (remove theme prefix from FC name)</w:t>
      </w:r>
    </w:p>
    <w:p w14:paraId="1998A337" w14:textId="4DE04F59" w:rsidR="00C51F04" w:rsidRDefault="00C51F04" w:rsidP="00C51F04">
      <w:pPr>
        <w:pStyle w:val="ListParagraph"/>
        <w:numPr>
          <w:ilvl w:val="1"/>
          <w:numId w:val="5"/>
        </w:numPr>
      </w:pPr>
      <w:r>
        <w:t>Migrate to National DD FC where applicable</w:t>
      </w:r>
    </w:p>
    <w:p w14:paraId="3150F54E" w14:textId="4386A051" w:rsidR="00C51F04" w:rsidRDefault="00C51F04" w:rsidP="00C51F04">
      <w:pPr>
        <w:pStyle w:val="ListParagraph"/>
        <w:numPr>
          <w:ilvl w:val="1"/>
          <w:numId w:val="5"/>
        </w:numPr>
      </w:pPr>
      <w:r>
        <w:t>Use National DD theme FDS for like themed FCs</w:t>
      </w:r>
    </w:p>
    <w:p w14:paraId="1EC114A7" w14:textId="7425A455" w:rsidR="00C51F04" w:rsidRDefault="00C51F04" w:rsidP="00C51F04">
      <w:pPr>
        <w:pStyle w:val="ListParagraph"/>
        <w:numPr>
          <w:ilvl w:val="1"/>
          <w:numId w:val="5"/>
        </w:numPr>
      </w:pPr>
      <w:r>
        <w:t>Remove National DD FCs if type of data is not maintained by unit</w:t>
      </w:r>
    </w:p>
    <w:p w14:paraId="631E4E3B" w14:textId="526E4AD4" w:rsidR="00C51F04" w:rsidRDefault="00C51F04" w:rsidP="00C51F04">
      <w:pPr>
        <w:pStyle w:val="ListParagraph"/>
        <w:numPr>
          <w:ilvl w:val="0"/>
          <w:numId w:val="5"/>
        </w:numPr>
      </w:pPr>
      <w:r>
        <w:t>Assign SDE_VIEW to FDSs when ready for users</w:t>
      </w:r>
    </w:p>
    <w:p w14:paraId="6C399144" w14:textId="66349764" w:rsidR="00C51F04" w:rsidRDefault="00C51F04" w:rsidP="00C51F04">
      <w:pPr>
        <w:pStyle w:val="ListParagraph"/>
        <w:numPr>
          <w:ilvl w:val="0"/>
          <w:numId w:val="5"/>
        </w:numPr>
      </w:pPr>
      <w:r>
        <w:t>Consider versioned editing for each FDS where applicable</w:t>
      </w:r>
    </w:p>
    <w:p w14:paraId="0AA0D224" w14:textId="4A8EDEA5" w:rsidR="00C51F04" w:rsidRDefault="00C51F04" w:rsidP="00C51F04">
      <w:pPr>
        <w:pStyle w:val="ListParagraph"/>
        <w:numPr>
          <w:ilvl w:val="0"/>
          <w:numId w:val="5"/>
        </w:numPr>
      </w:pPr>
      <w:r>
        <w:t>Update EDW, GI, layer files, and project connections</w:t>
      </w:r>
    </w:p>
    <w:p w14:paraId="66003C40" w14:textId="60545E27" w:rsidR="00C51F04" w:rsidRDefault="00C51F04" w:rsidP="00C51F04">
      <w:pPr>
        <w:pStyle w:val="ListParagraph"/>
        <w:numPr>
          <w:ilvl w:val="0"/>
          <w:numId w:val="5"/>
        </w:numPr>
      </w:pPr>
      <w:r>
        <w:t>Connect data assessment tool via EDW contact (Region will assist)</w:t>
      </w:r>
    </w:p>
    <w:p w14:paraId="1FACDA1B" w14:textId="698FB687" w:rsidR="00297341" w:rsidRDefault="00297341" w:rsidP="00C51F04">
      <w:pPr>
        <w:pStyle w:val="ListParagraph"/>
        <w:numPr>
          <w:ilvl w:val="0"/>
          <w:numId w:val="5"/>
        </w:numPr>
      </w:pPr>
      <w:r>
        <w:t>Remove legacy FCs from VDC SDE</w:t>
      </w:r>
    </w:p>
    <w:p w14:paraId="495A422B" w14:textId="630330F2" w:rsidR="00297341" w:rsidRDefault="00297341" w:rsidP="00297341">
      <w:r>
        <w:t>Create/Update Layer File Directory</w:t>
      </w:r>
    </w:p>
    <w:p w14:paraId="0C799FBD" w14:textId="6D18EDD1" w:rsidR="00297341" w:rsidRDefault="00297341" w:rsidP="00297341">
      <w:r>
        <w:t xml:space="preserve">Layer files will need to be reconnected to the appropriate data source. Consideration to the upcoming ArcGIS Pro transition is advised. It is recommended that the ArcMap layer files be reconnected and used if ArcGIS Pro if possible. If Pro layers are required, they should be placed under the appropriate theme folder with “ArcGIS Pro” indicated in the layer file name. Layer files will have to be recreated eventually when the ArcGIS Pro transition is complete. </w:t>
      </w:r>
      <w:r w:rsidR="00073F93">
        <w:t xml:space="preserve">Layer file themes should match FDS themes where applicable. </w:t>
      </w:r>
      <w:r w:rsidR="00DF6363">
        <w:t xml:space="preserve">If the unit decides to create layer files from EDW </w:t>
      </w:r>
      <w:proofErr w:type="gramStart"/>
      <w:r w:rsidR="00DF6363">
        <w:t>data</w:t>
      </w:r>
      <w:proofErr w:type="gramEnd"/>
      <w:r w:rsidR="00DF6363">
        <w:t xml:space="preserve"> then “_EDW” should be placed after the </w:t>
      </w:r>
      <w:proofErr w:type="spellStart"/>
      <w:r w:rsidR="00DF6363">
        <w:t>layerfile</w:t>
      </w:r>
      <w:proofErr w:type="spellEnd"/>
      <w:r w:rsidR="00DF6363">
        <w:t xml:space="preserve"> name to indicate source. </w:t>
      </w:r>
      <w:r>
        <w:t xml:space="preserve">Suggested </w:t>
      </w:r>
      <w:r w:rsidR="00073F93">
        <w:t xml:space="preserve">core </w:t>
      </w:r>
      <w:r>
        <w:t xml:space="preserve">layer file </w:t>
      </w:r>
      <w:r w:rsidR="00073F93">
        <w:t xml:space="preserve">directory </w:t>
      </w:r>
      <w:r>
        <w:t>themes are illustrated in table 1.</w:t>
      </w:r>
    </w:p>
    <w:p w14:paraId="10F8FA2B" w14:textId="77777777" w:rsidR="00073F93" w:rsidRDefault="00073F93" w:rsidP="00073F93">
      <w:pPr>
        <w:spacing w:before="120" w:after="0" w:line="240" w:lineRule="auto"/>
        <w:rPr>
          <w:rFonts w:ascii="Calibri" w:hAnsi="Calibri"/>
          <w:b/>
          <w:sz w:val="24"/>
          <w:szCs w:val="24"/>
        </w:rPr>
      </w:pPr>
    </w:p>
    <w:p w14:paraId="722F9026" w14:textId="77777777" w:rsidR="00073F93" w:rsidRDefault="00073F93" w:rsidP="00073F93">
      <w:pPr>
        <w:spacing w:before="120" w:after="0" w:line="240" w:lineRule="auto"/>
        <w:rPr>
          <w:rFonts w:ascii="Calibri" w:hAnsi="Calibri"/>
          <w:b/>
          <w:sz w:val="24"/>
          <w:szCs w:val="24"/>
        </w:rPr>
      </w:pPr>
    </w:p>
    <w:p w14:paraId="69DAF044" w14:textId="77777777" w:rsidR="00073F93" w:rsidRDefault="00073F93" w:rsidP="00073F93">
      <w:pPr>
        <w:spacing w:before="120" w:after="0" w:line="240" w:lineRule="auto"/>
        <w:rPr>
          <w:rFonts w:ascii="Calibri" w:hAnsi="Calibri"/>
          <w:b/>
          <w:sz w:val="24"/>
          <w:szCs w:val="24"/>
        </w:rPr>
      </w:pPr>
    </w:p>
    <w:p w14:paraId="3CB2506B" w14:textId="25B9F439" w:rsidR="00073F93" w:rsidRDefault="00073F93" w:rsidP="00073F93">
      <w:pPr>
        <w:spacing w:before="120" w:after="0" w:line="240" w:lineRule="auto"/>
        <w:rPr>
          <w:rFonts w:ascii="Calibri" w:hAnsi="Calibri"/>
          <w:sz w:val="24"/>
          <w:szCs w:val="24"/>
        </w:rPr>
      </w:pPr>
      <w:r w:rsidRPr="0003469F">
        <w:rPr>
          <w:rFonts w:ascii="Calibri" w:hAnsi="Calibri"/>
          <w:b/>
          <w:sz w:val="24"/>
          <w:szCs w:val="24"/>
        </w:rPr>
        <w:t xml:space="preserve">Table </w:t>
      </w:r>
      <w:r>
        <w:rPr>
          <w:rFonts w:ascii="Calibri" w:hAnsi="Calibri"/>
          <w:b/>
          <w:sz w:val="24"/>
          <w:szCs w:val="24"/>
        </w:rPr>
        <w:t>1</w:t>
      </w:r>
      <w:r>
        <w:rPr>
          <w:rFonts w:ascii="Calibri" w:hAnsi="Calibri"/>
          <w:sz w:val="24"/>
          <w:szCs w:val="24"/>
        </w:rPr>
        <w:t>.  Layer file directory themes.</w:t>
      </w:r>
    </w:p>
    <w:tbl>
      <w:tblPr>
        <w:tblStyle w:val="TableGrid"/>
        <w:tblW w:w="9355" w:type="dxa"/>
        <w:tblLayout w:type="fixed"/>
        <w:tblLook w:val="04A0" w:firstRow="1" w:lastRow="0" w:firstColumn="1" w:lastColumn="0" w:noHBand="0" w:noVBand="1"/>
      </w:tblPr>
      <w:tblGrid>
        <w:gridCol w:w="2155"/>
        <w:gridCol w:w="2155"/>
        <w:gridCol w:w="5045"/>
      </w:tblGrid>
      <w:tr w:rsidR="00073F93" w14:paraId="3AF84527" w14:textId="77777777" w:rsidTr="00073F93">
        <w:trPr>
          <w:tblHeader/>
        </w:trPr>
        <w:tc>
          <w:tcPr>
            <w:tcW w:w="9355" w:type="dxa"/>
            <w:gridSpan w:val="3"/>
            <w:shd w:val="clear" w:color="auto" w:fill="BFBFBF" w:themeFill="background1" w:themeFillShade="BF"/>
            <w:vAlign w:val="bottom"/>
          </w:tcPr>
          <w:p w14:paraId="1FC3F0C4" w14:textId="77777777" w:rsidR="00073F93" w:rsidRPr="009C1E50" w:rsidRDefault="00073F93" w:rsidP="005714C4">
            <w:pPr>
              <w:spacing w:before="120"/>
              <w:jc w:val="center"/>
              <w:rPr>
                <w:rFonts w:ascii="Calibri" w:hAnsi="Calibri"/>
                <w:b/>
                <w:sz w:val="24"/>
                <w:szCs w:val="24"/>
              </w:rPr>
            </w:pPr>
            <w:r>
              <w:rPr>
                <w:rFonts w:ascii="Calibri" w:hAnsi="Calibri"/>
                <w:b/>
                <w:sz w:val="24"/>
                <w:szCs w:val="24"/>
              </w:rPr>
              <w:t xml:space="preserve">Layer File </w:t>
            </w:r>
            <w:r w:rsidRPr="009C1E50">
              <w:rPr>
                <w:rFonts w:ascii="Calibri" w:hAnsi="Calibri"/>
                <w:b/>
                <w:sz w:val="24"/>
                <w:szCs w:val="24"/>
              </w:rPr>
              <w:t>Theme</w:t>
            </w:r>
          </w:p>
        </w:tc>
      </w:tr>
      <w:tr w:rsidR="00F85E92" w14:paraId="7F5283ED" w14:textId="77777777" w:rsidTr="00073F93">
        <w:tc>
          <w:tcPr>
            <w:tcW w:w="2155" w:type="dxa"/>
            <w:vAlign w:val="center"/>
          </w:tcPr>
          <w:p w14:paraId="6181BA9D" w14:textId="77777777" w:rsidR="00F85E92" w:rsidRPr="009C1E50" w:rsidRDefault="00F85E92" w:rsidP="005714C4">
            <w:pPr>
              <w:spacing w:before="120"/>
              <w:rPr>
                <w:rFonts w:ascii="Calibri" w:hAnsi="Calibri"/>
                <w:color w:val="FF0000"/>
                <w:sz w:val="24"/>
                <w:szCs w:val="24"/>
              </w:rPr>
            </w:pPr>
            <w:r w:rsidRPr="009C1E50">
              <w:rPr>
                <w:rFonts w:ascii="Calibri" w:hAnsi="Calibri"/>
                <w:sz w:val="24"/>
                <w:szCs w:val="24"/>
              </w:rPr>
              <w:t xml:space="preserve">Aquatic </w:t>
            </w:r>
          </w:p>
        </w:tc>
        <w:tc>
          <w:tcPr>
            <w:tcW w:w="2155" w:type="dxa"/>
            <w:vAlign w:val="center"/>
          </w:tcPr>
          <w:p w14:paraId="48E103E2" w14:textId="134AE7FF" w:rsidR="00F85E92" w:rsidRPr="009C1E50" w:rsidRDefault="00F85E92" w:rsidP="005714C4">
            <w:pPr>
              <w:spacing w:before="120"/>
              <w:rPr>
                <w:rFonts w:ascii="Calibri" w:hAnsi="Calibri"/>
                <w:sz w:val="24"/>
                <w:szCs w:val="24"/>
              </w:rPr>
            </w:pPr>
            <w:r w:rsidRPr="009C1E50">
              <w:rPr>
                <w:rFonts w:ascii="Calibri" w:hAnsi="Calibri"/>
                <w:sz w:val="24"/>
                <w:szCs w:val="24"/>
              </w:rPr>
              <w:t>Minerals</w:t>
            </w:r>
          </w:p>
        </w:tc>
        <w:tc>
          <w:tcPr>
            <w:tcW w:w="5045" w:type="dxa"/>
            <w:vAlign w:val="center"/>
          </w:tcPr>
          <w:p w14:paraId="7B5ECFB0" w14:textId="581ACE2C" w:rsidR="00F85E92" w:rsidRPr="009C1E50" w:rsidRDefault="00F85E92" w:rsidP="005714C4">
            <w:pPr>
              <w:spacing w:before="120"/>
              <w:rPr>
                <w:rFonts w:ascii="Calibri" w:hAnsi="Calibri"/>
                <w:sz w:val="24"/>
                <w:szCs w:val="24"/>
              </w:rPr>
            </w:pPr>
            <w:r w:rsidRPr="009C1E50">
              <w:rPr>
                <w:rFonts w:ascii="Calibri" w:hAnsi="Calibri"/>
                <w:sz w:val="24"/>
                <w:szCs w:val="24"/>
              </w:rPr>
              <w:t>Utility</w:t>
            </w:r>
          </w:p>
        </w:tc>
      </w:tr>
      <w:tr w:rsidR="00F85E92" w14:paraId="4F2D8D13" w14:textId="77777777" w:rsidTr="00073F93">
        <w:tc>
          <w:tcPr>
            <w:tcW w:w="2155" w:type="dxa"/>
            <w:vAlign w:val="center"/>
          </w:tcPr>
          <w:p w14:paraId="1B9C1801" w14:textId="77777777" w:rsidR="00F85E92" w:rsidRPr="009C1E50" w:rsidRDefault="00F85E92" w:rsidP="005714C4">
            <w:pPr>
              <w:spacing w:before="120"/>
              <w:rPr>
                <w:rFonts w:ascii="Calibri" w:hAnsi="Calibri"/>
                <w:color w:val="FF0000"/>
                <w:sz w:val="24"/>
                <w:szCs w:val="24"/>
              </w:rPr>
            </w:pPr>
            <w:r w:rsidRPr="009C1E50">
              <w:rPr>
                <w:rFonts w:ascii="Calibri" w:hAnsi="Calibri"/>
                <w:sz w:val="24"/>
                <w:szCs w:val="24"/>
              </w:rPr>
              <w:t>Ecology</w:t>
            </w:r>
          </w:p>
        </w:tc>
        <w:tc>
          <w:tcPr>
            <w:tcW w:w="2155" w:type="dxa"/>
            <w:vAlign w:val="center"/>
          </w:tcPr>
          <w:p w14:paraId="4E51B069" w14:textId="59558C4C" w:rsidR="00F85E92" w:rsidRPr="009C1E50" w:rsidRDefault="00F85E92" w:rsidP="005714C4">
            <w:pPr>
              <w:spacing w:before="120"/>
              <w:rPr>
                <w:rFonts w:ascii="Calibri" w:hAnsi="Calibri"/>
                <w:sz w:val="24"/>
                <w:szCs w:val="24"/>
              </w:rPr>
            </w:pPr>
            <w:r>
              <w:rPr>
                <w:rFonts w:ascii="Calibri" w:hAnsi="Calibri"/>
                <w:sz w:val="24"/>
                <w:szCs w:val="24"/>
              </w:rPr>
              <w:t>“Theme”_NonFS</w:t>
            </w:r>
          </w:p>
        </w:tc>
        <w:tc>
          <w:tcPr>
            <w:tcW w:w="5045" w:type="dxa"/>
            <w:vAlign w:val="center"/>
          </w:tcPr>
          <w:p w14:paraId="2EE98204" w14:textId="7C35A60E" w:rsidR="00F85E92" w:rsidRPr="009C1E50" w:rsidRDefault="00F85E92" w:rsidP="005714C4">
            <w:pPr>
              <w:spacing w:before="120"/>
              <w:rPr>
                <w:rFonts w:ascii="Calibri" w:hAnsi="Calibri"/>
                <w:sz w:val="24"/>
                <w:szCs w:val="24"/>
              </w:rPr>
            </w:pPr>
            <w:r w:rsidRPr="009C1E50">
              <w:rPr>
                <w:rFonts w:ascii="Calibri" w:hAnsi="Calibri"/>
                <w:sz w:val="24"/>
                <w:szCs w:val="24"/>
              </w:rPr>
              <w:t>Vegetation</w:t>
            </w:r>
          </w:p>
        </w:tc>
      </w:tr>
      <w:tr w:rsidR="00F85E92" w14:paraId="1FA9877F" w14:textId="77777777" w:rsidTr="00073F93">
        <w:tc>
          <w:tcPr>
            <w:tcW w:w="2155" w:type="dxa"/>
            <w:vAlign w:val="center"/>
          </w:tcPr>
          <w:p w14:paraId="511F8568" w14:textId="238911D5" w:rsidR="00F85E92" w:rsidRPr="009C1E50" w:rsidRDefault="00F85E92" w:rsidP="005714C4">
            <w:pPr>
              <w:spacing w:before="120"/>
              <w:rPr>
                <w:rFonts w:ascii="Calibri" w:hAnsi="Calibri"/>
                <w:sz w:val="24"/>
                <w:szCs w:val="24"/>
              </w:rPr>
            </w:pPr>
            <w:r w:rsidRPr="009C1E50">
              <w:rPr>
                <w:rFonts w:ascii="Calibri" w:hAnsi="Calibri"/>
                <w:sz w:val="24"/>
                <w:szCs w:val="24"/>
              </w:rPr>
              <w:t>Elevation</w:t>
            </w:r>
          </w:p>
        </w:tc>
        <w:tc>
          <w:tcPr>
            <w:tcW w:w="2155" w:type="dxa"/>
            <w:vAlign w:val="center"/>
          </w:tcPr>
          <w:p w14:paraId="414DBBFA" w14:textId="4E4FEDA1" w:rsidR="00F85E92" w:rsidRPr="009C1E50" w:rsidRDefault="00F85E92" w:rsidP="005714C4">
            <w:pPr>
              <w:spacing w:before="120"/>
              <w:rPr>
                <w:rFonts w:ascii="Calibri" w:hAnsi="Calibri"/>
                <w:sz w:val="24"/>
                <w:szCs w:val="24"/>
              </w:rPr>
            </w:pPr>
            <w:r w:rsidRPr="009C1E50">
              <w:rPr>
                <w:rFonts w:ascii="Calibri" w:hAnsi="Calibri"/>
                <w:sz w:val="24"/>
                <w:szCs w:val="24"/>
              </w:rPr>
              <w:t>Planning</w:t>
            </w:r>
          </w:p>
        </w:tc>
        <w:tc>
          <w:tcPr>
            <w:tcW w:w="5045" w:type="dxa"/>
            <w:vAlign w:val="center"/>
          </w:tcPr>
          <w:p w14:paraId="5E312D73" w14:textId="286A7A0B" w:rsidR="00F85E92" w:rsidRPr="009C1E50" w:rsidRDefault="00F85E92" w:rsidP="005714C4">
            <w:pPr>
              <w:spacing w:before="120"/>
              <w:rPr>
                <w:rFonts w:ascii="Calibri" w:hAnsi="Calibri"/>
                <w:sz w:val="24"/>
                <w:szCs w:val="24"/>
              </w:rPr>
            </w:pPr>
            <w:r w:rsidRPr="009C1E50">
              <w:rPr>
                <w:rFonts w:ascii="Calibri" w:hAnsi="Calibri"/>
                <w:sz w:val="24"/>
                <w:szCs w:val="24"/>
              </w:rPr>
              <w:t>Water</w:t>
            </w:r>
          </w:p>
        </w:tc>
      </w:tr>
      <w:tr w:rsidR="00F85E92" w14:paraId="5A0E3542" w14:textId="77777777" w:rsidTr="00073F93">
        <w:tc>
          <w:tcPr>
            <w:tcW w:w="2155" w:type="dxa"/>
            <w:vAlign w:val="center"/>
          </w:tcPr>
          <w:p w14:paraId="2189DF88" w14:textId="63EAE0BC" w:rsidR="00F85E92" w:rsidRPr="009C1E50" w:rsidRDefault="00F85E92" w:rsidP="005714C4">
            <w:pPr>
              <w:spacing w:before="120"/>
              <w:rPr>
                <w:rFonts w:ascii="Calibri" w:hAnsi="Calibri"/>
                <w:color w:val="FF0000"/>
                <w:sz w:val="24"/>
                <w:szCs w:val="24"/>
              </w:rPr>
            </w:pPr>
            <w:r w:rsidRPr="009C1E50">
              <w:rPr>
                <w:rFonts w:ascii="Calibri" w:hAnsi="Calibri"/>
                <w:sz w:val="24"/>
                <w:szCs w:val="24"/>
              </w:rPr>
              <w:t>Facility</w:t>
            </w:r>
          </w:p>
        </w:tc>
        <w:tc>
          <w:tcPr>
            <w:tcW w:w="2155" w:type="dxa"/>
            <w:vAlign w:val="center"/>
          </w:tcPr>
          <w:p w14:paraId="41511EC7" w14:textId="449B037E" w:rsidR="00F85E92" w:rsidRPr="009C1E50" w:rsidRDefault="00F85E92" w:rsidP="005714C4">
            <w:pPr>
              <w:spacing w:before="120"/>
              <w:rPr>
                <w:rFonts w:ascii="Calibri" w:hAnsi="Calibri"/>
                <w:sz w:val="24"/>
                <w:szCs w:val="24"/>
              </w:rPr>
            </w:pPr>
            <w:r w:rsidRPr="009C1E50">
              <w:rPr>
                <w:rFonts w:ascii="Calibri" w:hAnsi="Calibri"/>
                <w:sz w:val="24"/>
                <w:szCs w:val="24"/>
              </w:rPr>
              <w:t>Range</w:t>
            </w:r>
          </w:p>
        </w:tc>
        <w:tc>
          <w:tcPr>
            <w:tcW w:w="5045" w:type="dxa"/>
            <w:vAlign w:val="center"/>
          </w:tcPr>
          <w:p w14:paraId="60167EE0" w14:textId="71C089E3" w:rsidR="00F85E92" w:rsidRPr="009C1E50" w:rsidRDefault="00F85E92" w:rsidP="005714C4">
            <w:pPr>
              <w:spacing w:before="120"/>
              <w:rPr>
                <w:rFonts w:ascii="Calibri" w:hAnsi="Calibri"/>
                <w:sz w:val="24"/>
                <w:szCs w:val="24"/>
              </w:rPr>
            </w:pPr>
            <w:r w:rsidRPr="009C1E50">
              <w:rPr>
                <w:rFonts w:ascii="Calibri" w:hAnsi="Calibri"/>
                <w:sz w:val="24"/>
                <w:szCs w:val="24"/>
              </w:rPr>
              <w:t>Wildlife</w:t>
            </w:r>
          </w:p>
        </w:tc>
      </w:tr>
      <w:tr w:rsidR="00F85E92" w14:paraId="2C07EB66" w14:textId="77777777" w:rsidTr="0033691D">
        <w:tc>
          <w:tcPr>
            <w:tcW w:w="2155" w:type="dxa"/>
            <w:vAlign w:val="center"/>
          </w:tcPr>
          <w:p w14:paraId="6E1E15AB" w14:textId="0B9B7366" w:rsidR="00F85E92" w:rsidRPr="009C1E50" w:rsidRDefault="00F85E92" w:rsidP="005714C4">
            <w:pPr>
              <w:spacing w:before="120"/>
              <w:rPr>
                <w:rFonts w:ascii="Calibri" w:hAnsi="Calibri"/>
                <w:color w:val="FF0000"/>
                <w:sz w:val="24"/>
                <w:szCs w:val="24"/>
              </w:rPr>
            </w:pPr>
            <w:r w:rsidRPr="009C1E50">
              <w:rPr>
                <w:rFonts w:ascii="Calibri" w:hAnsi="Calibri"/>
                <w:sz w:val="24"/>
                <w:szCs w:val="24"/>
              </w:rPr>
              <w:t>Fire</w:t>
            </w:r>
            <w:r>
              <w:rPr>
                <w:rFonts w:ascii="Calibri" w:hAnsi="Calibri"/>
                <w:sz w:val="24"/>
                <w:szCs w:val="24"/>
              </w:rPr>
              <w:t xml:space="preserve"> Management</w:t>
            </w:r>
          </w:p>
        </w:tc>
        <w:tc>
          <w:tcPr>
            <w:tcW w:w="2155" w:type="dxa"/>
            <w:vAlign w:val="center"/>
          </w:tcPr>
          <w:p w14:paraId="13322228" w14:textId="3684EC47" w:rsidR="00F85E92" w:rsidRPr="009C1E50" w:rsidRDefault="00F85E92" w:rsidP="005714C4">
            <w:pPr>
              <w:spacing w:before="120"/>
              <w:rPr>
                <w:rFonts w:ascii="Calibri" w:hAnsi="Calibri"/>
                <w:sz w:val="24"/>
                <w:szCs w:val="24"/>
              </w:rPr>
            </w:pPr>
            <w:r w:rsidRPr="009C1E50">
              <w:rPr>
                <w:rFonts w:ascii="Calibri" w:hAnsi="Calibri"/>
                <w:sz w:val="24"/>
                <w:szCs w:val="24"/>
              </w:rPr>
              <w:t>Recreation</w:t>
            </w:r>
          </w:p>
        </w:tc>
        <w:tc>
          <w:tcPr>
            <w:tcW w:w="5045" w:type="dxa"/>
          </w:tcPr>
          <w:p w14:paraId="055514B4" w14:textId="46BD5133" w:rsidR="00F85E92" w:rsidRPr="00DF6363" w:rsidRDefault="00DF6363" w:rsidP="005714C4">
            <w:pPr>
              <w:spacing w:before="120"/>
              <w:rPr>
                <w:rFonts w:ascii="Calibri" w:hAnsi="Calibri"/>
                <w:i/>
                <w:iCs/>
                <w:color w:val="FF0000"/>
                <w:sz w:val="24"/>
                <w:szCs w:val="24"/>
              </w:rPr>
            </w:pPr>
            <w:r w:rsidRPr="00DF6363">
              <w:rPr>
                <w:rFonts w:ascii="Calibri" w:hAnsi="Calibri"/>
                <w:i/>
                <w:iCs/>
                <w:color w:val="FF0000"/>
                <w:sz w:val="24"/>
                <w:szCs w:val="24"/>
              </w:rPr>
              <w:t>Optional: EDW (Add _EDW after name)</w:t>
            </w:r>
          </w:p>
        </w:tc>
      </w:tr>
      <w:tr w:rsidR="00F85E92" w14:paraId="3B9BDC01" w14:textId="77777777" w:rsidTr="00CF5FCF">
        <w:tc>
          <w:tcPr>
            <w:tcW w:w="2155" w:type="dxa"/>
            <w:vAlign w:val="center"/>
          </w:tcPr>
          <w:p w14:paraId="46DE6FC3" w14:textId="48D63385" w:rsidR="00F85E92" w:rsidRPr="009C1E50" w:rsidRDefault="00F85E92" w:rsidP="005714C4">
            <w:pPr>
              <w:spacing w:before="120"/>
              <w:rPr>
                <w:rFonts w:ascii="Calibri" w:hAnsi="Calibri"/>
                <w:color w:val="FF0000"/>
                <w:sz w:val="24"/>
                <w:szCs w:val="24"/>
              </w:rPr>
            </w:pPr>
            <w:r w:rsidRPr="009C1E50">
              <w:rPr>
                <w:rFonts w:ascii="Calibri" w:hAnsi="Calibri"/>
                <w:sz w:val="24"/>
                <w:szCs w:val="24"/>
              </w:rPr>
              <w:t>Geology</w:t>
            </w:r>
          </w:p>
        </w:tc>
        <w:tc>
          <w:tcPr>
            <w:tcW w:w="2155" w:type="dxa"/>
            <w:vAlign w:val="center"/>
          </w:tcPr>
          <w:p w14:paraId="5E725F29" w14:textId="7378D1A9" w:rsidR="00F85E92" w:rsidRPr="009C1E50" w:rsidRDefault="00F85E92" w:rsidP="005714C4">
            <w:pPr>
              <w:spacing w:before="120"/>
              <w:rPr>
                <w:rFonts w:ascii="Calibri" w:hAnsi="Calibri"/>
                <w:sz w:val="24"/>
                <w:szCs w:val="24"/>
              </w:rPr>
            </w:pPr>
            <w:r w:rsidRPr="009C1E50">
              <w:rPr>
                <w:rFonts w:ascii="Calibri" w:hAnsi="Calibri"/>
                <w:sz w:val="24"/>
                <w:szCs w:val="24"/>
              </w:rPr>
              <w:t>Scenery</w:t>
            </w:r>
          </w:p>
        </w:tc>
        <w:tc>
          <w:tcPr>
            <w:tcW w:w="5045" w:type="dxa"/>
          </w:tcPr>
          <w:p w14:paraId="64B98122" w14:textId="032A0D55" w:rsidR="00F85E92" w:rsidRPr="009C1E50" w:rsidRDefault="00F85E92" w:rsidP="005714C4">
            <w:pPr>
              <w:spacing w:before="120"/>
              <w:rPr>
                <w:rFonts w:ascii="Calibri" w:hAnsi="Calibri"/>
                <w:sz w:val="24"/>
                <w:szCs w:val="24"/>
              </w:rPr>
            </w:pPr>
          </w:p>
        </w:tc>
      </w:tr>
      <w:tr w:rsidR="00F85E92" w14:paraId="7EF508CC" w14:textId="77777777" w:rsidTr="009D1A86">
        <w:tc>
          <w:tcPr>
            <w:tcW w:w="2155" w:type="dxa"/>
            <w:vAlign w:val="center"/>
          </w:tcPr>
          <w:p w14:paraId="6553E65B" w14:textId="33866E75" w:rsidR="00F85E92" w:rsidRPr="009C1E50" w:rsidRDefault="00F85E92" w:rsidP="005714C4">
            <w:pPr>
              <w:spacing w:before="120"/>
              <w:rPr>
                <w:rFonts w:ascii="Calibri" w:hAnsi="Calibri"/>
                <w:color w:val="FF0000"/>
                <w:sz w:val="24"/>
                <w:szCs w:val="24"/>
              </w:rPr>
            </w:pPr>
            <w:r w:rsidRPr="00EC3B26">
              <w:rPr>
                <w:rFonts w:ascii="Calibri" w:hAnsi="Calibri"/>
                <w:sz w:val="24"/>
                <w:szCs w:val="24"/>
              </w:rPr>
              <w:t>Heritage</w:t>
            </w:r>
          </w:p>
        </w:tc>
        <w:tc>
          <w:tcPr>
            <w:tcW w:w="2155" w:type="dxa"/>
            <w:vAlign w:val="center"/>
          </w:tcPr>
          <w:p w14:paraId="5EB922A6" w14:textId="703DE559" w:rsidR="00F85E92" w:rsidRPr="009C1E50" w:rsidRDefault="00F85E92" w:rsidP="005714C4">
            <w:pPr>
              <w:spacing w:before="120"/>
              <w:rPr>
                <w:rFonts w:ascii="Calibri" w:hAnsi="Calibri"/>
                <w:sz w:val="24"/>
                <w:szCs w:val="24"/>
              </w:rPr>
            </w:pPr>
            <w:r>
              <w:rPr>
                <w:rFonts w:ascii="Calibri" w:hAnsi="Calibri"/>
                <w:sz w:val="24"/>
                <w:szCs w:val="24"/>
              </w:rPr>
              <w:t>Special Uses</w:t>
            </w:r>
          </w:p>
        </w:tc>
        <w:tc>
          <w:tcPr>
            <w:tcW w:w="5045" w:type="dxa"/>
          </w:tcPr>
          <w:p w14:paraId="7F73223A" w14:textId="1CCD063A" w:rsidR="00F85E92" w:rsidRPr="009C1E50" w:rsidRDefault="00F85E92" w:rsidP="005714C4">
            <w:pPr>
              <w:spacing w:before="120"/>
              <w:rPr>
                <w:rFonts w:ascii="Calibri" w:hAnsi="Calibri"/>
                <w:sz w:val="24"/>
                <w:szCs w:val="24"/>
              </w:rPr>
            </w:pPr>
          </w:p>
        </w:tc>
      </w:tr>
      <w:tr w:rsidR="00F85E92" w14:paraId="13CEF41E" w14:textId="77777777" w:rsidTr="00073F93">
        <w:tc>
          <w:tcPr>
            <w:tcW w:w="2155" w:type="dxa"/>
            <w:vAlign w:val="center"/>
          </w:tcPr>
          <w:p w14:paraId="195F7286" w14:textId="7465DE94" w:rsidR="00F85E92" w:rsidRPr="00F85E92" w:rsidRDefault="00F85E92" w:rsidP="005714C4">
            <w:pPr>
              <w:spacing w:before="120"/>
              <w:rPr>
                <w:rFonts w:ascii="Calibri" w:hAnsi="Calibri"/>
                <w:sz w:val="24"/>
                <w:szCs w:val="24"/>
              </w:rPr>
            </w:pPr>
            <w:r>
              <w:rPr>
                <w:rFonts w:ascii="Calibri" w:hAnsi="Calibri"/>
                <w:sz w:val="24"/>
                <w:szCs w:val="24"/>
              </w:rPr>
              <w:t>Land</w:t>
            </w:r>
          </w:p>
        </w:tc>
        <w:tc>
          <w:tcPr>
            <w:tcW w:w="2155" w:type="dxa"/>
            <w:vAlign w:val="center"/>
          </w:tcPr>
          <w:p w14:paraId="7DB92E41" w14:textId="6FD30AF2" w:rsidR="00F85E92" w:rsidRPr="009C1E50" w:rsidRDefault="00F85E92" w:rsidP="005714C4">
            <w:pPr>
              <w:spacing w:before="120"/>
              <w:rPr>
                <w:rFonts w:ascii="Calibri" w:hAnsi="Calibri"/>
                <w:sz w:val="24"/>
                <w:szCs w:val="24"/>
              </w:rPr>
            </w:pPr>
            <w:r>
              <w:rPr>
                <w:rFonts w:ascii="Calibri" w:hAnsi="Calibri"/>
                <w:sz w:val="24"/>
                <w:szCs w:val="24"/>
              </w:rPr>
              <w:t>Transportation</w:t>
            </w:r>
          </w:p>
        </w:tc>
        <w:tc>
          <w:tcPr>
            <w:tcW w:w="5045" w:type="dxa"/>
          </w:tcPr>
          <w:p w14:paraId="443080EE" w14:textId="77777777" w:rsidR="00F85E92" w:rsidRPr="009C1E50" w:rsidRDefault="00F85E92" w:rsidP="005714C4">
            <w:pPr>
              <w:spacing w:before="120"/>
              <w:rPr>
                <w:rFonts w:ascii="Calibri" w:hAnsi="Calibri"/>
                <w:sz w:val="24"/>
                <w:szCs w:val="24"/>
              </w:rPr>
            </w:pPr>
          </w:p>
        </w:tc>
      </w:tr>
    </w:tbl>
    <w:p w14:paraId="5CE1D86E" w14:textId="77777777" w:rsidR="00073F93" w:rsidRDefault="00073F93" w:rsidP="00297341"/>
    <w:p w14:paraId="7821E956" w14:textId="77777777" w:rsidR="00297341" w:rsidRDefault="00297341" w:rsidP="00297341"/>
    <w:p w14:paraId="15B4067B" w14:textId="77777777" w:rsidR="00336540" w:rsidRDefault="00336540">
      <w:r>
        <w:br w:type="page"/>
      </w:r>
    </w:p>
    <w:p w14:paraId="4B96E95F" w14:textId="71BAF38D" w:rsidR="00336540" w:rsidRDefault="00336540" w:rsidP="00336540">
      <w:pPr>
        <w:jc w:val="center"/>
        <w:rPr>
          <w:b/>
          <w:bCs/>
          <w:sz w:val="40"/>
          <w:szCs w:val="40"/>
        </w:rPr>
      </w:pPr>
      <w:r>
        <w:rPr>
          <w:b/>
          <w:bCs/>
          <w:sz w:val="40"/>
          <w:szCs w:val="40"/>
        </w:rPr>
        <w:lastRenderedPageBreak/>
        <w:t>Appendix 1</w:t>
      </w:r>
    </w:p>
    <w:p w14:paraId="2C1E5FCF" w14:textId="5F67D791" w:rsidR="009E5CAC" w:rsidRDefault="009E5CAC" w:rsidP="00336540">
      <w:pPr>
        <w:jc w:val="center"/>
      </w:pPr>
      <w:r>
        <w:t>Core FDS Business Themes</w:t>
      </w:r>
    </w:p>
    <w:tbl>
      <w:tblPr>
        <w:tblStyle w:val="TableGrid"/>
        <w:tblW w:w="11700" w:type="dxa"/>
        <w:tblInd w:w="-1175" w:type="dxa"/>
        <w:tblLayout w:type="fixed"/>
        <w:tblLook w:val="04A0" w:firstRow="1" w:lastRow="0" w:firstColumn="1" w:lastColumn="0" w:noHBand="0" w:noVBand="1"/>
      </w:tblPr>
      <w:tblGrid>
        <w:gridCol w:w="2555"/>
        <w:gridCol w:w="9145"/>
      </w:tblGrid>
      <w:tr w:rsidR="009E5CAC" w14:paraId="380B67A6" w14:textId="77777777" w:rsidTr="009E5CAC">
        <w:trPr>
          <w:trHeight w:val="514"/>
          <w:tblHeader/>
        </w:trPr>
        <w:tc>
          <w:tcPr>
            <w:tcW w:w="2555" w:type="dxa"/>
            <w:shd w:val="clear" w:color="auto" w:fill="BFBFBF" w:themeFill="background1" w:themeFillShade="BF"/>
            <w:vAlign w:val="bottom"/>
          </w:tcPr>
          <w:p w14:paraId="5B4210A2" w14:textId="77777777" w:rsidR="009E5CAC" w:rsidRDefault="009E5CAC" w:rsidP="005714C4">
            <w:pPr>
              <w:spacing w:before="120"/>
              <w:rPr>
                <w:rFonts w:ascii="Calibri" w:hAnsi="Calibri"/>
                <w:color w:val="FF0000"/>
              </w:rPr>
            </w:pPr>
            <w:r>
              <w:rPr>
                <w:rFonts w:ascii="Calibri" w:hAnsi="Calibri"/>
                <w:b/>
              </w:rPr>
              <w:t xml:space="preserve">Generic </w:t>
            </w:r>
            <w:r w:rsidRPr="00B8129F">
              <w:rPr>
                <w:rFonts w:ascii="Calibri" w:hAnsi="Calibri"/>
                <w:b/>
              </w:rPr>
              <w:t>Theme</w:t>
            </w:r>
            <w:r>
              <w:rPr>
                <w:rFonts w:ascii="Calibri" w:hAnsi="Calibri"/>
                <w:b/>
              </w:rPr>
              <w:t xml:space="preserve"> Name</w:t>
            </w:r>
          </w:p>
        </w:tc>
        <w:tc>
          <w:tcPr>
            <w:tcW w:w="9145" w:type="dxa"/>
            <w:shd w:val="clear" w:color="auto" w:fill="BFBFBF" w:themeFill="background1" w:themeFillShade="BF"/>
            <w:vAlign w:val="bottom"/>
          </w:tcPr>
          <w:p w14:paraId="563811CD" w14:textId="77777777" w:rsidR="009E5CAC" w:rsidRDefault="009E5CAC" w:rsidP="005714C4">
            <w:pPr>
              <w:spacing w:before="120"/>
              <w:rPr>
                <w:rFonts w:ascii="Calibri" w:hAnsi="Calibri"/>
                <w:color w:val="FF0000"/>
              </w:rPr>
            </w:pPr>
            <w:r w:rsidRPr="00B8129F">
              <w:rPr>
                <w:rFonts w:ascii="Calibri" w:hAnsi="Calibri"/>
                <w:b/>
              </w:rPr>
              <w:t>Description</w:t>
            </w:r>
          </w:p>
        </w:tc>
      </w:tr>
      <w:tr w:rsidR="009E5CAC" w14:paraId="207B99F8" w14:textId="77777777" w:rsidTr="009E5CAC">
        <w:trPr>
          <w:trHeight w:val="741"/>
        </w:trPr>
        <w:tc>
          <w:tcPr>
            <w:tcW w:w="2555" w:type="dxa"/>
            <w:vAlign w:val="center"/>
          </w:tcPr>
          <w:p w14:paraId="5422E7FA" w14:textId="77777777" w:rsidR="009E5CAC" w:rsidRDefault="009E5CAC" w:rsidP="005714C4">
            <w:pPr>
              <w:rPr>
                <w:rFonts w:ascii="Calibri" w:hAnsi="Calibri"/>
                <w:color w:val="FF0000"/>
              </w:rPr>
            </w:pPr>
            <w:r>
              <w:rPr>
                <w:rFonts w:ascii="Calibri" w:hAnsi="Calibri"/>
              </w:rPr>
              <w:t xml:space="preserve">Aquatic </w:t>
            </w:r>
          </w:p>
        </w:tc>
        <w:tc>
          <w:tcPr>
            <w:tcW w:w="9145" w:type="dxa"/>
          </w:tcPr>
          <w:p w14:paraId="23F734C6" w14:textId="77777777" w:rsidR="009E5CAC" w:rsidRDefault="009E5CAC" w:rsidP="005714C4">
            <w:pPr>
              <w:spacing w:before="120"/>
              <w:rPr>
                <w:rFonts w:ascii="Calibri" w:hAnsi="Calibri"/>
                <w:color w:val="FF0000"/>
              </w:rPr>
            </w:pPr>
            <w:r w:rsidRPr="00A979B1">
              <w:rPr>
                <w:rFonts w:ascii="Calibri" w:hAnsi="Calibri"/>
              </w:rPr>
              <w:t>Repository for locations and habitat of organisms living in the water.  Fish, a</w:t>
            </w:r>
            <w:r>
              <w:rPr>
                <w:rFonts w:ascii="Calibri" w:hAnsi="Calibri"/>
              </w:rPr>
              <w:t>quatic insects, amphibians.</w:t>
            </w:r>
          </w:p>
        </w:tc>
      </w:tr>
      <w:tr w:rsidR="009E5CAC" w14:paraId="387951A4" w14:textId="77777777" w:rsidTr="003114B7">
        <w:trPr>
          <w:trHeight w:val="737"/>
        </w:trPr>
        <w:tc>
          <w:tcPr>
            <w:tcW w:w="2555" w:type="dxa"/>
            <w:vAlign w:val="center"/>
          </w:tcPr>
          <w:p w14:paraId="4ED6D121" w14:textId="77777777" w:rsidR="009E5CAC" w:rsidRDefault="009E5CAC" w:rsidP="005714C4">
            <w:pPr>
              <w:rPr>
                <w:rFonts w:ascii="Calibri" w:hAnsi="Calibri"/>
                <w:color w:val="FF0000"/>
              </w:rPr>
            </w:pPr>
            <w:r>
              <w:rPr>
                <w:rFonts w:ascii="Calibri" w:hAnsi="Calibri"/>
              </w:rPr>
              <w:t>Ecology</w:t>
            </w:r>
          </w:p>
        </w:tc>
        <w:tc>
          <w:tcPr>
            <w:tcW w:w="9145" w:type="dxa"/>
          </w:tcPr>
          <w:p w14:paraId="01831CCA" w14:textId="77777777" w:rsidR="009E5CAC" w:rsidRDefault="009E5CAC" w:rsidP="005714C4">
            <w:pPr>
              <w:spacing w:before="120"/>
              <w:rPr>
                <w:rFonts w:ascii="Calibri" w:hAnsi="Calibri"/>
                <w:color w:val="FF0000"/>
              </w:rPr>
            </w:pPr>
            <w:r>
              <w:rPr>
                <w:rFonts w:ascii="Calibri" w:hAnsi="Calibri"/>
              </w:rPr>
              <w:t xml:space="preserve">Repository for ecological-based corporate data.  Land type association (LTA), soils, and ecological land type are examples in this theme.  </w:t>
            </w:r>
          </w:p>
        </w:tc>
      </w:tr>
      <w:tr w:rsidR="009E5CAC" w14:paraId="43DA16E7" w14:textId="77777777" w:rsidTr="009E5CAC">
        <w:trPr>
          <w:trHeight w:val="741"/>
        </w:trPr>
        <w:tc>
          <w:tcPr>
            <w:tcW w:w="2555" w:type="dxa"/>
            <w:vAlign w:val="center"/>
          </w:tcPr>
          <w:p w14:paraId="5C968094" w14:textId="77777777" w:rsidR="009E5CAC" w:rsidRDefault="009E5CAC" w:rsidP="005714C4">
            <w:pPr>
              <w:rPr>
                <w:rFonts w:ascii="Calibri" w:hAnsi="Calibri"/>
                <w:color w:val="FF0000"/>
              </w:rPr>
            </w:pPr>
            <w:r>
              <w:rPr>
                <w:rFonts w:ascii="Calibri" w:hAnsi="Calibri"/>
              </w:rPr>
              <w:t>Elevation</w:t>
            </w:r>
          </w:p>
        </w:tc>
        <w:tc>
          <w:tcPr>
            <w:tcW w:w="9145" w:type="dxa"/>
          </w:tcPr>
          <w:p w14:paraId="7A30045B" w14:textId="77777777" w:rsidR="009E5CAC" w:rsidRDefault="009E5CAC" w:rsidP="005714C4">
            <w:pPr>
              <w:spacing w:before="120"/>
              <w:rPr>
                <w:rFonts w:ascii="Calibri" w:hAnsi="Calibri"/>
                <w:color w:val="FF0000"/>
              </w:rPr>
            </w:pPr>
            <w:r>
              <w:rPr>
                <w:rFonts w:ascii="Calibri" w:hAnsi="Calibri"/>
              </w:rPr>
              <w:t>Repository for layers related to height above or below sea level (elevation).  Topography, Aspect, Contour, Elevation, and Slope.</w:t>
            </w:r>
          </w:p>
        </w:tc>
      </w:tr>
      <w:tr w:rsidR="009E5CAC" w14:paraId="50D4E13D" w14:textId="77777777" w:rsidTr="003114B7">
        <w:trPr>
          <w:trHeight w:val="1457"/>
        </w:trPr>
        <w:tc>
          <w:tcPr>
            <w:tcW w:w="2555" w:type="dxa"/>
            <w:vAlign w:val="center"/>
          </w:tcPr>
          <w:p w14:paraId="37385FEB" w14:textId="77777777" w:rsidR="009E5CAC" w:rsidRDefault="009E5CAC" w:rsidP="005714C4">
            <w:pPr>
              <w:rPr>
                <w:rFonts w:ascii="Calibri" w:hAnsi="Calibri"/>
                <w:color w:val="FF0000"/>
              </w:rPr>
            </w:pPr>
            <w:r>
              <w:rPr>
                <w:rFonts w:ascii="Calibri" w:hAnsi="Calibri"/>
              </w:rPr>
              <w:t>Facility</w:t>
            </w:r>
          </w:p>
        </w:tc>
        <w:tc>
          <w:tcPr>
            <w:tcW w:w="9145" w:type="dxa"/>
          </w:tcPr>
          <w:p w14:paraId="79C13E6A" w14:textId="77777777" w:rsidR="009E5CAC" w:rsidRDefault="009E5CAC" w:rsidP="005714C4">
            <w:pPr>
              <w:autoSpaceDE w:val="0"/>
              <w:autoSpaceDN w:val="0"/>
              <w:adjustRightInd w:val="0"/>
              <w:spacing w:before="100" w:after="100"/>
              <w:rPr>
                <w:rFonts w:ascii="Calibri" w:hAnsi="Calibri"/>
              </w:rPr>
            </w:pPr>
            <w:r>
              <w:rPr>
                <w:rFonts w:ascii="Calibri" w:hAnsi="Calibri"/>
              </w:rPr>
              <w:t xml:space="preserve">Repository for a variety of constructed features like Communication Sites, Dams, Bridges, Radio Dead Zones, Building locations, Driveway, Parking, and Water Facilities (Potable and Waste). </w:t>
            </w:r>
          </w:p>
          <w:p w14:paraId="05845AB4" w14:textId="21222E0B" w:rsidR="009E5CAC" w:rsidRPr="00B35935" w:rsidRDefault="009E5CAC" w:rsidP="005714C4">
            <w:pPr>
              <w:spacing w:before="120"/>
              <w:rPr>
                <w:rFonts w:ascii="Calibri" w:hAnsi="Calibri"/>
                <w:iCs/>
                <w:color w:val="FF0000"/>
              </w:rPr>
            </w:pPr>
            <w:r w:rsidRPr="00E61C1D">
              <w:rPr>
                <w:rFonts w:ascii="Calibri" w:hAnsi="Calibri"/>
                <w:i/>
                <w:u w:val="single"/>
              </w:rPr>
              <w:t>Note</w:t>
            </w:r>
            <w:r w:rsidRPr="00E61C1D">
              <w:rPr>
                <w:rFonts w:ascii="Calibri" w:hAnsi="Calibri"/>
                <w:i/>
              </w:rPr>
              <w:t>:  Infra (</w:t>
            </w:r>
            <w:proofErr w:type="spellStart"/>
            <w:r w:rsidRPr="00E61C1D">
              <w:rPr>
                <w:rFonts w:ascii="Calibri" w:hAnsi="Calibri"/>
                <w:i/>
              </w:rPr>
              <w:t>iWeb</w:t>
            </w:r>
            <w:proofErr w:type="spellEnd"/>
            <w:r w:rsidRPr="00E61C1D">
              <w:rPr>
                <w:rFonts w:ascii="Calibri" w:hAnsi="Calibri"/>
                <w:i/>
              </w:rPr>
              <w:t>) is where much of this data in this theme should be located; however, the spatial data here supplement</w:t>
            </w:r>
            <w:r>
              <w:rPr>
                <w:rFonts w:ascii="Calibri" w:hAnsi="Calibri"/>
                <w:i/>
              </w:rPr>
              <w:t>s</w:t>
            </w:r>
            <w:r w:rsidRPr="00E61C1D">
              <w:rPr>
                <w:rFonts w:ascii="Calibri" w:hAnsi="Calibri"/>
                <w:i/>
              </w:rPr>
              <w:t xml:space="preserve"> and support Infra where Infra has limitations.  </w:t>
            </w:r>
            <w:r w:rsidR="00B35935">
              <w:rPr>
                <w:rFonts w:ascii="Calibri" w:hAnsi="Calibri"/>
                <w:b/>
                <w:bCs/>
              </w:rPr>
              <w:t>Not already in the EDW</w:t>
            </w:r>
          </w:p>
        </w:tc>
      </w:tr>
      <w:tr w:rsidR="009E5CAC" w14:paraId="3235136B" w14:textId="77777777" w:rsidTr="009E5CAC">
        <w:trPr>
          <w:trHeight w:val="1340"/>
        </w:trPr>
        <w:tc>
          <w:tcPr>
            <w:tcW w:w="2555" w:type="dxa"/>
            <w:vAlign w:val="center"/>
          </w:tcPr>
          <w:p w14:paraId="34D7ADFE" w14:textId="43807621" w:rsidR="009E5CAC" w:rsidRDefault="009E5CAC" w:rsidP="005714C4">
            <w:pPr>
              <w:rPr>
                <w:rFonts w:ascii="Calibri" w:hAnsi="Calibri"/>
                <w:color w:val="FF0000"/>
              </w:rPr>
            </w:pPr>
            <w:proofErr w:type="spellStart"/>
            <w:r>
              <w:rPr>
                <w:rFonts w:ascii="Calibri" w:hAnsi="Calibri"/>
              </w:rPr>
              <w:t>Fire</w:t>
            </w:r>
            <w:r w:rsidR="00B35935">
              <w:rPr>
                <w:rFonts w:ascii="Calibri" w:hAnsi="Calibri"/>
              </w:rPr>
              <w:t>Management</w:t>
            </w:r>
            <w:proofErr w:type="spellEnd"/>
          </w:p>
        </w:tc>
        <w:tc>
          <w:tcPr>
            <w:tcW w:w="9145" w:type="dxa"/>
          </w:tcPr>
          <w:p w14:paraId="441452B1" w14:textId="528A636F" w:rsidR="009E5CAC" w:rsidRDefault="009E5CAC" w:rsidP="005714C4">
            <w:pPr>
              <w:spacing w:before="120"/>
              <w:rPr>
                <w:rFonts w:ascii="Calibri" w:hAnsi="Calibri"/>
                <w:color w:val="FF0000"/>
              </w:rPr>
            </w:pPr>
            <w:r>
              <w:rPr>
                <w:rFonts w:ascii="Calibri" w:hAnsi="Calibri"/>
              </w:rPr>
              <w:t>Repository for fire-related layers.  Airport locations, Fire Consequences, Fire Management and Planning Units (FMU and FMP), Fire Management Zones (FMZ), Dispatch Blocks, Workload Areas, Fire Regime and Condition Class (FRCC), Fuel Model, Wildland Urban Interface (WUI), and Flight Hazard.</w:t>
            </w:r>
            <w:r w:rsidR="00B35935">
              <w:rPr>
                <w:rFonts w:ascii="Calibri" w:hAnsi="Calibri"/>
              </w:rPr>
              <w:t xml:space="preserve"> </w:t>
            </w:r>
            <w:r w:rsidR="00B35935" w:rsidRPr="00B35935">
              <w:rPr>
                <w:rFonts w:ascii="Calibri" w:hAnsi="Calibri"/>
                <w:i/>
                <w:iCs/>
              </w:rPr>
              <w:t xml:space="preserve">Fire </w:t>
            </w:r>
            <w:r w:rsidR="00B35935">
              <w:rPr>
                <w:rFonts w:ascii="Calibri" w:hAnsi="Calibri"/>
                <w:i/>
                <w:iCs/>
              </w:rPr>
              <w:t>o</w:t>
            </w:r>
            <w:r w:rsidR="00B35935" w:rsidRPr="00B35935">
              <w:rPr>
                <w:rFonts w:ascii="Calibri" w:hAnsi="Calibri"/>
                <w:i/>
                <w:iCs/>
              </w:rPr>
              <w:t>ccurrence and fire perimeters are now maintained at the Regional VDC SDE</w:t>
            </w:r>
            <w:r w:rsidR="00B35935">
              <w:rPr>
                <w:rFonts w:ascii="Calibri" w:hAnsi="Calibri"/>
              </w:rPr>
              <w:t xml:space="preserve">. </w:t>
            </w:r>
            <w:r w:rsidR="00B35935">
              <w:rPr>
                <w:rFonts w:ascii="Calibri" w:hAnsi="Calibri"/>
                <w:b/>
                <w:bCs/>
              </w:rPr>
              <w:t>Not already in the EDW</w:t>
            </w:r>
          </w:p>
        </w:tc>
      </w:tr>
      <w:tr w:rsidR="009E5CAC" w14:paraId="0751E333" w14:textId="77777777" w:rsidTr="003114B7">
        <w:trPr>
          <w:trHeight w:val="800"/>
        </w:trPr>
        <w:tc>
          <w:tcPr>
            <w:tcW w:w="2555" w:type="dxa"/>
            <w:vAlign w:val="center"/>
          </w:tcPr>
          <w:p w14:paraId="029AE2B0" w14:textId="77777777" w:rsidR="009E5CAC" w:rsidRDefault="009E5CAC" w:rsidP="005714C4">
            <w:pPr>
              <w:rPr>
                <w:rFonts w:ascii="Calibri" w:hAnsi="Calibri"/>
                <w:color w:val="FF0000"/>
              </w:rPr>
            </w:pPr>
            <w:r>
              <w:rPr>
                <w:rFonts w:ascii="Calibri" w:hAnsi="Calibri"/>
              </w:rPr>
              <w:t>Geology</w:t>
            </w:r>
          </w:p>
        </w:tc>
        <w:tc>
          <w:tcPr>
            <w:tcW w:w="9145" w:type="dxa"/>
          </w:tcPr>
          <w:p w14:paraId="447F90BF" w14:textId="77777777" w:rsidR="009E5CAC" w:rsidRDefault="009E5CAC" w:rsidP="005714C4">
            <w:pPr>
              <w:spacing w:before="120"/>
              <w:rPr>
                <w:rFonts w:ascii="Calibri" w:hAnsi="Calibri"/>
                <w:color w:val="FF0000"/>
              </w:rPr>
            </w:pPr>
            <w:r>
              <w:rPr>
                <w:rFonts w:ascii="Calibri" w:hAnsi="Calibri"/>
              </w:rPr>
              <w:t>Repository for Geology, Geologic Hazard, Geologic Feature, Geologic Resource, Geologic Unit, Landslide, or other related geological spatial data.</w:t>
            </w:r>
          </w:p>
        </w:tc>
      </w:tr>
      <w:tr w:rsidR="009E5CAC" w14:paraId="06930CD3" w14:textId="77777777" w:rsidTr="009E5CAC">
        <w:trPr>
          <w:trHeight w:val="782"/>
        </w:trPr>
        <w:tc>
          <w:tcPr>
            <w:tcW w:w="2555" w:type="dxa"/>
            <w:vAlign w:val="center"/>
          </w:tcPr>
          <w:p w14:paraId="067D3563" w14:textId="77777777" w:rsidR="009E5CAC" w:rsidRDefault="009E5CAC" w:rsidP="005714C4">
            <w:pPr>
              <w:spacing w:before="120"/>
              <w:rPr>
                <w:rFonts w:ascii="Calibri" w:hAnsi="Calibri"/>
              </w:rPr>
            </w:pPr>
            <w:r>
              <w:rPr>
                <w:rFonts w:ascii="Calibri" w:hAnsi="Calibri"/>
              </w:rPr>
              <w:t>Heritage</w:t>
            </w:r>
          </w:p>
        </w:tc>
        <w:tc>
          <w:tcPr>
            <w:tcW w:w="9145" w:type="dxa"/>
          </w:tcPr>
          <w:p w14:paraId="1B82BE24" w14:textId="77777777" w:rsidR="009E5CAC" w:rsidRDefault="009E5CAC" w:rsidP="005714C4">
            <w:pPr>
              <w:spacing w:before="120"/>
              <w:rPr>
                <w:rFonts w:ascii="Calibri" w:hAnsi="Calibri"/>
              </w:rPr>
            </w:pPr>
            <w:r>
              <w:rPr>
                <w:rFonts w:ascii="Calibri" w:hAnsi="Calibri"/>
              </w:rPr>
              <w:t xml:space="preserve">Repository for heritage-related reference library layers that are out of scope of the Heritage NexGen NRM application.  These layers may or may not require restricted access.  </w:t>
            </w:r>
          </w:p>
        </w:tc>
      </w:tr>
      <w:tr w:rsidR="009E5CAC" w14:paraId="533C7E59" w14:textId="77777777" w:rsidTr="009E5CAC">
        <w:trPr>
          <w:trHeight w:val="800"/>
        </w:trPr>
        <w:tc>
          <w:tcPr>
            <w:tcW w:w="2555" w:type="dxa"/>
            <w:vAlign w:val="center"/>
          </w:tcPr>
          <w:p w14:paraId="3C320A72" w14:textId="499B26F4" w:rsidR="009E5CAC" w:rsidRDefault="009E5CAC" w:rsidP="005714C4">
            <w:pPr>
              <w:rPr>
                <w:rFonts w:ascii="Calibri" w:hAnsi="Calibri"/>
                <w:color w:val="FF0000"/>
              </w:rPr>
            </w:pPr>
            <w:r>
              <w:rPr>
                <w:rFonts w:ascii="Calibri" w:hAnsi="Calibri"/>
              </w:rPr>
              <w:t>Lands</w:t>
            </w:r>
          </w:p>
        </w:tc>
        <w:tc>
          <w:tcPr>
            <w:tcW w:w="9145" w:type="dxa"/>
          </w:tcPr>
          <w:p w14:paraId="123E8F3A" w14:textId="77777777" w:rsidR="009E5CAC" w:rsidRDefault="009E5CAC" w:rsidP="005714C4">
            <w:pPr>
              <w:spacing w:before="120"/>
              <w:rPr>
                <w:rFonts w:ascii="Calibri" w:hAnsi="Calibri"/>
                <w:color w:val="FF0000"/>
              </w:rPr>
            </w:pPr>
            <w:r>
              <w:rPr>
                <w:rFonts w:ascii="Calibri" w:hAnsi="Calibri"/>
              </w:rPr>
              <w:t xml:space="preserve">Repository for layers on land mapping status (formal designations), land boundaries, ownership, and PLSS.  </w:t>
            </w:r>
            <w:r w:rsidRPr="009E5CAC">
              <w:rPr>
                <w:rFonts w:ascii="Calibri" w:hAnsi="Calibri"/>
                <w:b/>
                <w:bCs/>
              </w:rPr>
              <w:t>Keep in mind the authoritative data is at the Enterprise Data Warehouse (EDW).</w:t>
            </w:r>
            <w:r>
              <w:rPr>
                <w:rFonts w:ascii="Calibri" w:hAnsi="Calibri"/>
              </w:rPr>
              <w:t xml:space="preserve">  </w:t>
            </w:r>
          </w:p>
        </w:tc>
      </w:tr>
      <w:tr w:rsidR="009E5CAC" w14:paraId="2038AF32" w14:textId="77777777" w:rsidTr="009E5CAC">
        <w:trPr>
          <w:trHeight w:val="741"/>
        </w:trPr>
        <w:tc>
          <w:tcPr>
            <w:tcW w:w="2555" w:type="dxa"/>
            <w:vAlign w:val="center"/>
          </w:tcPr>
          <w:p w14:paraId="5E4F8FBB" w14:textId="77777777" w:rsidR="009E5CAC" w:rsidRDefault="009E5CAC" w:rsidP="005714C4">
            <w:pPr>
              <w:rPr>
                <w:rFonts w:ascii="Calibri" w:hAnsi="Calibri"/>
                <w:color w:val="FF0000"/>
              </w:rPr>
            </w:pPr>
            <w:r>
              <w:rPr>
                <w:rFonts w:ascii="Calibri" w:hAnsi="Calibri"/>
              </w:rPr>
              <w:t>Minerals</w:t>
            </w:r>
          </w:p>
        </w:tc>
        <w:tc>
          <w:tcPr>
            <w:tcW w:w="9145" w:type="dxa"/>
          </w:tcPr>
          <w:p w14:paraId="04D15FFA" w14:textId="46C689A4" w:rsidR="009E5CAC" w:rsidRDefault="009E5CAC" w:rsidP="005714C4">
            <w:pPr>
              <w:spacing w:before="120"/>
              <w:rPr>
                <w:rFonts w:ascii="Calibri" w:hAnsi="Calibri"/>
                <w:color w:val="FF0000"/>
              </w:rPr>
            </w:pPr>
            <w:r>
              <w:rPr>
                <w:rFonts w:ascii="Calibri" w:hAnsi="Calibri"/>
              </w:rPr>
              <w:t>Repository for layers related to mineral deposits or mining.  Locatables, materials (rock/sand/gravel), and mining.</w:t>
            </w:r>
          </w:p>
        </w:tc>
      </w:tr>
      <w:tr w:rsidR="009E5CAC" w14:paraId="0C6AC69D" w14:textId="77777777" w:rsidTr="003114B7">
        <w:trPr>
          <w:trHeight w:val="782"/>
        </w:trPr>
        <w:tc>
          <w:tcPr>
            <w:tcW w:w="2555" w:type="dxa"/>
            <w:vAlign w:val="center"/>
          </w:tcPr>
          <w:p w14:paraId="28363096" w14:textId="1E1209A7" w:rsidR="009E5CAC" w:rsidRDefault="00F85E92" w:rsidP="005714C4">
            <w:pPr>
              <w:rPr>
                <w:rFonts w:ascii="Calibri" w:hAnsi="Calibri"/>
                <w:color w:val="FF0000"/>
              </w:rPr>
            </w:pPr>
            <w:r>
              <w:rPr>
                <w:rFonts w:ascii="Calibri" w:hAnsi="Calibri"/>
              </w:rPr>
              <w:t>“</w:t>
            </w:r>
            <w:proofErr w:type="gramStart"/>
            <w:r>
              <w:rPr>
                <w:rFonts w:ascii="Calibri" w:hAnsi="Calibri"/>
              </w:rPr>
              <w:t>Theme”_</w:t>
            </w:r>
            <w:proofErr w:type="gramEnd"/>
            <w:r w:rsidR="00B35935">
              <w:rPr>
                <w:rFonts w:ascii="Calibri" w:hAnsi="Calibri"/>
              </w:rPr>
              <w:t>NonFS (Not USFS data)</w:t>
            </w:r>
          </w:p>
        </w:tc>
        <w:tc>
          <w:tcPr>
            <w:tcW w:w="9145" w:type="dxa"/>
          </w:tcPr>
          <w:p w14:paraId="182F3064" w14:textId="0C390214" w:rsidR="009E5CAC" w:rsidRPr="009E5CAC" w:rsidRDefault="009E5CAC" w:rsidP="005714C4">
            <w:pPr>
              <w:spacing w:before="120"/>
              <w:rPr>
                <w:rFonts w:ascii="Calibri" w:hAnsi="Calibri"/>
                <w:b/>
                <w:bCs/>
                <w:color w:val="FF0000"/>
              </w:rPr>
            </w:pPr>
            <w:r>
              <w:rPr>
                <w:rFonts w:ascii="Calibri" w:hAnsi="Calibri"/>
              </w:rPr>
              <w:t xml:space="preserve">Repository for Non-Forest Service data, not created, served, or maintained by the FS (e.g., county roads, congressional districts, privately owned lands, </w:t>
            </w:r>
            <w:proofErr w:type="spellStart"/>
            <w:r>
              <w:rPr>
                <w:rFonts w:ascii="Calibri" w:hAnsi="Calibri"/>
              </w:rPr>
              <w:t>etc</w:t>
            </w:r>
            <w:proofErr w:type="spellEnd"/>
            <w:r>
              <w:rPr>
                <w:rFonts w:ascii="Calibri" w:hAnsi="Calibri"/>
              </w:rPr>
              <w:t xml:space="preserve">) </w:t>
            </w:r>
            <w:r>
              <w:rPr>
                <w:rFonts w:ascii="Calibri" w:hAnsi="Calibri"/>
                <w:b/>
                <w:bCs/>
              </w:rPr>
              <w:t>Not already in the EDW</w:t>
            </w:r>
          </w:p>
        </w:tc>
      </w:tr>
      <w:tr w:rsidR="009E5CAC" w14:paraId="36E85DAA" w14:textId="77777777" w:rsidTr="003114B7">
        <w:trPr>
          <w:trHeight w:val="827"/>
        </w:trPr>
        <w:tc>
          <w:tcPr>
            <w:tcW w:w="2555" w:type="dxa"/>
            <w:vAlign w:val="center"/>
          </w:tcPr>
          <w:p w14:paraId="2689F405" w14:textId="77777777" w:rsidR="009E5CAC" w:rsidRDefault="009E5CAC" w:rsidP="005714C4">
            <w:pPr>
              <w:rPr>
                <w:rFonts w:ascii="Calibri" w:hAnsi="Calibri"/>
                <w:color w:val="FF0000"/>
              </w:rPr>
            </w:pPr>
            <w:r>
              <w:rPr>
                <w:rFonts w:ascii="Calibri" w:hAnsi="Calibri"/>
              </w:rPr>
              <w:t>Planning</w:t>
            </w:r>
          </w:p>
        </w:tc>
        <w:tc>
          <w:tcPr>
            <w:tcW w:w="9145" w:type="dxa"/>
          </w:tcPr>
          <w:p w14:paraId="1B1EA942" w14:textId="77777777" w:rsidR="009E5CAC" w:rsidRDefault="009E5CAC" w:rsidP="005714C4">
            <w:pPr>
              <w:spacing w:before="120"/>
              <w:rPr>
                <w:rFonts w:ascii="Calibri" w:hAnsi="Calibri"/>
                <w:color w:val="FF0000"/>
              </w:rPr>
            </w:pPr>
            <w:r>
              <w:rPr>
                <w:rFonts w:ascii="Calibri" w:hAnsi="Calibri"/>
              </w:rPr>
              <w:t xml:space="preserve">Repository for layers designated by the Forest Plan or an act of congress.  Wild and Scenic layers, wilderness, and inventoried roadless areas.  </w:t>
            </w:r>
          </w:p>
        </w:tc>
      </w:tr>
      <w:tr w:rsidR="009E5CAC" w14:paraId="17419727" w14:textId="77777777" w:rsidTr="009E5CAC">
        <w:trPr>
          <w:trHeight w:val="944"/>
        </w:trPr>
        <w:tc>
          <w:tcPr>
            <w:tcW w:w="2555" w:type="dxa"/>
            <w:vAlign w:val="center"/>
          </w:tcPr>
          <w:p w14:paraId="1B605C41" w14:textId="77777777" w:rsidR="009E5CAC" w:rsidRDefault="009E5CAC" w:rsidP="005714C4">
            <w:pPr>
              <w:rPr>
                <w:rFonts w:ascii="Calibri" w:hAnsi="Calibri"/>
              </w:rPr>
            </w:pPr>
            <w:r>
              <w:rPr>
                <w:rFonts w:ascii="Calibri" w:hAnsi="Calibri"/>
              </w:rPr>
              <w:t>R</w:t>
            </w:r>
            <w:r w:rsidR="003114B7">
              <w:rPr>
                <w:rFonts w:ascii="Calibri" w:hAnsi="Calibri"/>
              </w:rPr>
              <w:t>MU</w:t>
            </w:r>
          </w:p>
          <w:p w14:paraId="30D2D56A" w14:textId="5ABFFC7C" w:rsidR="003114B7" w:rsidRDefault="003114B7" w:rsidP="005714C4">
            <w:pPr>
              <w:rPr>
                <w:rFonts w:ascii="Calibri" w:hAnsi="Calibri"/>
              </w:rPr>
            </w:pPr>
            <w:r w:rsidRPr="00B35935">
              <w:rPr>
                <w:rFonts w:ascii="Calibri" w:hAnsi="Calibri"/>
                <w:b/>
                <w:bCs/>
              </w:rPr>
              <w:t>Use National DD FDS</w:t>
            </w:r>
          </w:p>
        </w:tc>
        <w:tc>
          <w:tcPr>
            <w:tcW w:w="9145" w:type="dxa"/>
          </w:tcPr>
          <w:p w14:paraId="2048307D" w14:textId="066F55E6" w:rsidR="003114B7" w:rsidRPr="003114B7" w:rsidRDefault="009E5CAC" w:rsidP="005714C4">
            <w:pPr>
              <w:spacing w:before="120"/>
              <w:rPr>
                <w:rFonts w:ascii="Calibri" w:hAnsi="Calibri" w:cs="Arial"/>
              </w:rPr>
            </w:pPr>
            <w:r>
              <w:rPr>
                <w:rFonts w:ascii="Calibri" w:hAnsi="Calibri"/>
              </w:rPr>
              <w:t xml:space="preserve">Repository for layers </w:t>
            </w:r>
            <w:r w:rsidRPr="00CC280E">
              <w:rPr>
                <w:rFonts w:ascii="Calibri" w:hAnsi="Calibri" w:cs="Arial"/>
              </w:rPr>
              <w:t>that support the management of rangeland needs and mapping</w:t>
            </w:r>
            <w:r>
              <w:rPr>
                <w:rFonts w:ascii="Calibri" w:hAnsi="Calibri" w:cs="Arial"/>
              </w:rPr>
              <w:t xml:space="preserve"> </w:t>
            </w:r>
            <w:r w:rsidRPr="00CC280E">
              <w:rPr>
                <w:rFonts w:ascii="Calibri" w:hAnsi="Calibri" w:cs="Arial"/>
                <w:u w:val="single"/>
              </w:rPr>
              <w:t>and</w:t>
            </w:r>
            <w:r>
              <w:rPr>
                <w:rFonts w:ascii="Calibri" w:hAnsi="Calibri" w:cs="Arial"/>
              </w:rPr>
              <w:t xml:space="preserve"> are not any of the layers required to be located at the NRM SDE.</w:t>
            </w:r>
          </w:p>
        </w:tc>
      </w:tr>
      <w:tr w:rsidR="009E5CAC" w:rsidRPr="00702685" w14:paraId="6209617B" w14:textId="77777777" w:rsidTr="003114B7">
        <w:trPr>
          <w:trHeight w:val="1070"/>
        </w:trPr>
        <w:tc>
          <w:tcPr>
            <w:tcW w:w="2555" w:type="dxa"/>
            <w:vAlign w:val="center"/>
          </w:tcPr>
          <w:p w14:paraId="635A0918" w14:textId="77777777" w:rsidR="009E5CAC" w:rsidRDefault="009E5CAC" w:rsidP="005714C4">
            <w:pPr>
              <w:rPr>
                <w:rFonts w:ascii="Calibri" w:hAnsi="Calibri"/>
              </w:rPr>
            </w:pPr>
            <w:r>
              <w:rPr>
                <w:rFonts w:ascii="Calibri" w:hAnsi="Calibri"/>
              </w:rPr>
              <w:lastRenderedPageBreak/>
              <w:t>Recreation</w:t>
            </w:r>
          </w:p>
          <w:p w14:paraId="0B058807" w14:textId="101BD036" w:rsidR="003114B7" w:rsidRDefault="003114B7" w:rsidP="005714C4">
            <w:pPr>
              <w:rPr>
                <w:rFonts w:ascii="Calibri" w:hAnsi="Calibri"/>
                <w:color w:val="FF0000"/>
              </w:rPr>
            </w:pPr>
            <w:r w:rsidRPr="00B35935">
              <w:rPr>
                <w:rFonts w:ascii="Calibri" w:hAnsi="Calibri"/>
                <w:b/>
                <w:bCs/>
              </w:rPr>
              <w:t>Use National DD FDS</w:t>
            </w:r>
          </w:p>
        </w:tc>
        <w:tc>
          <w:tcPr>
            <w:tcW w:w="9145" w:type="dxa"/>
          </w:tcPr>
          <w:p w14:paraId="3079C066" w14:textId="243E55D3" w:rsidR="009E5CAC" w:rsidRPr="003114B7" w:rsidRDefault="009E5CAC" w:rsidP="005714C4">
            <w:pPr>
              <w:spacing w:before="120"/>
              <w:rPr>
                <w:rFonts w:ascii="Calibri" w:hAnsi="Calibri"/>
              </w:rPr>
            </w:pPr>
            <w:r w:rsidRPr="00702685">
              <w:rPr>
                <w:rFonts w:ascii="Calibri" w:hAnsi="Calibri"/>
              </w:rPr>
              <w:t>Repository for layers related to recreation sites, activities, or inventories. Includes dispersed and developed recreation sites, Recreation Opportunity Spectrum (ROS) areas, and wilderness recreation management areas.</w:t>
            </w:r>
          </w:p>
        </w:tc>
      </w:tr>
      <w:tr w:rsidR="009E5CAC" w14:paraId="279869C5" w14:textId="77777777" w:rsidTr="009E5CAC">
        <w:trPr>
          <w:trHeight w:val="956"/>
        </w:trPr>
        <w:tc>
          <w:tcPr>
            <w:tcW w:w="2555" w:type="dxa"/>
            <w:vAlign w:val="center"/>
          </w:tcPr>
          <w:p w14:paraId="176E0D8B" w14:textId="77777777" w:rsidR="009E5CAC" w:rsidRDefault="009E5CAC" w:rsidP="005714C4">
            <w:pPr>
              <w:rPr>
                <w:rFonts w:ascii="Calibri" w:hAnsi="Calibri"/>
              </w:rPr>
            </w:pPr>
            <w:r>
              <w:rPr>
                <w:rFonts w:ascii="Calibri" w:hAnsi="Calibri"/>
              </w:rPr>
              <w:t>Scenery</w:t>
            </w:r>
          </w:p>
          <w:p w14:paraId="62EE0BE5" w14:textId="740A51C1" w:rsidR="003114B7" w:rsidRDefault="003114B7" w:rsidP="005714C4">
            <w:pPr>
              <w:rPr>
                <w:rFonts w:ascii="Calibri" w:hAnsi="Calibri"/>
                <w:color w:val="FF0000"/>
              </w:rPr>
            </w:pPr>
            <w:r w:rsidRPr="00B35935">
              <w:rPr>
                <w:rFonts w:ascii="Calibri" w:hAnsi="Calibri"/>
                <w:b/>
                <w:bCs/>
              </w:rPr>
              <w:t>Use National DD FDS</w:t>
            </w:r>
          </w:p>
        </w:tc>
        <w:tc>
          <w:tcPr>
            <w:tcW w:w="9145" w:type="dxa"/>
          </w:tcPr>
          <w:p w14:paraId="20BCCB59" w14:textId="77777777" w:rsidR="009E5CAC" w:rsidRDefault="009E5CAC" w:rsidP="005714C4">
            <w:pPr>
              <w:spacing w:before="120"/>
              <w:rPr>
                <w:rFonts w:ascii="Calibri" w:hAnsi="Calibri"/>
                <w:color w:val="FF0000"/>
              </w:rPr>
            </w:pPr>
            <w:r>
              <w:rPr>
                <w:rFonts w:ascii="Calibri" w:hAnsi="Calibri"/>
              </w:rPr>
              <w:t>Repository for mapping layers associated with scenic inventories.  Scenic classes, existing scenic integrity, and scenic integrity objectives.</w:t>
            </w:r>
          </w:p>
        </w:tc>
      </w:tr>
      <w:tr w:rsidR="009E5CAC" w14:paraId="73C45A42" w14:textId="77777777" w:rsidTr="009E5CAC">
        <w:trPr>
          <w:trHeight w:val="729"/>
        </w:trPr>
        <w:tc>
          <w:tcPr>
            <w:tcW w:w="2555" w:type="dxa"/>
            <w:vAlign w:val="center"/>
          </w:tcPr>
          <w:p w14:paraId="34C212DD" w14:textId="77777777" w:rsidR="009E5CAC" w:rsidRDefault="009E5CAC" w:rsidP="005714C4">
            <w:pPr>
              <w:rPr>
                <w:rFonts w:ascii="Calibri" w:hAnsi="Calibri"/>
                <w:color w:val="FF0000"/>
              </w:rPr>
            </w:pPr>
            <w:r>
              <w:rPr>
                <w:rFonts w:ascii="Calibri" w:hAnsi="Calibri"/>
              </w:rPr>
              <w:t>Special Uses</w:t>
            </w:r>
          </w:p>
        </w:tc>
        <w:tc>
          <w:tcPr>
            <w:tcW w:w="9145" w:type="dxa"/>
          </w:tcPr>
          <w:p w14:paraId="6BFA5CEE" w14:textId="77777777" w:rsidR="009E5CAC" w:rsidRDefault="009E5CAC" w:rsidP="005714C4">
            <w:pPr>
              <w:spacing w:before="120"/>
              <w:rPr>
                <w:rFonts w:ascii="Calibri" w:hAnsi="Calibri"/>
                <w:color w:val="FF0000"/>
              </w:rPr>
            </w:pPr>
            <w:r w:rsidRPr="00EB6EA2">
              <w:rPr>
                <w:rFonts w:ascii="Calibri" w:hAnsi="Calibri"/>
              </w:rPr>
              <w:t xml:space="preserve">Repository for layers representing areas under a special use permit like roads, trails, easements, and utility lines.   </w:t>
            </w:r>
          </w:p>
        </w:tc>
      </w:tr>
      <w:tr w:rsidR="009E5CAC" w14:paraId="69BE4E3A" w14:textId="77777777" w:rsidTr="009E5CAC">
        <w:trPr>
          <w:trHeight w:val="1458"/>
        </w:trPr>
        <w:tc>
          <w:tcPr>
            <w:tcW w:w="2555" w:type="dxa"/>
            <w:vAlign w:val="center"/>
          </w:tcPr>
          <w:p w14:paraId="583D0D09" w14:textId="77777777" w:rsidR="009E5CAC" w:rsidRDefault="009E5CAC" w:rsidP="005714C4">
            <w:pPr>
              <w:rPr>
                <w:rFonts w:ascii="Calibri" w:hAnsi="Calibri"/>
              </w:rPr>
            </w:pPr>
            <w:r>
              <w:rPr>
                <w:rFonts w:ascii="Calibri" w:hAnsi="Calibri"/>
              </w:rPr>
              <w:t>Transportation</w:t>
            </w:r>
          </w:p>
          <w:p w14:paraId="594F3AAA" w14:textId="3929F5A0" w:rsidR="003114B7" w:rsidRDefault="003114B7" w:rsidP="005714C4">
            <w:pPr>
              <w:rPr>
                <w:rFonts w:ascii="Calibri" w:hAnsi="Calibri"/>
                <w:color w:val="FF0000"/>
              </w:rPr>
            </w:pPr>
            <w:r w:rsidRPr="00B35935">
              <w:rPr>
                <w:rFonts w:ascii="Calibri" w:hAnsi="Calibri"/>
                <w:b/>
                <w:bCs/>
              </w:rPr>
              <w:t>Use National DD FDS</w:t>
            </w:r>
          </w:p>
        </w:tc>
        <w:tc>
          <w:tcPr>
            <w:tcW w:w="9145" w:type="dxa"/>
          </w:tcPr>
          <w:p w14:paraId="0D487AA9" w14:textId="77777777" w:rsidR="009E5CAC" w:rsidRDefault="009E5CAC" w:rsidP="005714C4">
            <w:pPr>
              <w:autoSpaceDE w:val="0"/>
              <w:autoSpaceDN w:val="0"/>
              <w:adjustRightInd w:val="0"/>
              <w:spacing w:before="100" w:after="100"/>
              <w:rPr>
                <w:rFonts w:ascii="Calibri" w:hAnsi="Calibri"/>
              </w:rPr>
            </w:pPr>
            <w:r>
              <w:rPr>
                <w:rFonts w:ascii="Calibri" w:hAnsi="Calibri"/>
              </w:rPr>
              <w:t xml:space="preserve">Repository for means for conveying people and goods.  Railroad, Road, Scenic Byway, Trail, Travel Management Area, and Travel Route.  </w:t>
            </w:r>
          </w:p>
          <w:p w14:paraId="30965ABF" w14:textId="77777777" w:rsidR="009E5CAC" w:rsidRDefault="009E5CAC" w:rsidP="005714C4">
            <w:pPr>
              <w:spacing w:before="120"/>
              <w:rPr>
                <w:rFonts w:ascii="Calibri" w:hAnsi="Calibri"/>
                <w:color w:val="FF0000"/>
              </w:rPr>
            </w:pPr>
            <w:r w:rsidRPr="007C5B3B">
              <w:rPr>
                <w:rFonts w:ascii="Calibri" w:hAnsi="Calibri"/>
                <w:i/>
                <w:u w:val="single"/>
              </w:rPr>
              <w:t>Note</w:t>
            </w:r>
            <w:r w:rsidRPr="007C5B3B">
              <w:rPr>
                <w:rFonts w:ascii="Calibri" w:hAnsi="Calibri"/>
                <w:i/>
              </w:rPr>
              <w:t>: These are Forest Service managed features only; non-Forest Service features must be categorized in the Non-Forest</w:t>
            </w:r>
            <w:r>
              <w:rPr>
                <w:rFonts w:ascii="Calibri" w:hAnsi="Calibri"/>
                <w:i/>
              </w:rPr>
              <w:t xml:space="preserve"> </w:t>
            </w:r>
            <w:r w:rsidRPr="007C5B3B">
              <w:rPr>
                <w:rFonts w:ascii="Calibri" w:hAnsi="Calibri"/>
                <w:i/>
              </w:rPr>
              <w:t xml:space="preserve">Service </w:t>
            </w:r>
            <w:r>
              <w:rPr>
                <w:rFonts w:ascii="Calibri" w:hAnsi="Calibri"/>
                <w:i/>
              </w:rPr>
              <w:t>(NonFS)</w:t>
            </w:r>
            <w:r w:rsidRPr="007C5B3B">
              <w:rPr>
                <w:rFonts w:ascii="Calibri" w:hAnsi="Calibri"/>
                <w:i/>
              </w:rPr>
              <w:t xml:space="preserve"> them</w:t>
            </w:r>
            <w:r>
              <w:rPr>
                <w:rFonts w:ascii="Calibri" w:hAnsi="Calibri"/>
                <w:i/>
              </w:rPr>
              <w:t>e</w:t>
            </w:r>
            <w:r w:rsidRPr="007C5B3B">
              <w:rPr>
                <w:rFonts w:ascii="Calibri" w:hAnsi="Calibri"/>
                <w:i/>
              </w:rPr>
              <w:t>.</w:t>
            </w:r>
          </w:p>
        </w:tc>
      </w:tr>
      <w:tr w:rsidR="009E5CAC" w14:paraId="4C9AF951" w14:textId="77777777" w:rsidTr="009E5CAC">
        <w:trPr>
          <w:trHeight w:val="741"/>
        </w:trPr>
        <w:tc>
          <w:tcPr>
            <w:tcW w:w="2555" w:type="dxa"/>
            <w:vAlign w:val="center"/>
          </w:tcPr>
          <w:p w14:paraId="61E99DFB" w14:textId="77777777" w:rsidR="009E5CAC" w:rsidRDefault="009E5CAC" w:rsidP="005714C4">
            <w:pPr>
              <w:rPr>
                <w:rFonts w:ascii="Calibri" w:hAnsi="Calibri"/>
                <w:color w:val="FF0000"/>
              </w:rPr>
            </w:pPr>
            <w:r>
              <w:rPr>
                <w:rFonts w:ascii="Calibri" w:hAnsi="Calibri"/>
              </w:rPr>
              <w:t>Utility</w:t>
            </w:r>
          </w:p>
        </w:tc>
        <w:tc>
          <w:tcPr>
            <w:tcW w:w="9145" w:type="dxa"/>
          </w:tcPr>
          <w:p w14:paraId="7798A9E2" w14:textId="77777777" w:rsidR="009E5CAC" w:rsidRDefault="009E5CAC" w:rsidP="005714C4">
            <w:pPr>
              <w:spacing w:before="120"/>
              <w:rPr>
                <w:rFonts w:ascii="Calibri" w:hAnsi="Calibri"/>
                <w:color w:val="FF0000"/>
              </w:rPr>
            </w:pPr>
            <w:r>
              <w:rPr>
                <w:rFonts w:ascii="Calibri" w:hAnsi="Calibri"/>
              </w:rPr>
              <w:t>Repository for means of distributing services. Telephone lines, sewer lines, pipelines, and powerlines (and corridors).</w:t>
            </w:r>
          </w:p>
        </w:tc>
      </w:tr>
      <w:tr w:rsidR="009E5CAC" w14:paraId="4D3FD196" w14:textId="77777777" w:rsidTr="003114B7">
        <w:trPr>
          <w:trHeight w:val="773"/>
        </w:trPr>
        <w:tc>
          <w:tcPr>
            <w:tcW w:w="2555" w:type="dxa"/>
            <w:vAlign w:val="center"/>
          </w:tcPr>
          <w:p w14:paraId="023DC9B8" w14:textId="77777777" w:rsidR="009E5CAC" w:rsidRDefault="009E5CAC" w:rsidP="005714C4">
            <w:pPr>
              <w:rPr>
                <w:rFonts w:ascii="Calibri" w:hAnsi="Calibri"/>
                <w:color w:val="FF0000"/>
              </w:rPr>
            </w:pPr>
            <w:r>
              <w:rPr>
                <w:rFonts w:ascii="Calibri" w:hAnsi="Calibri"/>
              </w:rPr>
              <w:t>Vegetation</w:t>
            </w:r>
          </w:p>
        </w:tc>
        <w:tc>
          <w:tcPr>
            <w:tcW w:w="9145" w:type="dxa"/>
          </w:tcPr>
          <w:p w14:paraId="4B314D03" w14:textId="77777777" w:rsidR="009E5CAC" w:rsidRDefault="009E5CAC" w:rsidP="005714C4">
            <w:pPr>
              <w:spacing w:before="120"/>
              <w:rPr>
                <w:rFonts w:ascii="Calibri" w:hAnsi="Calibri"/>
                <w:color w:val="FF0000"/>
              </w:rPr>
            </w:pPr>
            <w:r>
              <w:rPr>
                <w:rFonts w:ascii="Calibri" w:hAnsi="Calibri"/>
              </w:rPr>
              <w:t>Repository for mapped distributions of flora.  Botany, Genetics, Hardwood, Historic, Inventory Plots, Project Opportunity, Size, Structure, Stand, Stand Exam and Timber Suitability.</w:t>
            </w:r>
          </w:p>
        </w:tc>
      </w:tr>
      <w:tr w:rsidR="009E5CAC" w:rsidRPr="00720E9A" w14:paraId="43A0A17A" w14:textId="77777777" w:rsidTr="003114B7">
        <w:trPr>
          <w:trHeight w:val="2330"/>
        </w:trPr>
        <w:tc>
          <w:tcPr>
            <w:tcW w:w="2555" w:type="dxa"/>
            <w:vAlign w:val="center"/>
          </w:tcPr>
          <w:p w14:paraId="696D4470" w14:textId="77777777" w:rsidR="009E5CAC" w:rsidRDefault="009E5CAC" w:rsidP="005714C4">
            <w:pPr>
              <w:rPr>
                <w:rFonts w:ascii="Calibri" w:hAnsi="Calibri"/>
                <w:color w:val="FF0000"/>
              </w:rPr>
            </w:pPr>
            <w:r>
              <w:rPr>
                <w:rFonts w:ascii="Calibri" w:hAnsi="Calibri"/>
              </w:rPr>
              <w:t>Water</w:t>
            </w:r>
          </w:p>
        </w:tc>
        <w:tc>
          <w:tcPr>
            <w:tcW w:w="9145" w:type="dxa"/>
          </w:tcPr>
          <w:p w14:paraId="0965256B" w14:textId="77777777" w:rsidR="009E5CAC" w:rsidRPr="00720E9A" w:rsidRDefault="009E5CAC" w:rsidP="005714C4">
            <w:pPr>
              <w:autoSpaceDE w:val="0"/>
              <w:autoSpaceDN w:val="0"/>
              <w:adjustRightInd w:val="0"/>
              <w:spacing w:before="100" w:after="100"/>
              <w:rPr>
                <w:rFonts w:ascii="Calibri" w:hAnsi="Calibri"/>
                <w:color w:val="000000" w:themeColor="text1"/>
              </w:rPr>
            </w:pPr>
            <w:r w:rsidRPr="00720E9A">
              <w:rPr>
                <w:rFonts w:ascii="Calibri" w:hAnsi="Calibri"/>
                <w:color w:val="000000" w:themeColor="text1"/>
              </w:rPr>
              <w:t xml:space="preserve">Repository for all things related to water (not fish—that’s Aquatic).  Climate, Precipitation, Snowpack Telemetry (SNOTEL) sites, Water Quality, </w:t>
            </w:r>
            <w:r>
              <w:rPr>
                <w:rFonts w:ascii="Calibri" w:hAnsi="Calibri"/>
                <w:color w:val="000000" w:themeColor="text1"/>
              </w:rPr>
              <w:t xml:space="preserve">other local hydrologic data, </w:t>
            </w:r>
            <w:r w:rsidRPr="00720E9A">
              <w:rPr>
                <w:rFonts w:ascii="Calibri" w:hAnsi="Calibri"/>
                <w:color w:val="000000" w:themeColor="text1"/>
              </w:rPr>
              <w:t xml:space="preserve">NHD derivatives or supplemental data, and other related layers.     </w:t>
            </w:r>
          </w:p>
          <w:p w14:paraId="08591D64" w14:textId="77777777" w:rsidR="009E5CAC" w:rsidRPr="00720E9A" w:rsidRDefault="009E5CAC" w:rsidP="005714C4">
            <w:pPr>
              <w:autoSpaceDE w:val="0"/>
              <w:autoSpaceDN w:val="0"/>
              <w:adjustRightInd w:val="0"/>
              <w:spacing w:before="100" w:after="100"/>
              <w:rPr>
                <w:rFonts w:ascii="Calibri" w:hAnsi="Calibri"/>
                <w:i/>
                <w:color w:val="000000" w:themeColor="text1"/>
              </w:rPr>
            </w:pPr>
            <w:r w:rsidRPr="00720E9A">
              <w:rPr>
                <w:rFonts w:ascii="Calibri" w:hAnsi="Calibri"/>
                <w:i/>
                <w:color w:val="000000" w:themeColor="text1"/>
              </w:rPr>
              <w:t xml:space="preserve">Note: </w:t>
            </w:r>
          </w:p>
          <w:p w14:paraId="5DC93C8C" w14:textId="77777777" w:rsidR="009E5CAC" w:rsidRPr="00720E9A" w:rsidRDefault="009E5CAC" w:rsidP="009E5CAC">
            <w:pPr>
              <w:pStyle w:val="ListParagraph"/>
              <w:numPr>
                <w:ilvl w:val="0"/>
                <w:numId w:val="4"/>
              </w:numPr>
              <w:autoSpaceDE w:val="0"/>
              <w:autoSpaceDN w:val="0"/>
              <w:adjustRightInd w:val="0"/>
              <w:ind w:left="158" w:hanging="180"/>
              <w:contextualSpacing w:val="0"/>
              <w:rPr>
                <w:rFonts w:ascii="Calibri" w:hAnsi="Calibri"/>
                <w:i/>
                <w:color w:val="000000" w:themeColor="text1"/>
              </w:rPr>
            </w:pPr>
            <w:r w:rsidRPr="00720E9A">
              <w:rPr>
                <w:rFonts w:ascii="Calibri" w:hAnsi="Calibri"/>
                <w:i/>
                <w:color w:val="000000" w:themeColor="text1"/>
              </w:rPr>
              <w:t xml:space="preserve">It’s recommended that you avoid duplicating NHD data on your unit’s VDC SDE instance; rather, it’s preferred that you reference the NHD data </w:t>
            </w:r>
            <w:r>
              <w:rPr>
                <w:rFonts w:ascii="Calibri" w:hAnsi="Calibri"/>
                <w:i/>
                <w:color w:val="000000" w:themeColor="text1"/>
              </w:rPr>
              <w:t>from</w:t>
            </w:r>
            <w:r w:rsidRPr="00720E9A">
              <w:rPr>
                <w:rFonts w:ascii="Calibri" w:hAnsi="Calibri"/>
                <w:i/>
                <w:color w:val="000000" w:themeColor="text1"/>
              </w:rPr>
              <w:t xml:space="preserve"> the EDW.</w:t>
            </w:r>
          </w:p>
          <w:p w14:paraId="0C24C20C" w14:textId="77777777" w:rsidR="009E5CAC" w:rsidRPr="007A2D7C" w:rsidRDefault="009E5CAC" w:rsidP="009E5CAC">
            <w:pPr>
              <w:pStyle w:val="ListParagraph"/>
              <w:numPr>
                <w:ilvl w:val="0"/>
                <w:numId w:val="4"/>
              </w:numPr>
              <w:spacing w:before="60"/>
              <w:ind w:left="159" w:hanging="202"/>
              <w:contextualSpacing w:val="0"/>
              <w:rPr>
                <w:rFonts w:ascii="Calibri" w:hAnsi="Calibri"/>
                <w:color w:val="000000" w:themeColor="text1"/>
              </w:rPr>
            </w:pPr>
            <w:r w:rsidRPr="00720E9A">
              <w:rPr>
                <w:rFonts w:ascii="Calibri" w:hAnsi="Calibri"/>
                <w:i/>
                <w:color w:val="000000" w:themeColor="text1"/>
              </w:rPr>
              <w:t>Layers associated with aquatic organisms and their habitats belong to the Aquatic group.</w:t>
            </w:r>
            <w:r w:rsidRPr="00720E9A">
              <w:rPr>
                <w:rFonts w:ascii="Calibri" w:hAnsi="Calibri"/>
                <w:color w:val="000000" w:themeColor="text1"/>
              </w:rPr>
              <w:t xml:space="preserve"> </w:t>
            </w:r>
            <w:r w:rsidRPr="007A2D7C">
              <w:rPr>
                <w:rFonts w:ascii="Calibri" w:hAnsi="Calibri"/>
                <w:color w:val="000000" w:themeColor="text1"/>
              </w:rPr>
              <w:t xml:space="preserve">    </w:t>
            </w:r>
          </w:p>
        </w:tc>
      </w:tr>
      <w:tr w:rsidR="009E5CAC" w14:paraId="2612F8AB" w14:textId="77777777" w:rsidTr="009E5CAC">
        <w:trPr>
          <w:trHeight w:val="789"/>
        </w:trPr>
        <w:tc>
          <w:tcPr>
            <w:tcW w:w="2555" w:type="dxa"/>
            <w:vAlign w:val="center"/>
          </w:tcPr>
          <w:p w14:paraId="64442FBC" w14:textId="77777777" w:rsidR="009E5CAC" w:rsidRDefault="009E5CAC" w:rsidP="005714C4">
            <w:pPr>
              <w:rPr>
                <w:rFonts w:ascii="Calibri" w:hAnsi="Calibri"/>
                <w:color w:val="FF0000"/>
              </w:rPr>
            </w:pPr>
            <w:r>
              <w:rPr>
                <w:rFonts w:ascii="Calibri" w:hAnsi="Calibri"/>
              </w:rPr>
              <w:t>Wildlife</w:t>
            </w:r>
          </w:p>
        </w:tc>
        <w:tc>
          <w:tcPr>
            <w:tcW w:w="9145" w:type="dxa"/>
          </w:tcPr>
          <w:p w14:paraId="35D62ED0" w14:textId="77777777" w:rsidR="009E5CAC" w:rsidRPr="00FB55BB" w:rsidRDefault="009E5CAC" w:rsidP="005714C4">
            <w:pPr>
              <w:autoSpaceDE w:val="0"/>
              <w:autoSpaceDN w:val="0"/>
              <w:adjustRightInd w:val="0"/>
              <w:spacing w:before="100" w:after="100"/>
              <w:rPr>
                <w:rFonts w:ascii="Calibri" w:hAnsi="Calibri"/>
              </w:rPr>
            </w:pPr>
            <w:r w:rsidRPr="00E60AAD">
              <w:rPr>
                <w:rFonts w:ascii="Calibri" w:hAnsi="Calibri"/>
              </w:rPr>
              <w:t>Mapped terrestrial species locations and habitat.</w:t>
            </w:r>
            <w:r>
              <w:rPr>
                <w:rFonts w:ascii="Calibri" w:hAnsi="Calibri"/>
              </w:rPr>
              <w:t xml:space="preserve">  Layers that may supplement corporate data in NRM SDE.</w:t>
            </w:r>
            <w:r w:rsidRPr="00E60AAD">
              <w:rPr>
                <w:rFonts w:ascii="Calibri" w:hAnsi="Calibri"/>
              </w:rPr>
              <w:t xml:space="preserve">  </w:t>
            </w:r>
          </w:p>
        </w:tc>
      </w:tr>
    </w:tbl>
    <w:p w14:paraId="2DC5CA7E" w14:textId="77777777" w:rsidR="009E5CAC" w:rsidRPr="009E5CAC" w:rsidRDefault="009E5CAC" w:rsidP="009E5CAC"/>
    <w:p w14:paraId="29BCB4E8" w14:textId="77777777" w:rsidR="00336540" w:rsidRPr="00336540" w:rsidRDefault="00336540" w:rsidP="00336540"/>
    <w:p w14:paraId="57D5505C" w14:textId="77777777" w:rsidR="00DD154E" w:rsidRPr="00EC40B0" w:rsidRDefault="00DD154E" w:rsidP="00DD154E"/>
    <w:sectPr w:rsidR="00DD154E" w:rsidRPr="00EC40B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B1B71" w14:textId="77777777" w:rsidR="006C3E19" w:rsidRDefault="006C3E19" w:rsidP="005519C7">
      <w:pPr>
        <w:spacing w:after="0" w:line="240" w:lineRule="auto"/>
      </w:pPr>
      <w:r>
        <w:separator/>
      </w:r>
    </w:p>
  </w:endnote>
  <w:endnote w:type="continuationSeparator" w:id="0">
    <w:p w14:paraId="0CD2010F" w14:textId="77777777" w:rsidR="006C3E19" w:rsidRDefault="006C3E19" w:rsidP="0055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782587"/>
      <w:docPartObj>
        <w:docPartGallery w:val="Page Numbers (Bottom of Page)"/>
        <w:docPartUnique/>
      </w:docPartObj>
    </w:sdtPr>
    <w:sdtEndPr/>
    <w:sdtContent>
      <w:sdt>
        <w:sdtPr>
          <w:id w:val="1728636285"/>
          <w:docPartObj>
            <w:docPartGallery w:val="Page Numbers (Top of Page)"/>
            <w:docPartUnique/>
          </w:docPartObj>
        </w:sdtPr>
        <w:sdtEndPr/>
        <w:sdtContent>
          <w:p w14:paraId="06BD02E6" w14:textId="4F84494B" w:rsidR="00596208" w:rsidRDefault="0059620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C8F15CC" w14:textId="77777777" w:rsidR="00596208" w:rsidRDefault="00596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23B76" w14:textId="77777777" w:rsidR="006C3E19" w:rsidRDefault="006C3E19" w:rsidP="005519C7">
      <w:pPr>
        <w:spacing w:after="0" w:line="240" w:lineRule="auto"/>
      </w:pPr>
      <w:r>
        <w:separator/>
      </w:r>
    </w:p>
  </w:footnote>
  <w:footnote w:type="continuationSeparator" w:id="0">
    <w:p w14:paraId="1BAF5892" w14:textId="77777777" w:rsidR="006C3E19" w:rsidRDefault="006C3E19" w:rsidP="00551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2B74" w14:textId="1466FCA6" w:rsidR="005519C7" w:rsidRDefault="005519C7">
    <w:pPr>
      <w:pStyle w:val="Header"/>
    </w:pPr>
    <w:r>
      <w:rPr>
        <w:noProof/>
      </w:rPr>
      <w:drawing>
        <wp:inline distT="0" distB="0" distL="0" distR="0" wp14:anchorId="0C38C94E" wp14:editId="005B6195">
          <wp:extent cx="579170" cy="402371"/>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9170" cy="402371"/>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71F370C4" wp14:editId="4EA69B8F">
          <wp:extent cx="454343" cy="504825"/>
          <wp:effectExtent l="0" t="0" r="317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59219" cy="5102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7057"/>
    <w:multiLevelType w:val="hybridMultilevel"/>
    <w:tmpl w:val="0216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9203C"/>
    <w:multiLevelType w:val="hybridMultilevel"/>
    <w:tmpl w:val="A8A68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C14EF"/>
    <w:multiLevelType w:val="hybridMultilevel"/>
    <w:tmpl w:val="034CDF8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63144C92"/>
    <w:multiLevelType w:val="hybridMultilevel"/>
    <w:tmpl w:val="7C984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80E64"/>
    <w:multiLevelType w:val="hybridMultilevel"/>
    <w:tmpl w:val="EA929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795401">
    <w:abstractNumId w:val="0"/>
  </w:num>
  <w:num w:numId="2" w16cid:durableId="284242245">
    <w:abstractNumId w:val="1"/>
  </w:num>
  <w:num w:numId="3" w16cid:durableId="859440449">
    <w:abstractNumId w:val="3"/>
  </w:num>
  <w:num w:numId="4" w16cid:durableId="1512405043">
    <w:abstractNumId w:val="2"/>
  </w:num>
  <w:num w:numId="5" w16cid:durableId="756830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C7"/>
    <w:rsid w:val="00073F93"/>
    <w:rsid w:val="000F3DA6"/>
    <w:rsid w:val="00104FB7"/>
    <w:rsid w:val="00171EFC"/>
    <w:rsid w:val="001F26D8"/>
    <w:rsid w:val="0020628F"/>
    <w:rsid w:val="0021677D"/>
    <w:rsid w:val="00297341"/>
    <w:rsid w:val="003114B7"/>
    <w:rsid w:val="00336540"/>
    <w:rsid w:val="0052782F"/>
    <w:rsid w:val="005519C7"/>
    <w:rsid w:val="00596208"/>
    <w:rsid w:val="005E5991"/>
    <w:rsid w:val="006677BA"/>
    <w:rsid w:val="006C3E19"/>
    <w:rsid w:val="007602A4"/>
    <w:rsid w:val="008A3554"/>
    <w:rsid w:val="009335EF"/>
    <w:rsid w:val="009A35E2"/>
    <w:rsid w:val="009E5CAC"/>
    <w:rsid w:val="00A47B0D"/>
    <w:rsid w:val="00AD223C"/>
    <w:rsid w:val="00B147BB"/>
    <w:rsid w:val="00B35935"/>
    <w:rsid w:val="00B61A85"/>
    <w:rsid w:val="00C51F04"/>
    <w:rsid w:val="00DB30DE"/>
    <w:rsid w:val="00DD0EE9"/>
    <w:rsid w:val="00DD154E"/>
    <w:rsid w:val="00DE5E7D"/>
    <w:rsid w:val="00DF288F"/>
    <w:rsid w:val="00DF6363"/>
    <w:rsid w:val="00EC40B0"/>
    <w:rsid w:val="00F85E92"/>
    <w:rsid w:val="00FE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DB6C9"/>
  <w15:chartTrackingRefBased/>
  <w15:docId w15:val="{2C6F8824-7EF8-44BE-B5D1-91C2CF95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9C7"/>
  </w:style>
  <w:style w:type="paragraph" w:styleId="Footer">
    <w:name w:val="footer"/>
    <w:basedOn w:val="Normal"/>
    <w:link w:val="FooterChar"/>
    <w:uiPriority w:val="99"/>
    <w:unhideWhenUsed/>
    <w:rsid w:val="0055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9C7"/>
  </w:style>
  <w:style w:type="paragraph" w:styleId="ListParagraph">
    <w:name w:val="List Paragraph"/>
    <w:basedOn w:val="Normal"/>
    <w:uiPriority w:val="34"/>
    <w:qFormat/>
    <w:rsid w:val="000F3DA6"/>
    <w:pPr>
      <w:ind w:left="720"/>
      <w:contextualSpacing/>
    </w:pPr>
  </w:style>
  <w:style w:type="character" w:styleId="Hyperlink">
    <w:name w:val="Hyperlink"/>
    <w:basedOn w:val="DefaultParagraphFont"/>
    <w:uiPriority w:val="99"/>
    <w:unhideWhenUsed/>
    <w:rsid w:val="009E5CAC"/>
    <w:rPr>
      <w:color w:val="0563C1" w:themeColor="hyperlink"/>
      <w:u w:val="single"/>
    </w:rPr>
  </w:style>
  <w:style w:type="table" w:styleId="TableGrid">
    <w:name w:val="Table Grid"/>
    <w:basedOn w:val="TableNormal"/>
    <w:uiPriority w:val="39"/>
    <w:rsid w:val="009E5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Jeffrey - FS, WI</dc:creator>
  <cp:keywords/>
  <dc:description/>
  <cp:lastModifiedBy>Erwin, Jeffrey - FS, WI</cp:lastModifiedBy>
  <cp:revision>3</cp:revision>
  <dcterms:created xsi:type="dcterms:W3CDTF">2023-04-25T16:33:00Z</dcterms:created>
  <dcterms:modified xsi:type="dcterms:W3CDTF">2023-04-25T16:35:00Z</dcterms:modified>
</cp:coreProperties>
</file>