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5.png" ContentType="image/png"/>
  <Override PartName="/word/media/rId58.png" ContentType="image/png"/>
  <Override PartName="/word/media/rId41.png" ContentType="image/png"/>
  <Override PartName="/word/media/rId46.png" ContentType="image/png"/>
  <Override PartName="/word/media/rId64.png" ContentType="image/png"/>
  <Override PartName="/word/media/rId5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Аннотация</w:t>
      </w:r>
      <w:r>
        <w:t xml:space="preserve"> </w:t>
      </w:r>
      <w:r>
        <w:t xml:space="preserve">бактериального</w:t>
      </w:r>
      <w:r>
        <w:t xml:space="preserve"> </w:t>
      </w:r>
      <w:r>
        <w:t xml:space="preserve">генома</w:t>
      </w:r>
      <w:r>
        <w:t xml:space="preserve"> </w:t>
      </w:r>
      <w:r>
        <w:t xml:space="preserve">и</w:t>
      </w:r>
      <w:r>
        <w:t xml:space="preserve"> </w:t>
      </w:r>
      <w:r>
        <w:t xml:space="preserve">поиск</w:t>
      </w:r>
      <w:r>
        <w:t xml:space="preserve"> </w:t>
      </w:r>
      <w:r>
        <w:t xml:space="preserve">сайтов</w:t>
      </w:r>
      <w:r>
        <w:t xml:space="preserve"> </w:t>
      </w:r>
      <w:r>
        <w:t xml:space="preserve">связывания</w:t>
      </w:r>
      <w:r>
        <w:t xml:space="preserve"> </w:t>
      </w:r>
      <w:r>
        <w:t xml:space="preserve">транскрипционных</w:t>
      </w:r>
      <w:r>
        <w:t xml:space="preserve"> </w:t>
      </w:r>
      <w:r>
        <w:t xml:space="preserve">факторов</w:t>
      </w:r>
      <w:r>
        <w:t xml:space="preserve"> </w:t>
      </w:r>
      <w:r>
        <w:t xml:space="preserve">семейства</w:t>
      </w:r>
      <w:r>
        <w:t xml:space="preserve"> </w:t>
      </w:r>
      <w:r>
        <w:t xml:space="preserve">TetR</w:t>
      </w:r>
    </w:p>
    <w:p>
      <w:pPr>
        <w:pStyle w:val="Sub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Судиловский</w:t>
      </w:r>
      <w:r>
        <w:t xml:space="preserve"> </w:t>
      </w:r>
      <w:r>
        <w:t xml:space="preserve">Л.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реферат"/>
      <w:r>
        <w:t xml:space="preserve">Реферат</w:t>
      </w:r>
      <w:bookmarkEnd w:id="20"/>
    </w:p>
    <w:p>
      <w:pPr>
        <w:pStyle w:val="FirstParagraph"/>
      </w:pPr>
      <w:r>
        <w:t xml:space="preserve">Отчёт содержит описание выполнения лабораторной работы №5 — аннотации</w:t>
      </w:r>
      <w:r>
        <w:t xml:space="preserve"> </w:t>
      </w:r>
      <w:r>
        <w:t xml:space="preserve">полностью секвенированного хромосомного контига бактерии</w:t>
      </w:r>
      <w:r>
        <w:t xml:space="preserve"> </w:t>
      </w:r>
      <w:r>
        <w:rPr>
          <w:i/>
        </w:rPr>
        <w:t xml:space="preserve">Pectobacterium polaris</w:t>
      </w:r>
      <w:r>
        <w:t xml:space="preserve"> </w:t>
      </w:r>
      <w:r>
        <w:t xml:space="preserve">штамм NIBIO1392 (NCBI accession</w:t>
      </w:r>
      <w:r>
        <w:t xml:space="preserve"> </w:t>
      </w:r>
      <w:r>
        <w:rPr>
          <w:b/>
        </w:rPr>
        <w:t xml:space="preserve">NZ_CP017482.1</w:t>
      </w:r>
      <w:r>
        <w:t xml:space="preserve">)</w:t>
      </w:r>
      <w:r>
        <w:t xml:space="preserve"> </w:t>
      </w:r>
      <w:r>
        <w:t xml:space="preserve">при помощи программного пакета</w:t>
      </w:r>
      <w:r>
        <w:t xml:space="preserve"> </w:t>
      </w:r>
      <w:r>
        <w:rPr>
          <w:b/>
        </w:rPr>
        <w:t xml:space="preserve">Prokka 1.14.6</w:t>
      </w:r>
      <w:r>
        <w:t xml:space="preserve"> </w:t>
      </w:r>
      <w:r>
        <w:t xml:space="preserve">и последующего поиска</w:t>
      </w:r>
      <w:r>
        <w:t xml:space="preserve"> </w:t>
      </w:r>
      <w:r>
        <w:t xml:space="preserve">участков ДНК, потенциально связывающих транскрипционные факторы</w:t>
      </w:r>
      <w:r>
        <w:t xml:space="preserve"> </w:t>
      </w:r>
      <w:r>
        <w:t xml:space="preserve">семейства</w:t>
      </w:r>
      <w:r>
        <w:t xml:space="preserve"> </w:t>
      </w:r>
      <w:r>
        <w:rPr>
          <w:b/>
        </w:rPr>
        <w:t xml:space="preserve">TetR</w:t>
      </w:r>
      <w:r>
        <w:t xml:space="preserve"> </w:t>
      </w:r>
      <w:r>
        <w:t xml:space="preserve">(Pfam</w:t>
      </w:r>
      <w:r>
        <w:t xml:space="preserve"> </w:t>
      </w:r>
      <w:r>
        <w:rPr>
          <w:b/>
        </w:rPr>
        <w:t xml:space="preserve">PF00440</w:t>
      </w:r>
      <w:r>
        <w:t xml:space="preserve">), при помощи пакета</w:t>
      </w:r>
      <w:r>
        <w:t xml:space="preserve"> </w:t>
      </w:r>
      <w:r>
        <w:rPr>
          <w:b/>
        </w:rPr>
        <w:t xml:space="preserve">MEME Suite 5.5.7</w:t>
      </w:r>
      <w:r>
        <w:t xml:space="preserve"> </w:t>
      </w:r>
      <w:r>
        <w:t xml:space="preserve">(программы MEME и FIMO).</w:t>
      </w:r>
    </w:p>
    <w:p>
      <w:pPr>
        <w:pStyle w:val="BodyText"/>
      </w:pPr>
      <w:r>
        <w:t xml:space="preserve">Объём работы:</w:t>
      </w:r>
      <w:r>
        <w:t xml:space="preserve"> </w:t>
      </w:r>
      <w:r>
        <w:t xml:space="preserve">~с., 9 таблиц, 1 рисунок, 12 источников,</w:t>
      </w:r>
      <w:r>
        <w:t xml:space="preserve"> </w:t>
      </w:r>
      <w:r>
        <w:t xml:space="preserve">3 приложения.</w:t>
      </w:r>
    </w:p>
    <w:p>
      <w:pPr>
        <w:pStyle w:val="BodyText"/>
      </w:pPr>
      <w:r>
        <w:rPr>
          <w:b/>
        </w:rPr>
        <w:t xml:space="preserve">Ключевые слова:</w:t>
      </w:r>
      <w:r>
        <w:t xml:space="preserve"> </w:t>
      </w:r>
      <w:r>
        <w:t xml:space="preserve">биоинформатика, аннотация генома, Prokka,</w:t>
      </w:r>
      <w:r>
        <w:t xml:space="preserve"> </w:t>
      </w:r>
      <w:r>
        <w:rPr>
          <w:i/>
        </w:rPr>
        <w:t xml:space="preserve">Pectobacterium polaris</w:t>
      </w:r>
      <w:r>
        <w:t xml:space="preserve">, транскрипционные факторы, семейство TetR,</w:t>
      </w:r>
      <w:r>
        <w:t xml:space="preserve"> </w:t>
      </w:r>
      <w:r>
        <w:t xml:space="preserve">сайты связывания, MEME, FIMO, Pfam.</w:t>
      </w:r>
    </w:p>
    <w:p>
      <w:pPr>
        <w:pStyle w:val="BodyText"/>
      </w:pPr>
      <w:r>
        <w:rPr>
          <w:b/>
        </w:rPr>
        <w:t xml:space="preserve">Объект исследования:</w:t>
      </w:r>
      <w:r>
        <w:t xml:space="preserve"> </w:t>
      </w:r>
      <w:r>
        <w:t xml:space="preserve">хромосома штамма</w:t>
      </w:r>
      <w:r>
        <w:t xml:space="preserve"> </w:t>
      </w:r>
      <w:r>
        <w:rPr>
          <w:i/>
        </w:rPr>
        <w:t xml:space="preserve">Pectobacterium polaris</w:t>
      </w:r>
      <w:r>
        <w:t xml:space="preserve"> </w:t>
      </w:r>
      <w:r>
        <w:t xml:space="preserve">NIBIO1392</w:t>
      </w:r>
      <w:r>
        <w:t xml:space="preserve"> </w:t>
      </w:r>
      <w:r>
        <w:t xml:space="preserve">длиной 5 008 416 п.н.</w:t>
      </w:r>
    </w:p>
    <w:p>
      <w:pPr>
        <w:pStyle w:val="BodyText"/>
      </w:pPr>
      <w:r>
        <w:rPr>
          <w:b/>
        </w:rPr>
        <w:t xml:space="preserve">Цель работы:</w:t>
      </w:r>
      <w:r>
        <w:t xml:space="preserve"> </w:t>
      </w:r>
      <w:r>
        <w:t xml:space="preserve">провести самостоятельную аннотацию указанного генома</w:t>
      </w:r>
      <w:r>
        <w:t xml:space="preserve"> </w:t>
      </w:r>
      <w:r>
        <w:t xml:space="preserve">с префиксом локус-тегов</w:t>
      </w:r>
      <w:r>
        <w:t xml:space="preserve"> </w:t>
      </w:r>
      <w:r>
        <w:rPr>
          <w:rStyle w:val="VerbatimChar"/>
        </w:rPr>
        <w:t xml:space="preserve">Sudilovsky</w:t>
      </w:r>
      <w:r>
        <w:t xml:space="preserve">, сравнить полученную аннотацию</w:t>
      </w:r>
      <w:r>
        <w:t xml:space="preserve"> </w:t>
      </w:r>
      <w:r>
        <w:t xml:space="preserve">с существующей в NCBI RefSeq, найти и охарактеризовать сайты связывания</w:t>
      </w:r>
      <w:r>
        <w:t xml:space="preserve"> </w:t>
      </w:r>
      <w:r>
        <w:t xml:space="preserve">транскрипционных факторов семейства TetR.</w:t>
      </w:r>
    </w:p>
    <w:p>
      <w:pPr>
        <w:pStyle w:val="BodyText"/>
      </w:pPr>
      <w:r>
        <w:rPr>
          <w:b/>
        </w:rPr>
        <w:t xml:space="preserve">Полученные результаты.</w:t>
      </w:r>
      <w:r>
        <w:t xml:space="preserve"> </w:t>
      </w:r>
      <w:r>
        <w:t xml:space="preserve">Аннотация Prokka выявила 4 390 кодирующих</w:t>
      </w:r>
      <w:r>
        <w:t xml:space="preserve"> </w:t>
      </w:r>
      <w:r>
        <w:t xml:space="preserve">последовательностей (CDS), 77 тРНК, 15 рРНК, 1 тмРНК и 163 некодирующих</w:t>
      </w:r>
      <w:r>
        <w:t xml:space="preserve"> </w:t>
      </w:r>
      <w:r>
        <w:t xml:space="preserve">РНК; различия с эталонной аннотацией NCBI объяснены методически.</w:t>
      </w:r>
      <w:r>
        <w:t xml:space="preserve"> </w:t>
      </w:r>
      <w:r>
        <w:t xml:space="preserve">В геноме найдено 19 белков семейства TetR. На основании 32 апстрим-областей</w:t>
      </w:r>
      <w:r>
        <w:t xml:space="preserve"> </w:t>
      </w:r>
      <w:r>
        <w:t xml:space="preserve">этих белков и их дивергентных соседей с помощью MEME</w:t>
      </w:r>
      <w:r>
        <w:t xml:space="preserve"> </w:t>
      </w:r>
      <w:r>
        <w:rPr>
          <w:i/>
        </w:rPr>
        <w:t xml:space="preserve">de novo</w:t>
      </w:r>
      <w:r>
        <w:t xml:space="preserve"> </w:t>
      </w:r>
      <w:r>
        <w:t xml:space="preserve">построен</w:t>
      </w:r>
      <w:r>
        <w:t xml:space="preserve"> </w:t>
      </w:r>
      <w:r>
        <w:t xml:space="preserve">профиль сайта связывания (консенсус</w:t>
      </w:r>
      <w:r>
        <w:t xml:space="preserve"> </w:t>
      </w:r>
      <w:r>
        <w:rPr>
          <w:rStyle w:val="VerbatimChar"/>
        </w:rPr>
        <w:t xml:space="preserve">WTSATGATDAYSGTAWTSA</w:t>
      </w:r>
      <w:r>
        <w:t xml:space="preserve">,</w:t>
      </w:r>
      <w:r>
        <w:t xml:space="preserve"> </w:t>
      </w:r>
      <w:r>
        <w:t xml:space="preserve">E-value</w:t>
      </w:r>
      <w:r>
        <w:t xml:space="preserve"> </w:t>
      </w:r>
      <m:oMath>
        <m:r>
          <m:t>1</m:t>
        </m:r>
        <m:r>
          <m:t>,</m:t>
        </m:r>
        <m:r>
          <m:t>8</m:t>
        </m:r>
        <m:r>
          <m:t>⋅</m:t>
        </m:r>
        <m:sSup>
          <m:e>
            <m:r>
              <m:t>10</m:t>
            </m:r>
          </m:e>
          <m:sup>
            <m:r>
              <m:t>−</m:t>
            </m:r>
            <m:r>
              <m:t>11</m:t>
            </m:r>
          </m:sup>
        </m:sSup>
      </m:oMath>
      <w:r>
        <w:t xml:space="preserve">). Сканирование генома программой FIMO</w:t>
      </w:r>
      <w:r>
        <w:t xml:space="preserve"> </w:t>
      </w:r>
      <w:r>
        <w:t xml:space="preserve">выявило 32 высокозначимых сайта связывания</w:t>
      </w:r>
      <w:r>
        <w:t xml:space="preserve"> </w:t>
      </w:r>
      <w:r>
        <w:t xml:space="preserve">(</w:t>
      </w:r>
      <m:oMath>
        <m:r>
          <m:t>p</m:t>
        </m:r>
        <m:r>
          <m:t>&lt;</m:t>
        </m:r>
        <m:sSup>
          <m:e>
            <m:r>
              <m:t>10</m:t>
            </m:r>
          </m:e>
          <m:sup>
            <m:r>
              <m:t>−</m:t>
            </m:r>
            <m:r>
              <m:t>6</m:t>
            </m:r>
          </m:sup>
        </m:sSup>
      </m:oMath>
      <w:r>
        <w:t xml:space="preserve">); 7 из них располагаются непосредственно перед</w:t>
      </w:r>
      <w:r>
        <w:t xml:space="preserve"> </w:t>
      </w:r>
      <w:r>
        <w:t xml:space="preserve">TetR-генами, что соответствует типичной авторегуляторной архитектуре</w:t>
      </w:r>
      <w:r>
        <w:t xml:space="preserve"> </w:t>
      </w:r>
      <w:r>
        <w:t xml:space="preserve">TetR-репрессоров и подтверждает биологическую релевантность найденного</w:t>
      </w:r>
      <w:r>
        <w:t xml:space="preserve"> </w:t>
      </w:r>
      <w:r>
        <w:t xml:space="preserve">мотива.</w:t>
      </w:r>
    </w:p>
    <w:p>
      <w:pPr>
        <w:pStyle w:val="Heading1"/>
      </w:pPr>
      <w:bookmarkStart w:id="21" w:name="X04f63f83e09dd95920a4fcb20c71057ec51e060"/>
      <w:r>
        <w:t xml:space="preserve">Перечень условных обозначений и сокращений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Сокращение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Расшифровка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BGU / БГУ</w:t>
            </w:r>
          </w:p>
        </w:tc>
        <w:tc>
          <w:p>
            <w:pPr>
              <w:pStyle w:val="Compact"/>
              <w:jc w:val="left"/>
            </w:pPr>
            <w:r>
              <w:t xml:space="preserve">Белорусский государственный университет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CDS</w:t>
            </w:r>
          </w:p>
        </w:tc>
        <w:tc>
          <w:p>
            <w:pPr>
              <w:pStyle w:val="Compact"/>
              <w:jc w:val="left"/>
            </w:pPr>
            <w:r>
              <w:t xml:space="preserve">coding DNA sequence — кодирующая последовательность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p>
            <w:pPr>
              <w:pStyle w:val="Compact"/>
              <w:jc w:val="left"/>
            </w:pPr>
            <w:r>
              <w:t xml:space="preserve">covariance model — ковариационная модель Infernal/Rfam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p>
            <w:pPr>
              <w:pStyle w:val="Compact"/>
              <w:jc w:val="left"/>
            </w:pPr>
            <w:r>
              <w:t xml:space="preserve">gene cluster — содержание гуанин-цитозин в ДНК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t xml:space="preserve">Gene Ontology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HMM</w:t>
            </w:r>
          </w:p>
        </w:tc>
        <w:tc>
          <w:p>
            <w:pPr>
              <w:pStyle w:val="Compact"/>
              <w:jc w:val="left"/>
            </w:pPr>
            <w:r>
              <w:t xml:space="preserve">hidden Markov model — скрытая марковская модель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HTH</w:t>
            </w:r>
          </w:p>
        </w:tc>
        <w:tc>
          <w:p>
            <w:pPr>
              <w:pStyle w:val="Compact"/>
              <w:jc w:val="left"/>
            </w:pPr>
            <w:r>
              <w:t xml:space="preserve">helix-turn-helix — мотив «спираль-поворот-спираль»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ncRNA</w:t>
            </w:r>
          </w:p>
        </w:tc>
        <w:tc>
          <w:p>
            <w:pPr>
              <w:pStyle w:val="Compact"/>
              <w:jc w:val="left"/>
            </w:pPr>
            <w:r>
              <w:t xml:space="preserve">non-coding RNA — некодирующая РНК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NCBI</w:t>
            </w:r>
          </w:p>
        </w:tc>
        <w:tc>
          <w:p>
            <w:pPr>
              <w:pStyle w:val="Compact"/>
              <w:jc w:val="left"/>
            </w:pPr>
            <w:r>
              <w:t xml:space="preserve">National Center for Biotechnology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ORF</w:t>
            </w:r>
          </w:p>
        </w:tc>
        <w:tc>
          <w:p>
            <w:pPr>
              <w:pStyle w:val="Compact"/>
              <w:jc w:val="left"/>
            </w:pPr>
            <w:r>
              <w:t xml:space="preserve">open reading frame — открытая рамка считывания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p>
            <w:pPr>
              <w:pStyle w:val="Compact"/>
              <w:jc w:val="left"/>
            </w:pPr>
            <w:r>
              <w:t xml:space="preserve">position weight matrix — позиционно-весовая матрица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RefSeq</w:t>
            </w:r>
          </w:p>
        </w:tc>
        <w:tc>
          <w:p>
            <w:pPr>
              <w:pStyle w:val="Compact"/>
              <w:jc w:val="left"/>
            </w:pPr>
            <w:r>
              <w:t xml:space="preserve">Reference Sequence Database (NCBI)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TF / ТФ</w:t>
            </w:r>
          </w:p>
        </w:tc>
        <w:tc>
          <w:p>
            <w:pPr>
              <w:pStyle w:val="Compact"/>
              <w:jc w:val="left"/>
            </w:pPr>
            <w:r>
              <w:t xml:space="preserve">transcription factor — транскрипционный фактор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TFBS</w:t>
            </w:r>
          </w:p>
        </w:tc>
        <w:tc>
          <w:p>
            <w:pPr>
              <w:pStyle w:val="Compact"/>
              <w:jc w:val="left"/>
            </w:pPr>
            <w:r>
              <w:t xml:space="preserve">transcription factor binding site — сайт связывания ТФ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тРНК / тмРНК</w:t>
            </w:r>
          </w:p>
        </w:tc>
        <w:tc>
          <w:p>
            <w:pPr>
              <w:pStyle w:val="Compact"/>
              <w:jc w:val="left"/>
            </w:pPr>
            <w:r>
              <w:t xml:space="preserve">транспортная / транспортно-матричная РНК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п.н.</w:t>
            </w:r>
          </w:p>
        </w:tc>
        <w:tc>
          <w:p>
            <w:pPr>
              <w:pStyle w:val="Compact"/>
              <w:jc w:val="left"/>
            </w:pPr>
            <w:r>
              <w:t xml:space="preserve">пар нуклеотидов</w:t>
            </w:r>
          </w:p>
        </w:tc>
      </w:tr>
    </w:tbl>
    <w:p>
      <w:pPr>
        <w:pStyle w:val="Heading1"/>
      </w:pPr>
      <w:bookmarkStart w:id="22" w:name="введение"/>
      <w:r>
        <w:t xml:space="preserve">Введение</w:t>
      </w:r>
      <w:bookmarkEnd w:id="22"/>
    </w:p>
    <w:p>
      <w:pPr>
        <w:pStyle w:val="FirstParagraph"/>
      </w:pPr>
      <w:r>
        <w:t xml:space="preserve">Полное прочтение генома бактерии (whole-genome sequencing) на современных</w:t>
      </w:r>
      <w:r>
        <w:t xml:space="preserve"> </w:t>
      </w:r>
      <w:r>
        <w:t xml:space="preserve">платформах NGS даёт исходный материал — последовательность нуклеотидов,</w:t>
      </w:r>
      <w:r>
        <w:t xml:space="preserve"> </w:t>
      </w:r>
      <w:r>
        <w:t xml:space="preserve">которая сама по себе биологически малоинформативна. Чтобы превратить</w:t>
      </w:r>
      <w:r>
        <w:t xml:space="preserve"> </w:t>
      </w:r>
      <w:r>
        <w:t xml:space="preserve">сырую последовательность в инструмент исследования, её необходимо</w:t>
      </w:r>
      <w:r>
        <w:t xml:space="preserve"> </w:t>
      </w:r>
      <w:r>
        <w:rPr>
          <w:b/>
        </w:rPr>
        <w:t xml:space="preserve">аннотировать</w:t>
      </w:r>
      <w:r>
        <w:t xml:space="preserve">: разметить кодирующие гены, рРНК-гены, тРНК-гены, малые</w:t>
      </w:r>
      <w:r>
        <w:t xml:space="preserve"> </w:t>
      </w:r>
      <w:r>
        <w:t xml:space="preserve">некодирующие РНК, регуляторные элементы. Стандартом</w:t>
      </w:r>
      <w:r>
        <w:t xml:space="preserve"> </w:t>
      </w:r>
      <w:r>
        <w:rPr>
          <w:i/>
        </w:rPr>
        <w:t xml:space="preserve">de facto</w:t>
      </w:r>
      <w:r>
        <w:t xml:space="preserve"> </w:t>
      </w:r>
      <w:r>
        <w:t xml:space="preserve">для</w:t>
      </w:r>
      <w:r>
        <w:t xml:space="preserve"> </w:t>
      </w:r>
      <w:r>
        <w:t xml:space="preserve">бактериальных геномов является пакет</w:t>
      </w:r>
      <w:r>
        <w:t xml:space="preserve"> </w:t>
      </w:r>
      <w:r>
        <w:rPr>
          <w:i/>
        </w:rPr>
        <w:t xml:space="preserve">Prokka</w:t>
      </w:r>
      <w:r>
        <w:t xml:space="preserve"> </w:t>
      </w:r>
      <w:r>
        <w:t xml:space="preserve">T. Seemann [1], сочетающий</w:t>
      </w:r>
      <w:r>
        <w:t xml:space="preserve"> </w:t>
      </w:r>
      <w:r>
        <w:t xml:space="preserve">предсказание ORF (Prodigal), поиск рРНК (barrnap), тРНК (Aragorn),</w:t>
      </w:r>
      <w:r>
        <w:t xml:space="preserve"> </w:t>
      </w:r>
      <w:r>
        <w:t xml:space="preserve">малых РНК и риботсвичей (Infernal/Rfam) и присвоение функций по поиску</w:t>
      </w:r>
      <w:r>
        <w:t xml:space="preserve"> </w:t>
      </w:r>
      <w:r>
        <w:t xml:space="preserve">гомологий в SwissProt и HAMAP.</w:t>
      </w:r>
    </w:p>
    <w:p>
      <w:pPr>
        <w:pStyle w:val="BodyText"/>
      </w:pPr>
      <w:r>
        <w:t xml:space="preserve">Помимо собственно генов, важными элементами генома являются</w:t>
      </w:r>
      <w:r>
        <w:t xml:space="preserve"> </w:t>
      </w:r>
      <w:r>
        <w:rPr>
          <w:i/>
        </w:rPr>
        <w:t xml:space="preserve">цис</w:t>
      </w:r>
      <w:r>
        <w:t xml:space="preserve">-регуляторные</w:t>
      </w:r>
      <w:r>
        <w:t xml:space="preserve"> </w:t>
      </w:r>
      <w:r>
        <w:t xml:space="preserve">последовательности, в первую очередь сайты связывания транскрипционных</w:t>
      </w:r>
      <w:r>
        <w:t xml:space="preserve"> </w:t>
      </w:r>
      <w:r>
        <w:t xml:space="preserve">факторов (TFBS). Семейство</w:t>
      </w:r>
      <w:r>
        <w:t xml:space="preserve"> </w:t>
      </w:r>
      <w:r>
        <w:rPr>
          <w:b/>
        </w:rPr>
        <w:t xml:space="preserve">TetR</w:t>
      </w:r>
      <w:r>
        <w:t xml:space="preserve"> </w:t>
      </w:r>
      <w:r>
        <w:t xml:space="preserve">(Pfam PF00440) — одно из крупнейших</w:t>
      </w:r>
      <w:r>
        <w:t xml:space="preserve"> </w:t>
      </w:r>
      <w:r>
        <w:t xml:space="preserve">семейств бактериальных регуляторов, характеризующееся консервативным</w:t>
      </w:r>
      <w:r>
        <w:t xml:space="preserve"> </w:t>
      </w:r>
      <w:r>
        <w:t xml:space="preserve">N-концевым HTH-доменом и модульной C-концевой лиганд-связывающей</w:t>
      </w:r>
      <w:r>
        <w:t xml:space="preserve"> </w:t>
      </w:r>
      <w:r>
        <w:t xml:space="preserve">областью. В большинстве случаев TetR-белки выступают в роли репрессоров,</w:t>
      </w:r>
      <w:r>
        <w:t xml:space="preserve"> </w:t>
      </w:r>
      <w:r>
        <w:t xml:space="preserve">авторегулирующих собственный промотор и регулирующих гены оттока</w:t>
      </w:r>
      <w:r>
        <w:t xml:space="preserve"> </w:t>
      </w:r>
      <w:r>
        <w:t xml:space="preserve">антибиотиков, ферменты вторичного метаболизма и системы стрессового</w:t>
      </w:r>
      <w:r>
        <w:t xml:space="preserve"> </w:t>
      </w:r>
      <w:r>
        <w:t xml:space="preserve">ответа [2, 3]. Соответствующие операторные сайты, как правило,</w:t>
      </w:r>
      <w:r>
        <w:t xml:space="preserve"> </w:t>
      </w:r>
      <w:r>
        <w:t xml:space="preserve">квази-палиндромны и располагаются непосредственно перед TetR-геном</w:t>
      </w:r>
      <w:r>
        <w:t xml:space="preserve"> </w:t>
      </w:r>
      <w:r>
        <w:t xml:space="preserve">и/или перед дивергентно ориентированным геном-мишенью.</w:t>
      </w:r>
    </w:p>
    <w:p>
      <w:pPr>
        <w:pStyle w:val="BodyText"/>
      </w:pPr>
      <w:r>
        <w:t xml:space="preserve">В рамках настоящей лабораторной работы требовалось:</w:t>
      </w:r>
    </w:p>
    <w:p>
      <w:pPr>
        <w:pStyle w:val="BodyText"/>
      </w:pPr>
      <w:r>
        <w:t xml:space="preserve">а) скачать в формате FASTA геном бактерии, заданной вариантом</w:t>
      </w:r>
      <w:r>
        <w:t xml:space="preserve"> </w:t>
      </w:r>
      <w:r>
        <w:t xml:space="preserve">(вариант 8 —</w:t>
      </w:r>
      <w:r>
        <w:t xml:space="preserve"> </w:t>
      </w:r>
      <w:r>
        <w:rPr>
          <w:rStyle w:val="VerbatimChar"/>
        </w:rPr>
        <w:t xml:space="preserve">NZ_CP017482.1</w:t>
      </w:r>
      <w:r>
        <w:t xml:space="preserve">,</w:t>
      </w:r>
      <w:r>
        <w:t xml:space="preserve"> </w:t>
      </w:r>
      <w:r>
        <w:rPr>
          <w:i/>
        </w:rPr>
        <w:t xml:space="preserve">Pectobacterium polaris</w:t>
      </w:r>
      <w:r>
        <w:t xml:space="preserve"> </w:t>
      </w:r>
      <w:r>
        <w:t xml:space="preserve">NIBIO1392);</w:t>
      </w:r>
    </w:p>
    <w:p>
      <w:pPr>
        <w:pStyle w:val="BodyText"/>
      </w:pPr>
      <w:r>
        <w:t xml:space="preserve">б) самостоятельно аннотировать его, обеспечив префикс локус-тегов</w:t>
      </w:r>
      <w:r>
        <w:t xml:space="preserve"> </w:t>
      </w:r>
      <w:r>
        <w:t xml:space="preserve">вида фамилии исполнителя латиницей (</w:t>
      </w:r>
      <w:r>
        <w:rPr>
          <w:rStyle w:val="VerbatimChar"/>
        </w:rPr>
        <w:t xml:space="preserve">Sudilovsky</w:t>
      </w:r>
      <w:r>
        <w:t xml:space="preserve">);</w:t>
      </w:r>
    </w:p>
    <w:p>
      <w:pPr>
        <w:pStyle w:val="BodyText"/>
      </w:pPr>
      <w:r>
        <w:t xml:space="preserve">в) сравнить полученные количества генов / CDS / некодирующих РНК</w:t>
      </w:r>
      <w:r>
        <w:t xml:space="preserve"> </w:t>
      </w:r>
      <w:r>
        <w:t xml:space="preserve">с существующей аннотацией в NCBI RefSeq и объяснить выявленные различия;</w:t>
      </w:r>
    </w:p>
    <w:p>
      <w:pPr>
        <w:pStyle w:val="BodyText"/>
      </w:pPr>
      <w:r>
        <w:t xml:space="preserve">г) найти в проаннотированном геноме сайты связывания транскрипционного</w:t>
      </w:r>
      <w:r>
        <w:t xml:space="preserve"> </w:t>
      </w:r>
      <w:r>
        <w:t xml:space="preserve">фактора заданного семейства (вариант 8 — TetR);</w:t>
      </w:r>
    </w:p>
    <w:p>
      <w:pPr>
        <w:pStyle w:val="BodyText"/>
      </w:pPr>
      <w:r>
        <w:t xml:space="preserve">д) описать ход работы, промежуточные и итоговые результаты в виде</w:t>
      </w:r>
      <w:r>
        <w:t xml:space="preserve"> </w:t>
      </w:r>
      <w:r>
        <w:t xml:space="preserve">формализованного отчёта.</w:t>
      </w:r>
    </w:p>
    <w:p>
      <w:pPr>
        <w:pStyle w:val="BodyText"/>
      </w:pPr>
      <w:r>
        <w:t xml:space="preserve">Вся вычислительная часть работы воспроизводима: репозиторий</w:t>
      </w:r>
      <w:r>
        <w:t xml:space="preserve"> </w:t>
      </w:r>
      <w:hyperlink r:id="rId23">
        <w:r>
          <w:rPr>
            <w:rStyle w:val="Hyperlink"/>
          </w:rPr>
          <w:t xml:space="preserve">https://github.com/SailorVAC/lab5_bio</w:t>
        </w:r>
      </w:hyperlink>
      <w:r>
        <w:t xml:space="preserve"> </w:t>
      </w:r>
      <w:r>
        <w:t xml:space="preserve">содержит сценарий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(установка всех программ) и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(запуск всего пайплайна</w:t>
      </w:r>
      <w:r>
        <w:t xml:space="preserve"> </w:t>
      </w:r>
      <w:r>
        <w:t xml:space="preserve">одной командой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).</w:t>
      </w:r>
    </w:p>
    <w:p>
      <w:pPr>
        <w:pStyle w:val="Heading1"/>
      </w:pPr>
      <w:bookmarkStart w:id="24" w:name="обзор-использованных-программных-средств"/>
      <w:r>
        <w:t xml:space="preserve">Обзор использованных программных средств</w:t>
      </w:r>
      <w:bookmarkEnd w:id="24"/>
    </w:p>
    <w:p>
      <w:pPr>
        <w:pStyle w:val="Heading2"/>
      </w:pPr>
      <w:bookmarkStart w:id="25" w:name="prokka"/>
      <w:r>
        <w:t xml:space="preserve">Prokka</w:t>
      </w:r>
      <w:bookmarkEnd w:id="25"/>
    </w:p>
    <w:p>
      <w:pPr>
        <w:pStyle w:val="FirstParagraph"/>
      </w:pPr>
      <w:r>
        <w:t xml:space="preserve">Prokka [1] — конвейер аннотации бактериальных, архейных и вирусных</w:t>
      </w:r>
      <w:r>
        <w:t xml:space="preserve"> </w:t>
      </w:r>
      <w:r>
        <w:t xml:space="preserve">геномов. Внутри он последовательно вызывает: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Prodigal 2.6.3</w:t>
      </w:r>
      <w:r>
        <w:t xml:space="preserve"> </w:t>
      </w:r>
      <w:r>
        <w:t xml:space="preserve">[4] — предсказание открытых рамок считывания (CDS)</w:t>
      </w:r>
      <w:r>
        <w:t xml:space="preserve"> </w:t>
      </w:r>
      <w:r>
        <w:t xml:space="preserve">по марковским моделям 5-го порядка, обученным на самой</w:t>
      </w:r>
      <w:r>
        <w:t xml:space="preserve"> </w:t>
      </w:r>
      <w:r>
        <w:t xml:space="preserve">анализируемой последовательности (</w:t>
      </w:r>
      <w:r>
        <w:rPr>
          <w:rStyle w:val="VerbatimChar"/>
        </w:rPr>
        <w:t xml:space="preserve">single mode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Aragorn 1.2.41</w:t>
      </w:r>
      <w:r>
        <w:t xml:space="preserve"> </w:t>
      </w:r>
      <w:r>
        <w:t xml:space="preserve">[5] — поиск тРНК и тмРНК по комбинированному алгоритму</w:t>
      </w:r>
      <w:r>
        <w:t xml:space="preserve"> </w:t>
      </w:r>
      <w:r>
        <w:t xml:space="preserve">динамического программирования;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barrnap 0.9</w:t>
      </w:r>
      <w:r>
        <w:t xml:space="preserve"> </w:t>
      </w:r>
      <w:r>
        <w:t xml:space="preserve">— поиск рибосомных РНК (5S, 16S, 23S) на основе</w:t>
      </w:r>
      <w:r>
        <w:t xml:space="preserve"> </w:t>
      </w:r>
      <w:r>
        <w:t xml:space="preserve">HMM-профилей RFAM/Silva через HMMER;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Infernal 1.1.4</w:t>
      </w:r>
      <w:r>
        <w:t xml:space="preserve"> </w:t>
      </w:r>
      <w:r>
        <w:t xml:space="preserve">[6] совместно с базой Rfam 14.1 — поиск малых</w:t>
      </w:r>
      <w:r>
        <w:t xml:space="preserve"> </w:t>
      </w:r>
      <w:r>
        <w:t xml:space="preserve">некодирующих РНК (рибосвитчи, регуляторные РНК, тмРНК) по</w:t>
      </w:r>
      <w:r>
        <w:t xml:space="preserve"> </w:t>
      </w:r>
      <w:r>
        <w:t xml:space="preserve">ковариационным моделям;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BLAST+ 2.12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HMMER 3.3.2</w:t>
      </w:r>
      <w:r>
        <w:t xml:space="preserve"> </w:t>
      </w:r>
      <w:r>
        <w:t xml:space="preserve">[7] — присвоение функций по</w:t>
      </w:r>
      <w:r>
        <w:t xml:space="preserve"> </w:t>
      </w:r>
      <w:r>
        <w:t xml:space="preserve">гомологии: сначала к курируемой подмножественной базе SwissProt</w:t>
      </w:r>
      <w:r>
        <w:t xml:space="preserve"> </w:t>
      </w:r>
      <w:r>
        <w:t xml:space="preserve">(kingdom Bacteria), затем к семейству HMM-профилей HAMAP, и, при</w:t>
      </w:r>
      <w:r>
        <w:t xml:space="preserve"> </w:t>
      </w:r>
      <w:r>
        <w:t xml:space="preserve">необходимости, к расширенным базам.</w:t>
      </w:r>
    </w:p>
    <w:p>
      <w:pPr>
        <w:pStyle w:val="FirstParagraph"/>
      </w:pPr>
      <w:r>
        <w:t xml:space="preserve">Особенностью Prokka является «строгая» конвенция выходных файлов:</w:t>
      </w:r>
      <w:r>
        <w:t xml:space="preserve"> </w:t>
      </w:r>
      <w:r>
        <w:t xml:space="preserve">все элементы (CDS, tRNA, rRNA, и т. д.) получают единый</w:t>
      </w:r>
      <w:r>
        <w:t xml:space="preserve"> </w:t>
      </w:r>
      <w:r>
        <w:t xml:space="preserve">префикс</w:t>
      </w:r>
      <w:r>
        <w:t xml:space="preserve"> </w:t>
      </w:r>
      <w:r>
        <w:rPr>
          <w:rStyle w:val="VerbatimChar"/>
        </w:rPr>
        <w:t xml:space="preserve">&lt;--locustag&gt;_NNNNN</w:t>
      </w:r>
      <w:r>
        <w:t xml:space="preserve">, что и потребовалось в условии задачи.</w:t>
      </w:r>
    </w:p>
    <w:p>
      <w:pPr>
        <w:pStyle w:val="Heading2"/>
      </w:pPr>
      <w:bookmarkStart w:id="26" w:name="hmmer-pfam-и-поиск-белков-семейства-tetr"/>
      <w:r>
        <w:t xml:space="preserve">HMMER, Pfam и поиск белков семейства TetR</w:t>
      </w:r>
      <w:bookmarkEnd w:id="26"/>
    </w:p>
    <w:p>
      <w:pPr>
        <w:pStyle w:val="FirstParagraph"/>
      </w:pPr>
      <w:r>
        <w:t xml:space="preserve">Пакет</w:t>
      </w:r>
      <w:r>
        <w:t xml:space="preserve"> </w:t>
      </w:r>
      <w:r>
        <w:rPr>
          <w:b/>
        </w:rPr>
        <w:t xml:space="preserve">HMMER 3.3.2</w:t>
      </w:r>
      <w:r>
        <w:t xml:space="preserve"> </w:t>
      </w:r>
      <w:r>
        <w:t xml:space="preserve">[7] реализует алгоритмы построения и поиска по</w:t>
      </w:r>
      <w:r>
        <w:t xml:space="preserve"> </w:t>
      </w:r>
      <w:r>
        <w:t xml:space="preserve">скрытым марковским моделям белковых доменов. База</w:t>
      </w:r>
      <w:r>
        <w:t xml:space="preserve"> </w:t>
      </w:r>
      <w:r>
        <w:rPr>
          <w:b/>
        </w:rPr>
        <w:t xml:space="preserve">Pfam</w:t>
      </w:r>
      <w:r>
        <w:t xml:space="preserve"> </w:t>
      </w:r>
      <w:r>
        <w:t xml:space="preserve">[8]</w:t>
      </w:r>
      <w:r>
        <w:t xml:space="preserve"> </w:t>
      </w:r>
      <w:r>
        <w:t xml:space="preserve">содержит ~20 000 курируемых HMM-профилей. Семейство TetR имеет</w:t>
      </w:r>
      <w:r>
        <w:t xml:space="preserve"> </w:t>
      </w:r>
      <w:r>
        <w:t xml:space="preserve">профиль</w:t>
      </w:r>
      <w:r>
        <w:t xml:space="preserve"> </w:t>
      </w:r>
      <w:r>
        <w:rPr>
          <w:rStyle w:val="VerbatimChar"/>
        </w:rPr>
        <w:t xml:space="preserve">PF00440 TetR_N</w:t>
      </w:r>
      <w:r>
        <w:t xml:space="preserve"> </w:t>
      </w:r>
      <w:r>
        <w:t xml:space="preserve">длиной 47 а.к., описывающий N-концевой</w:t>
      </w:r>
      <w:r>
        <w:t xml:space="preserve"> </w:t>
      </w:r>
      <w:r>
        <w:t xml:space="preserve">HTH-домен. Поиск производится командой</w:t>
      </w:r>
      <w:r>
        <w:t xml:space="preserve"> </w:t>
      </w:r>
      <w:r>
        <w:rPr>
          <w:rStyle w:val="VerbatimChar"/>
        </w:rPr>
        <w:t xml:space="preserve">hmmscan</w:t>
      </w:r>
      <w:r>
        <w:t xml:space="preserve"> </w:t>
      </w:r>
      <w:r>
        <w:t xml:space="preserve">с порогом</w:t>
      </w:r>
      <w:r>
        <w:t xml:space="preserve"> </w:t>
      </w:r>
      <w:r>
        <w:t xml:space="preserve">gathering threshold (</w:t>
      </w:r>
      <w:r>
        <w:rPr>
          <w:rStyle w:val="VerbatimChar"/>
        </w:rPr>
        <w:t xml:space="preserve">--cut_ga</w:t>
      </w:r>
      <w:r>
        <w:t xml:space="preserve">), специфичным для данного семейства.</w:t>
      </w:r>
    </w:p>
    <w:p>
      <w:pPr>
        <w:pStyle w:val="Heading2"/>
      </w:pPr>
      <w:bookmarkStart w:id="27" w:name="meme-и-fimo"/>
      <w:r>
        <w:t xml:space="preserve">MEME и FIMO</w:t>
      </w:r>
      <w:bookmarkEnd w:id="27"/>
    </w:p>
    <w:p>
      <w:pPr>
        <w:pStyle w:val="FirstParagraph"/>
      </w:pPr>
      <w:r>
        <w:rPr>
          <w:b/>
        </w:rPr>
        <w:t xml:space="preserve">MEME</w:t>
      </w:r>
      <w:r>
        <w:t xml:space="preserve"> </w:t>
      </w:r>
      <w:r>
        <w:t xml:space="preserve">(Multiple Em for Motif Elicitation) [9] — программа поиска</w:t>
      </w:r>
      <w:r>
        <w:t xml:space="preserve"> </w:t>
      </w:r>
      <w:r>
        <w:rPr>
          <w:i/>
        </w:rPr>
        <w:t xml:space="preserve">de novo</w:t>
      </w:r>
      <w:r>
        <w:t xml:space="preserve"> </w:t>
      </w:r>
      <w:r>
        <w:t xml:space="preserve">мотивов в наборе последовательностей методом</w:t>
      </w:r>
      <w:r>
        <w:t xml:space="preserve"> </w:t>
      </w:r>
      <w:r>
        <w:t xml:space="preserve">Expectation-Maximization. Поддерживает три режима числа сайтов:</w:t>
      </w:r>
      <w:r>
        <w:t xml:space="preserve"> </w:t>
      </w:r>
      <w:r>
        <w:rPr>
          <w:rStyle w:val="VerbatimChar"/>
        </w:rPr>
        <w:t xml:space="preserve">oops</w:t>
      </w:r>
      <w:r>
        <w:t xml:space="preserve"> </w:t>
      </w:r>
      <w:r>
        <w:t xml:space="preserve">(один сайт на последовательность),</w:t>
      </w:r>
      <w:r>
        <w:t xml:space="preserve"> </w:t>
      </w:r>
      <w:r>
        <w:rPr>
          <w:rStyle w:val="VerbatimChar"/>
        </w:rPr>
        <w:t xml:space="preserve">zoops</w:t>
      </w:r>
      <w:r>
        <w:t xml:space="preserve"> </w:t>
      </w:r>
      <w:r>
        <w:t xml:space="preserve">(нуль или один) и</w:t>
      </w:r>
      <w:r>
        <w:t xml:space="preserve"> </w:t>
      </w:r>
      <w:r>
        <w:rPr>
          <w:rStyle w:val="VerbatimChar"/>
        </w:rPr>
        <w:t xml:space="preserve">anr</w:t>
      </w:r>
      <w:r>
        <w:t xml:space="preserve"> </w:t>
      </w:r>
      <w:r>
        <w:t xml:space="preserve">(несколько сайтов,</w:t>
      </w:r>
      <w:r>
        <w:t xml:space="preserve"> </w:t>
      </w:r>
      <w:r>
        <w:rPr>
          <w:b/>
        </w:rPr>
        <w:t xml:space="preserve">anr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any number of repetitions</w:t>
      </w:r>
      <w:r>
        <w:t xml:space="preserve">”</w:t>
      </w:r>
      <w:r>
        <w:t xml:space="preserve">); последний</w:t>
      </w:r>
      <w:r>
        <w:t xml:space="preserve"> </w:t>
      </w:r>
      <w:r>
        <w:t xml:space="preserve">наиболее адекватен для регуляторных областей с несколькими операторными</w:t>
      </w:r>
      <w:r>
        <w:t xml:space="preserve"> </w:t>
      </w:r>
      <w:r>
        <w:t xml:space="preserve">полусайтами. Опция</w:t>
      </w:r>
      <w:r>
        <w:t xml:space="preserve"> </w:t>
      </w:r>
      <w:r>
        <w:rPr>
          <w:rStyle w:val="VerbatimChar"/>
        </w:rPr>
        <w:t xml:space="preserve">-revcomp</w:t>
      </w:r>
      <w:r>
        <w:t xml:space="preserve"> </w:t>
      </w:r>
      <w:r>
        <w:t xml:space="preserve">указывает учитывать оба ДНК-стрэнда, что</w:t>
      </w:r>
      <w:r>
        <w:t xml:space="preserve"> </w:t>
      </w:r>
      <w:r>
        <w:t xml:space="preserve">обязательно для палиндромных мотивов TetR.</w:t>
      </w:r>
    </w:p>
    <w:p>
      <w:pPr>
        <w:pStyle w:val="BodyText"/>
      </w:pPr>
      <w:r>
        <w:rPr>
          <w:b/>
        </w:rPr>
        <w:t xml:space="preserve">FIMO</w:t>
      </w:r>
      <w:r>
        <w:t xml:space="preserve"> </w:t>
      </w:r>
      <w:r>
        <w:t xml:space="preserve">(Find Individual Motif Occurrences) [10] — компонент того же</w:t>
      </w:r>
      <w:r>
        <w:t xml:space="preserve"> </w:t>
      </w:r>
      <w:r>
        <w:t xml:space="preserve">пакета, осуществляющий поиск</w:t>
      </w:r>
      <w:r>
        <w:t xml:space="preserve"> </w:t>
      </w:r>
      <w:r>
        <w:rPr>
          <w:i/>
        </w:rPr>
        <w:t xml:space="preserve">уже найденного</w:t>
      </w:r>
      <w:r>
        <w:t xml:space="preserve"> </w:t>
      </w:r>
      <w:r>
        <w:t xml:space="preserve">мотива в произвольной</w:t>
      </w:r>
      <w:r>
        <w:t xml:space="preserve"> </w:t>
      </w:r>
      <w:r>
        <w:t xml:space="preserve">последовательности с расчётом p-value и q-value для каждого попадания.</w:t>
      </w:r>
    </w:p>
    <w:p>
      <w:pPr>
        <w:pStyle w:val="Heading2"/>
      </w:pPr>
      <w:bookmarkStart w:id="28" w:name="используемые-версии"/>
      <w:r>
        <w:t xml:space="preserve">Используемые версии</w:t>
      </w:r>
      <w:bookmarkEnd w:id="28"/>
    </w:p>
    <w:p>
      <w:pPr>
        <w:pStyle w:val="Heading1"/>
      </w:pPr>
      <w:bookmarkStart w:id="29" w:name="материалы-и-методы"/>
      <w:r>
        <w:t xml:space="preserve">Материалы и методы</w:t>
      </w:r>
      <w:bookmarkEnd w:id="29"/>
    </w:p>
    <w:p>
      <w:pPr>
        <w:pStyle w:val="Heading2"/>
      </w:pPr>
      <w:bookmarkStart w:id="30" w:name="объект-исследования"/>
      <w:r>
        <w:t xml:space="preserve">Объект исследования</w:t>
      </w:r>
      <w:bookmarkEnd w:id="30"/>
    </w:p>
    <w:p>
      <w:pPr>
        <w:pStyle w:val="FirstParagraph"/>
      </w:pPr>
      <w:r>
        <w:t xml:space="preserve">Работа выполнялась с полным геномом штамма</w:t>
      </w:r>
      <w:r>
        <w:t xml:space="preserve"> </w:t>
      </w:r>
      <w:r>
        <w:rPr>
          <w:i/>
        </w:rPr>
        <w:t xml:space="preserve">Pectobacterium polaris</w:t>
      </w:r>
      <w:r>
        <w:t xml:space="preserve"> </w:t>
      </w:r>
      <w:r>
        <w:t xml:space="preserve">NIBIO1392, депонированным в базе NCBI Nuccore под номером</w:t>
      </w:r>
      <w:r>
        <w:t xml:space="preserve"> </w:t>
      </w:r>
      <w:r>
        <w:rPr>
          <w:b/>
        </w:rPr>
        <w:t xml:space="preserve">NZ_CP017482.1</w:t>
      </w:r>
      <w:r>
        <w:t xml:space="preserve">. Это циркулярная хромосома длиной 5 008 416 п.н.,</w:t>
      </w:r>
      <w:r>
        <w:t xml:space="preserve"> </w:t>
      </w:r>
      <w:r>
        <w:t xml:space="preserve">обеспечена эталонной аннотацией NCBI RefSeq (BioProject PRJNA224116,</w:t>
      </w:r>
      <w:r>
        <w:t xml:space="preserve"> </w:t>
      </w:r>
      <w:r>
        <w:t xml:space="preserve">BioSample SAMN05853907, Assembly GCF_002288545.1) и взята из публикации</w:t>
      </w:r>
      <w:r>
        <w:t xml:space="preserve"> </w:t>
      </w:r>
      <w:r>
        <w:t xml:space="preserve">M.W. Dees и соавт. [11].</w:t>
      </w:r>
    </w:p>
    <w:p>
      <w:pPr>
        <w:pStyle w:val="BodyText"/>
      </w:pPr>
      <w:r>
        <w:t xml:space="preserve">Базовые статистические характеристики первичной последовательности</w:t>
      </w:r>
      <w:r>
        <w:t xml:space="preserve"> </w:t>
      </w:r>
      <w:r>
        <w:t xml:space="preserve">(посчитаны программно средствами Biopython, см. рис. 1):</w:t>
      </w:r>
    </w:p>
    <w:p>
      <w:pPr>
        <w:numPr>
          <w:ilvl w:val="0"/>
          <w:numId w:val="1002"/>
        </w:numPr>
        <w:pStyle w:val="Compact"/>
      </w:pPr>
      <w:r>
        <w:t xml:space="preserve">длина: 5 008 416 п.н.;</w:t>
      </w:r>
    </w:p>
    <w:p>
      <w:pPr>
        <w:numPr>
          <w:ilvl w:val="0"/>
          <w:numId w:val="1002"/>
        </w:numPr>
        <w:pStyle w:val="Compact"/>
      </w:pPr>
      <w:r>
        <w:t xml:space="preserve">GC-содержание: 51,99 %;</w:t>
      </w:r>
    </w:p>
    <w:p>
      <w:pPr>
        <w:numPr>
          <w:ilvl w:val="0"/>
          <w:numId w:val="1002"/>
        </w:numPr>
        <w:pStyle w:val="Compact"/>
      </w:pPr>
      <w:r>
        <w:t xml:space="preserve">A: 1 203 708 (24,03 %); T: 1 200 716 (23,97 %);</w:t>
      </w:r>
    </w:p>
    <w:p>
      <w:pPr>
        <w:numPr>
          <w:ilvl w:val="0"/>
          <w:numId w:val="1002"/>
        </w:numPr>
        <w:pStyle w:val="Compact"/>
      </w:pPr>
      <w:r>
        <w:t xml:space="preserve">G: 1 297 093 (25,90 %); C: 1 306 899 (26,10 %).</w:t>
      </w:r>
    </w:p>
    <w:p>
      <w:pPr>
        <w:pStyle w:val="Heading2"/>
      </w:pPr>
      <w:bookmarkStart w:id="31" w:name="скачивание-данных"/>
      <w:r>
        <w:t xml:space="preserve">Скачивание данных</w:t>
      </w:r>
      <w:bookmarkEnd w:id="31"/>
    </w:p>
    <w:p>
      <w:pPr>
        <w:pStyle w:val="FirstParagraph"/>
      </w:pPr>
      <w:r>
        <w:t xml:space="preserve">Первичная последовательность и эталонная аннотация были получены</w:t>
      </w:r>
      <w:r>
        <w:t xml:space="preserve"> </w:t>
      </w:r>
      <w:r>
        <w:t xml:space="preserve">через E-utilities NCBI: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"https://eutils.ncbi.nlm.nih.gov/entrez/eutils/efetch.fcgi?\</w:t>
      </w:r>
      <w:r>
        <w:br/>
      </w:r>
      <w:r>
        <w:rPr>
          <w:rStyle w:val="StringTok"/>
        </w:rPr>
        <w:t xml:space="preserve">db=nuccore&amp;id=NZ_CP017482.1&amp;rettype=fasta&amp;retmode=text"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data/NZ_CP017482.1.fasta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"https://eutils.ncbi.nlm.nih.gov/entrez/eutils/efetch.fcgi?\</w:t>
      </w:r>
      <w:r>
        <w:br/>
      </w:r>
      <w:r>
        <w:rPr>
          <w:rStyle w:val="StringTok"/>
        </w:rPr>
        <w:t xml:space="preserve">db=nuccore&amp;id=NZ_CP017482.1&amp;rettype=gbwithparts&amp;retmode=text"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data/NZ_CP017482.1_NCBI.gbk</w:t>
      </w:r>
    </w:p>
    <w:p>
      <w:pPr>
        <w:pStyle w:val="FirstParagraph"/>
      </w:pPr>
      <w:r>
        <w:t xml:space="preserve">Размеры полученных файлов: FASTA — 4,9 МБ, GenBank — 12,5 МБ.</w:t>
      </w:r>
    </w:p>
    <w:p>
      <w:pPr>
        <w:pStyle w:val="Heading2"/>
      </w:pPr>
      <w:bookmarkStart w:id="32" w:name="установка-программного-обеспечения"/>
      <w:r>
        <w:t xml:space="preserve">Установка программного обеспечения</w:t>
      </w:r>
      <w:bookmarkEnd w:id="32"/>
    </w:p>
    <w:p>
      <w:pPr>
        <w:pStyle w:val="FirstParagraph"/>
      </w:pPr>
      <w:r>
        <w:t xml:space="preserve">В операционной системе Ubuntu 22.04 LTS требуемые пакеты были</w:t>
      </w:r>
      <w:r>
        <w:t xml:space="preserve"> </w:t>
      </w:r>
      <w:r>
        <w:t xml:space="preserve">установлены автоматически сценарием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, выполняющим:</w:t>
      </w:r>
    </w:p>
    <w:p>
      <w:pPr>
        <w:numPr>
          <w:ilvl w:val="0"/>
          <w:numId w:val="1003"/>
        </w:numPr>
        <w:pStyle w:val="Compact"/>
      </w:pPr>
      <w:r>
        <w:t xml:space="preserve">установку через apt пакетов</w:t>
      </w:r>
      <w:r>
        <w:t xml:space="preserve"> </w:t>
      </w:r>
      <w:r>
        <w:rPr>
          <w:rStyle w:val="VerbatimChar"/>
        </w:rPr>
        <w:t xml:space="preserve">prokka barrnap hmmer infernal ncbi-blast+ aragorn prodigal    bioperl libopenmpi-dev openmpi-bin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подкачку отсутствующей в Debian-пакете базы данных Prokka</w:t>
      </w:r>
      <w:r>
        <w:t xml:space="preserve"> </w:t>
      </w:r>
      <w:r>
        <w:t xml:space="preserve">(UniProt SwissProt и HAMAP HMM) из upstream-репозитория</w:t>
      </w:r>
      <w:r>
        <w:t xml:space="preserve"> </w:t>
      </w:r>
      <w:r>
        <w:rPr>
          <w:rStyle w:val="VerbatimChar"/>
        </w:rPr>
        <w:t xml:space="preserve">tseemann/prokka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сборку MEME Suite 5.5.7 из исходников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./configure --prefix=$HOME/meme &amp;&amp; make &amp;&amp; make install</w:t>
      </w:r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t xml:space="preserve">установку Python-зависимостей</w:t>
      </w:r>
      <w:r>
        <w:t xml:space="preserve"> </w:t>
      </w:r>
      <w:r>
        <w:rPr>
          <w:rStyle w:val="VerbatimChar"/>
        </w:rPr>
        <w:t xml:space="preserve">biopython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</w:t>
      </w:r>
      <w:r>
        <w:t xml:space="preserve"> </w:t>
      </w:r>
      <w:r>
        <w:rPr>
          <w:rStyle w:val="VerbatimChar"/>
        </w:rPr>
        <w:t xml:space="preserve">pdfminer.six</w:t>
      </w:r>
      <w:r>
        <w:t xml:space="preserve"> </w:t>
      </w:r>
      <w:r>
        <w:t xml:space="preserve">через pip.</w:t>
      </w:r>
    </w:p>
    <w:p>
      <w:pPr>
        <w:pStyle w:val="FirstParagraph"/>
      </w:pPr>
      <w:r>
        <w:t xml:space="preserve">Полный текст сценария — см. файл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в репозитории.</w:t>
      </w:r>
    </w:p>
    <w:p>
      <w:pPr>
        <w:pStyle w:val="Heading2"/>
      </w:pPr>
      <w:bookmarkStart w:id="33" w:name="запуск-аннотации"/>
      <w:r>
        <w:t xml:space="preserve">Запуск аннотации</w:t>
      </w:r>
      <w:bookmarkEnd w:id="33"/>
    </w:p>
    <w:p>
      <w:pPr>
        <w:pStyle w:val="FirstParagraph"/>
      </w:pPr>
      <w:r>
        <w:t xml:space="preserve">Аннотация запускалась командой</w:t>
      </w:r>
    </w:p>
    <w:p>
      <w:pPr>
        <w:pStyle w:val="SourceCode"/>
      </w:pPr>
      <w:r>
        <w:rPr>
          <w:rStyle w:val="ExtensionTok"/>
        </w:rPr>
        <w:t xml:space="preserve">prokka</w:t>
      </w:r>
      <w:r>
        <w:rPr>
          <w:rStyle w:val="NormalTok"/>
        </w:rPr>
        <w:t xml:space="preserve"> --outdir annotation --prefix Sudilovsky --locustag Sudilovsky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--kingdom</w:t>
      </w:r>
      <w:r>
        <w:rPr>
          <w:rStyle w:val="NormalTok"/>
        </w:rPr>
        <w:t xml:space="preserve"> Bacteria --genus Pectobacterium --species polaris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--strain</w:t>
      </w:r>
      <w:r>
        <w:rPr>
          <w:rStyle w:val="NormalTok"/>
        </w:rPr>
        <w:t xml:space="preserve"> NIBIO1392 --rfam --cpus 4 --force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data/NZ_CP017482.1.fasta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--rfam</w:t>
      </w:r>
      <w:r>
        <w:t xml:space="preserve"> </w:t>
      </w:r>
      <w:r>
        <w:t xml:space="preserve">включает дополнительный этап поиска малых некодирующих</w:t>
      </w:r>
      <w:r>
        <w:t xml:space="preserve"> </w:t>
      </w:r>
      <w:r>
        <w:t xml:space="preserve">РНК через Infernal по ковариационным моделям Rfam 14.1</w:t>
      </w:r>
      <w:r>
        <w:t xml:space="preserve"> </w:t>
      </w:r>
      <w:r>
        <w:t xml:space="preserve">(в наборе для Bacteria). Время работы — 8 мин 37 с (4 ядра CPU).</w:t>
      </w:r>
    </w:p>
    <w:p>
      <w:pPr>
        <w:pStyle w:val="Heading2"/>
      </w:pPr>
      <w:bookmarkStart w:id="34" w:name="поиск-белков-семейства-tetr"/>
      <w:r>
        <w:t xml:space="preserve">Поиск белков семейства TetR</w:t>
      </w:r>
      <w:bookmarkEnd w:id="34"/>
    </w:p>
    <w:p>
      <w:pPr>
        <w:pStyle w:val="FirstParagraph"/>
      </w:pPr>
      <w:r>
        <w:t xml:space="preserve">С сервера InterPro был получен HMM-профиль</w:t>
      </w:r>
      <w:r>
        <w:t xml:space="preserve"> </w:t>
      </w:r>
      <w:r>
        <w:rPr>
          <w:rStyle w:val="VerbatimChar"/>
        </w:rPr>
        <w:t xml:space="preserve">PF00440 TetR_N</w:t>
      </w:r>
      <w:r>
        <w:t xml:space="preserve"> </w:t>
      </w:r>
      <w:r>
        <w:t xml:space="preserve">(длина 47 а.к.) и применён к транслированным белкам аннотации: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-sL </w:t>
      </w:r>
      <w:r>
        <w:rPr>
          <w:rStyle w:val="StringTok"/>
        </w:rPr>
        <w:t xml:space="preserve">"https://www.ebi.ac.uk/interpro/wwwapi/entry/pfam/PF00440?\</w:t>
      </w:r>
      <w:r>
        <w:br/>
      </w:r>
      <w:r>
        <w:rPr>
          <w:rStyle w:val="StringTok"/>
        </w:rPr>
        <w:t xml:space="preserve">annotation=hmm"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tetr/TetR_N.hmm</w:t>
      </w:r>
      <w:r>
        <w:br/>
      </w:r>
      <w:r>
        <w:rPr>
          <w:rStyle w:val="ExtensionTok"/>
        </w:rPr>
        <w:t xml:space="preserve">hmmpress</w:t>
      </w:r>
      <w:r>
        <w:rPr>
          <w:rStyle w:val="NormalTok"/>
        </w:rPr>
        <w:t xml:space="preserve"> tetr/TetR_N.hmm</w:t>
      </w:r>
      <w:r>
        <w:br/>
      </w:r>
      <w:r>
        <w:rPr>
          <w:rStyle w:val="ExtensionTok"/>
        </w:rPr>
        <w:t xml:space="preserve">hmmscan</w:t>
      </w:r>
      <w:r>
        <w:rPr>
          <w:rStyle w:val="NormalTok"/>
        </w:rPr>
        <w:t xml:space="preserve"> --cut_ga --domtblout tetr/TetR_hits.domtbl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tetr/TetR_N.hmm</w:t>
      </w:r>
      <w:r>
        <w:rPr>
          <w:rStyle w:val="NormalTok"/>
        </w:rPr>
        <w:t xml:space="preserve"> annotation/Sudilovsky.faa</w:t>
      </w:r>
    </w:p>
    <w:p>
      <w:pPr>
        <w:pStyle w:val="FirstParagraph"/>
      </w:pPr>
      <w:r>
        <w:t xml:space="preserve">Порог</w:t>
      </w:r>
      <w:r>
        <w:t xml:space="preserve"> </w:t>
      </w:r>
      <w:r>
        <w:rPr>
          <w:rStyle w:val="VerbatimChar"/>
        </w:rPr>
        <w:t xml:space="preserve">--cut_ga</w:t>
      </w:r>
      <w:r>
        <w:t xml:space="preserve"> </w:t>
      </w:r>
      <w:r>
        <w:t xml:space="preserve">(gathering threshold, заданный курирующими Pfam)</w:t>
      </w:r>
      <w:r>
        <w:t xml:space="preserve"> </w:t>
      </w:r>
      <w:r>
        <w:t xml:space="preserve">для PF00440 составляет 21,1 бит, что обеспечивает высокую специфичность.</w:t>
      </w:r>
    </w:p>
    <w:p>
      <w:pPr>
        <w:pStyle w:val="Heading2"/>
      </w:pPr>
      <w:bookmarkStart w:id="35" w:name="X8603cf653354727320a8ff49996460b98f9be50"/>
      <w:r>
        <w:t xml:space="preserve">Извлечение upstream-областей и поиск</w:t>
      </w:r>
      <w:r>
        <w:t xml:space="preserve"> </w:t>
      </w:r>
      <w:r>
        <w:rPr>
          <w:i/>
        </w:rPr>
        <w:t xml:space="preserve">de novo</w:t>
      </w:r>
      <w:r>
        <w:t xml:space="preserve"> </w:t>
      </w:r>
      <w:r>
        <w:t xml:space="preserve">мотива</w:t>
      </w:r>
      <w:bookmarkEnd w:id="35"/>
    </w:p>
    <w:p>
      <w:pPr>
        <w:pStyle w:val="FirstParagraph"/>
      </w:pPr>
      <w:r>
        <w:t xml:space="preserve">Для каждого найденного TetR-белка и его дивергентного соседа</w:t>
      </w:r>
      <w:r>
        <w:t xml:space="preserve"> </w:t>
      </w:r>
      <w:r>
        <w:t xml:space="preserve">(гена на противоположной нити, межгенный промежуток ≤ 600 п.н.)</w:t>
      </w:r>
      <w:r>
        <w:t xml:space="preserve"> </w:t>
      </w:r>
      <w:r>
        <w:t xml:space="preserve">извлекались участки</w:t>
      </w:r>
      <w:r>
        <w:t xml:space="preserve"> </w:t>
      </w:r>
      <m:oMath>
        <m:r>
          <m:t>−</m:t>
        </m:r>
        <m:r>
          <m:t>250</m:t>
        </m:r>
        <m:r>
          <m:t>…</m:t>
        </m:r>
        <m:r>
          <m:t>+</m:t>
        </m:r>
        <m:r>
          <m:t>50</m:t>
        </m:r>
      </m:oMath>
      <w:r>
        <w:t xml:space="preserve"> </w:t>
      </w:r>
      <w:r>
        <w:t xml:space="preserve">относительно стартового кодона</w:t>
      </w:r>
      <w:r>
        <w:t xml:space="preserve"> </w:t>
      </w:r>
      <w:r>
        <w:t xml:space="preserve">(скрипт</w:t>
      </w:r>
      <w:r>
        <w:t xml:space="preserve"> </w:t>
      </w:r>
      <w:r>
        <w:rPr>
          <w:rStyle w:val="VerbatimChar"/>
        </w:rPr>
        <w:t xml:space="preserve">tetr/extract_upstream.py</w:t>
      </w:r>
      <w:r>
        <w:t xml:space="preserve">, см. приложение Б).</w:t>
      </w:r>
    </w:p>
    <w:p>
      <w:pPr>
        <w:pStyle w:val="BodyText"/>
      </w:pPr>
      <w:r>
        <w:t xml:space="preserve">На полученном множестве из 32 уникальных регионов запускался MEME</w:t>
      </w:r>
      <w:r>
        <w:t xml:space="preserve"> </w:t>
      </w:r>
      <w:r>
        <w:t xml:space="preserve">в режиме</w:t>
      </w:r>
      <w:r>
        <w:t xml:space="preserve"> </w:t>
      </w:r>
      <w:r>
        <w:rPr>
          <w:rStyle w:val="VerbatimChar"/>
        </w:rPr>
        <w:t xml:space="preserve">anr</w:t>
      </w:r>
      <w:r>
        <w:t xml:space="preserve"> </w:t>
      </w:r>
      <w:r>
        <w:t xml:space="preserve">(несколько сайтов в одном регионе, ожидаемом для</w:t>
      </w:r>
      <w:r>
        <w:t xml:space="preserve"> </w:t>
      </w:r>
      <w:r>
        <w:t xml:space="preserve">TetR-операторов с двумя полусайтами) с учётом обратного комплемента:</w:t>
      </w:r>
    </w:p>
    <w:p>
      <w:pPr>
        <w:pStyle w:val="SourceCode"/>
      </w:pPr>
      <w:r>
        <w:rPr>
          <w:rStyle w:val="ExtensionTok"/>
        </w:rPr>
        <w:t xml:space="preserve">meme</w:t>
      </w:r>
      <w:r>
        <w:rPr>
          <w:rStyle w:val="NormalTok"/>
        </w:rPr>
        <w:t xml:space="preserve"> tetr/tetr_upstream.fa -dna -revcomp -mod anr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-nmotifs</w:t>
      </w:r>
      <w:r>
        <w:rPr>
          <w:rStyle w:val="NormalTok"/>
        </w:rPr>
        <w:t xml:space="preserve"> 5 -minw 14 -maxw 24 -evt 1e-5 -oc tetr/meme_anr -p 4</w:t>
      </w:r>
    </w:p>
    <w:p>
      <w:pPr>
        <w:pStyle w:val="Heading2"/>
      </w:pPr>
      <w:bookmarkStart w:id="36" w:name="сканирование-генома-и-аннотация-сайтов"/>
      <w:r>
        <w:t xml:space="preserve">Сканирование генома и аннотация сайтов</w:t>
      </w:r>
      <w:bookmarkEnd w:id="36"/>
    </w:p>
    <w:p>
      <w:pPr>
        <w:pStyle w:val="FirstParagraph"/>
      </w:pPr>
      <w:r>
        <w:t xml:space="preserve">Полученный мотив (ID</w:t>
      </w:r>
      <w:r>
        <w:t xml:space="preserve"> </w:t>
      </w:r>
      <w:r>
        <w:rPr>
          <w:rStyle w:val="VerbatimChar"/>
        </w:rPr>
        <w:t xml:space="preserve">WTSATGATDAYSGTAWTSA</w:t>
      </w:r>
      <w:r>
        <w:t xml:space="preserve">) использовался для</w:t>
      </w:r>
      <w:r>
        <w:t xml:space="preserve"> </w:t>
      </w:r>
      <w:r>
        <w:t xml:space="preserve">сканирования полного генома программой FIMO с порогом p-value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при максимально хранимом числе попаданий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fimo</w:t>
      </w:r>
      <w:r>
        <w:rPr>
          <w:rStyle w:val="NormalTok"/>
        </w:rPr>
        <w:t xml:space="preserve"> --motif WTSATGATDAYSGTAWTSA --thresh 1e-4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--max-stored-scores</w:t>
      </w:r>
      <w:r>
        <w:rPr>
          <w:rStyle w:val="NormalTok"/>
        </w:rPr>
        <w:t xml:space="preserve"> 1000000 -oc tetr/fimo_genome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tetr/meme_anr/meme.txt</w:t>
      </w:r>
      <w:r>
        <w:rPr>
          <w:rStyle w:val="NormalTok"/>
        </w:rPr>
        <w:t xml:space="preserve"> data/NZ_CP017482.1.fasta</w:t>
      </w:r>
    </w:p>
    <w:p>
      <w:pPr>
        <w:pStyle w:val="FirstParagraph"/>
      </w:pPr>
      <w:r>
        <w:t xml:space="preserve">Из получившегося набора сайты с p-value</w:t>
      </w:r>
      <w:r>
        <w:t xml:space="preserve"> </w:t>
      </w:r>
      <m:oMath>
        <m:r>
          <m:t>&lt;</m:t>
        </m:r>
        <m:sSup>
          <m:e>
            <m:r>
              <m:t>10</m:t>
            </m:r>
          </m:e>
          <m:sup>
            <m: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были отобраны</w:t>
      </w:r>
      <w:r>
        <w:t xml:space="preserve"> </w:t>
      </w:r>
      <w:r>
        <w:t xml:space="preserve">в качестве «высокозначимых», добавлены в аннотацию как фичи</w:t>
      </w:r>
      <w:r>
        <w:t xml:space="preserve"> </w:t>
      </w:r>
      <w:r>
        <w:rPr>
          <w:rStyle w:val="VerbatimChar"/>
        </w:rPr>
        <w:t xml:space="preserve">protein_bind</w:t>
      </w:r>
      <w:r>
        <w:t xml:space="preserve"> </w:t>
      </w:r>
      <w:r>
        <w:t xml:space="preserve">со специальными</w:t>
      </w:r>
      <w:r>
        <w:t xml:space="preserve"> </w:t>
      </w:r>
      <w:r>
        <w:rPr>
          <w:rStyle w:val="VerbatimChar"/>
        </w:rPr>
        <w:t xml:space="preserve">/note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/label</w:t>
      </w:r>
      <w:r>
        <w:t xml:space="preserve">, после чего был</w:t>
      </w:r>
      <w:r>
        <w:t xml:space="preserve"> </w:t>
      </w:r>
      <w:r>
        <w:t xml:space="preserve">сгенерирован финальный GenBank-файл</w:t>
      </w:r>
      <w:r>
        <w:t xml:space="preserve"> </w:t>
      </w:r>
      <w:r>
        <w:rPr>
          <w:rStyle w:val="VerbatimChar"/>
        </w:rPr>
        <w:t xml:space="preserve">Sudilovsky_TetR.gbk</w:t>
      </w:r>
      <w:r>
        <w:t xml:space="preserve"> </w:t>
      </w:r>
      <w:r>
        <w:t xml:space="preserve">(скрипт</w:t>
      </w:r>
      <w:r>
        <w:t xml:space="preserve"> </w:t>
      </w:r>
      <w:r>
        <w:rPr>
          <w:rStyle w:val="VerbatimChar"/>
        </w:rPr>
        <w:t xml:space="preserve">tetr/add_tetr_sites.py</w:t>
      </w:r>
      <w:r>
        <w:t xml:space="preserve">, см. приложение В).</w:t>
      </w:r>
    </w:p>
    <w:p>
      <w:pPr>
        <w:pStyle w:val="Heading1"/>
      </w:pPr>
      <w:bookmarkStart w:id="37" w:name="результаты-и-обсуждение"/>
      <w:r>
        <w:t xml:space="preserve">Результаты и обсуждение</w:t>
      </w:r>
      <w:bookmarkEnd w:id="37"/>
    </w:p>
    <w:p>
      <w:pPr>
        <w:pStyle w:val="Heading2"/>
      </w:pPr>
      <w:bookmarkStart w:id="38" w:name="аннотация-генома-prokka"/>
      <w:r>
        <w:t xml:space="preserve">Аннотация генома Prokka</w:t>
      </w:r>
      <w:bookmarkEnd w:id="38"/>
    </w:p>
    <w:p>
      <w:pPr>
        <w:pStyle w:val="Heading3"/>
      </w:pPr>
      <w:bookmarkStart w:id="39" w:name="сводная-статистика"/>
      <w:r>
        <w:t xml:space="preserve">Сводная статистика</w:t>
      </w:r>
      <w:bookmarkEnd w:id="39"/>
    </w:p>
    <w:p>
      <w:pPr>
        <w:pStyle w:val="FirstParagraph"/>
      </w:pPr>
      <w:r>
        <w:t xml:space="preserve">В результате запуска Prokka получены файлы стандартного набора</w:t>
      </w:r>
      <w:r>
        <w:t xml:space="preserve"> </w:t>
      </w:r>
      <w:r>
        <w:t xml:space="preserve">(</w:t>
      </w:r>
      <w:r>
        <w:rPr>
          <w:rStyle w:val="VerbatimChar"/>
        </w:rPr>
        <w:t xml:space="preserve">.gbk</w:t>
      </w:r>
      <w:r>
        <w:t xml:space="preserve">,</w:t>
      </w:r>
      <w:r>
        <w:t xml:space="preserve"> </w:t>
      </w:r>
      <w:r>
        <w:rPr>
          <w:rStyle w:val="VerbatimChar"/>
        </w:rPr>
        <w:t xml:space="preserve">.gff</w:t>
      </w:r>
      <w:r>
        <w:t xml:space="preserve">,</w:t>
      </w:r>
      <w:r>
        <w:t xml:space="preserve"> </w:t>
      </w:r>
      <w:r>
        <w:rPr>
          <w:rStyle w:val="VerbatimChar"/>
        </w:rPr>
        <w:t xml:space="preserve">.faa</w:t>
      </w:r>
      <w:r>
        <w:t xml:space="preserve">,</w:t>
      </w:r>
      <w:r>
        <w:t xml:space="preserve"> </w:t>
      </w:r>
      <w:r>
        <w:rPr>
          <w:rStyle w:val="VerbatimChar"/>
        </w:rPr>
        <w:t xml:space="preserve">.ffn</w:t>
      </w:r>
      <w:r>
        <w:t xml:space="preserve">,</w:t>
      </w:r>
      <w:r>
        <w:t xml:space="preserve"> </w:t>
      </w:r>
      <w:r>
        <w:rPr>
          <w:rStyle w:val="VerbatimChar"/>
        </w:rPr>
        <w:t xml:space="preserve">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.tbl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).</w:t>
      </w:r>
      <w:r>
        <w:t xml:space="preserve"> </w:t>
      </w:r>
      <w:r>
        <w:t xml:space="preserve">Сводный файл</w:t>
      </w:r>
      <w:r>
        <w:t xml:space="preserve"> </w:t>
      </w:r>
      <w:r>
        <w:rPr>
          <w:rStyle w:val="VerbatimChar"/>
        </w:rPr>
        <w:t xml:space="preserve">Sudilovsky.txt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organism: Pectobacterium polaris NIBIO1392</w:t>
      </w:r>
      <w:r>
        <w:br/>
      </w:r>
      <w:r>
        <w:rPr>
          <w:rStyle w:val="VerbatimChar"/>
        </w:rPr>
        <w:t xml:space="preserve">contigs: 1</w:t>
      </w:r>
      <w:r>
        <w:br/>
      </w:r>
      <w:r>
        <w:rPr>
          <w:rStyle w:val="VerbatimChar"/>
        </w:rPr>
        <w:t xml:space="preserve">bases: 5008416</w:t>
      </w:r>
      <w:r>
        <w:br/>
      </w:r>
      <w:r>
        <w:rPr>
          <w:rStyle w:val="VerbatimChar"/>
        </w:rPr>
        <w:t xml:space="preserve">CDS: 4390</w:t>
      </w:r>
      <w:r>
        <w:br/>
      </w:r>
      <w:r>
        <w:rPr>
          <w:rStyle w:val="VerbatimChar"/>
        </w:rPr>
        <w:t xml:space="preserve">misc_RNA: 163</w:t>
      </w:r>
      <w:r>
        <w:br/>
      </w:r>
      <w:r>
        <w:rPr>
          <w:rStyle w:val="VerbatimChar"/>
        </w:rPr>
        <w:t xml:space="preserve">rRNA: 15</w:t>
      </w:r>
      <w:r>
        <w:br/>
      </w:r>
      <w:r>
        <w:rPr>
          <w:rStyle w:val="VerbatimChar"/>
        </w:rPr>
        <w:t xml:space="preserve">tRNA: 77</w:t>
      </w:r>
      <w:r>
        <w:br/>
      </w:r>
      <w:r>
        <w:rPr>
          <w:rStyle w:val="VerbatimChar"/>
        </w:rPr>
        <w:t xml:space="preserve">tmRNA: 1</w:t>
      </w:r>
    </w:p>
    <w:p>
      <w:pPr>
        <w:pStyle w:val="FirstParagraph"/>
      </w:pPr>
      <w:r>
        <w:t xml:space="preserve">Полное количество фич с присвоенным локус-тегом —</w:t>
      </w:r>
      <w:r>
        <w:t xml:space="preserve"> </w:t>
      </w:r>
      <w:r>
        <w:rPr>
          <w:b/>
        </w:rPr>
        <w:t xml:space="preserve">4 646</w:t>
      </w:r>
      <w:r>
        <w:t xml:space="preserve"> </w:t>
      </w:r>
      <w:r>
        <w:t xml:space="preserve">(4 390 + 163 + 15 + 77 + 1).</w:t>
      </w:r>
    </w:p>
    <w:p>
      <w:pPr>
        <w:pStyle w:val="Heading3"/>
      </w:pPr>
      <w:bookmarkStart w:id="40" w:name="ход-работы-prokka-выдержки-из-лога"/>
      <w:r>
        <w:t xml:space="preserve">Ход работы Prokka (выдержки из лога)</w:t>
      </w:r>
      <w:bookmarkEnd w:id="40"/>
    </w:p>
    <w:p>
      <w:pPr>
        <w:pStyle w:val="FirstParagraph"/>
      </w:pPr>
      <w:r>
        <w:t xml:space="preserve">Из 4 390 предсказанных Prodigal CDS Prokka присвоил уникальный</w:t>
      </w:r>
      <w:r>
        <w:t xml:space="preserve"> </w:t>
      </w:r>
      <w:r>
        <w:t xml:space="preserve">символ гена 2 544 элементам (≈ 58 %); остальные сохранены как</w:t>
      </w:r>
      <w:r>
        <w:t xml:space="preserve"> </w:t>
      </w:r>
      <w:r>
        <w:rPr>
          <w:rStyle w:val="VerbatimChar"/>
        </w:rPr>
        <w:t xml:space="preserve">hypothetical protein</w:t>
      </w:r>
      <w:r>
        <w:t xml:space="preserve">. Это типичное распределение для бактериальных</w:t>
      </w:r>
      <w:r>
        <w:t xml:space="preserve"> </w:t>
      </w:r>
      <w:r>
        <w:t xml:space="preserve">геномов уровня плотности UniProt SwissProt.</w:t>
      </w:r>
    </w:p>
    <w:p>
      <w:pPr>
        <w:pStyle w:val="CaptionedFigure"/>
      </w:pPr>
      <w:bookmarkStart w:id="42" w:name="fig:prokka"/>
      <w:r>
        <w:drawing>
          <wp:inline>
            <wp:extent cx="5334000" cy="4000500"/>
            <wp:effectExtent b="0" l="0" r="0" t="0"/>
            <wp:docPr descr="Сводная статистика аннотации Prokka и сравнение с RefSeq (файл annotation/Sudilovsky.txt и фрагмент Sudilovsky.log)" title="" id="1" name="Picture"/>
            <a:graphic>
              <a:graphicData uri="http://schemas.openxmlformats.org/drawingml/2006/picture">
                <pic:pic>
                  <pic:nvPicPr>
                    <pic:cNvPr descr="screenshots/04_prokka_sta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Сводная статистика аннотации Prokka и сравнение с RefSeq (файл</w:t>
      </w:r>
      <w:r>
        <w:t xml:space="preserve"> </w:t>
      </w:r>
      <w:r>
        <w:rPr>
          <w:rStyle w:val="VerbatimChar"/>
        </w:rPr>
        <w:t xml:space="preserve">annotation/Sudilovsky.txt</w:t>
      </w:r>
      <w:r>
        <w:t xml:space="preserve"> </w:t>
      </w:r>
      <w:r>
        <w:t xml:space="preserve">и фрагмент</w:t>
      </w:r>
      <w:r>
        <w:t xml:space="preserve"> </w:t>
      </w:r>
      <w:r>
        <w:rPr>
          <w:rStyle w:val="VerbatimChar"/>
        </w:rPr>
        <w:t xml:space="preserve">Sudilovsky.log</w:t>
      </w:r>
      <w:r>
        <w:t xml:space="preserve">)</w:t>
      </w:r>
    </w:p>
    <w:p>
      <w:pPr>
        <w:pStyle w:val="Heading3"/>
      </w:pPr>
      <w:bookmarkStart w:id="43" w:name="образец-genbank-записи-prokka"/>
      <w:r>
        <w:t xml:space="preserve">Образец GenBank-записи Prokka</w:t>
      </w:r>
      <w:bookmarkEnd w:id="43"/>
    </w:p>
    <w:p>
      <w:pPr>
        <w:pStyle w:val="FirstParagraph"/>
      </w:pPr>
      <w:r>
        <w:t xml:space="preserve">Каждая фича получает префикс</w:t>
      </w:r>
      <w:r>
        <w:t xml:space="preserve"> </w:t>
      </w:r>
      <w:r>
        <w:rPr>
          <w:rStyle w:val="VerbatimChar"/>
        </w:rPr>
        <w:t xml:space="preserve">Sudilovsky_NNNNN</w:t>
      </w:r>
      <w:r>
        <w:t xml:space="preserve">, например первый CDS:</w:t>
      </w:r>
    </w:p>
    <w:p>
      <w:pPr>
        <w:pStyle w:val="Heading2"/>
      </w:pPr>
      <w:bookmarkStart w:id="44" w:name="X26f4efa9becc6fef1a84b3e471dbb0fe18cd6b7"/>
      <w:r>
        <w:t xml:space="preserve">Сравнение с эталонной аннотацией NCBI RefSeq</w:t>
      </w:r>
      <w:bookmarkEnd w:id="44"/>
    </w:p>
    <w:p>
      <w:pPr>
        <w:pStyle w:val="FirstParagraph"/>
      </w:pPr>
      <w:r>
        <w:t xml:space="preserve">Эталонная аннотация (</w:t>
      </w:r>
      <w:r>
        <w:rPr>
          <w:rStyle w:val="VerbatimChar"/>
        </w:rPr>
        <w:t xml:space="preserve">NZ_CP017482.1_NCBI.gbk</w:t>
      </w:r>
      <w:r>
        <w:t xml:space="preserve">, 12,5 МБ) подсчитывалась</w:t>
      </w:r>
      <w:r>
        <w:t xml:space="preserve"> </w:t>
      </w:r>
      <w:r>
        <w:t xml:space="preserve">встречаемостью соответствующих ключевых слов в первой колонке</w:t>
      </w:r>
      <w:r>
        <w:t xml:space="preserve"> </w:t>
      </w:r>
      <w:r>
        <w:t xml:space="preserve">GenBank-таблицы фич:</w:t>
      </w:r>
    </w:p>
    <w:p>
      <w:pPr>
        <w:pStyle w:val="BodyText"/>
      </w:pPr>
      <w:r>
        <w:t xml:space="preserve">Различия объясняются методологически: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CDS (</w:t>
      </w:r>
      <m:oMath>
        <m:r>
          <m:t>+</m:t>
        </m:r>
        <m:r>
          <m:t>34</m:t>
        </m:r>
      </m:oMath>
      <w:r>
        <w:rPr>
          <w:b/>
        </w:rPr>
        <w:t xml:space="preserve">).</w:t>
      </w:r>
      <w:r>
        <w:t xml:space="preserve"> </w:t>
      </w:r>
      <w:r>
        <w:t xml:space="preserve">Prodigal в режиме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выполняет переобучение модели</w:t>
      </w:r>
      <w:r>
        <w:t xml:space="preserve"> </w:t>
      </w:r>
      <w:r>
        <w:t xml:space="preserve">непосредственно на этом геноме, поэтому захватывает несколько коротких</w:t>
      </w:r>
      <w:r>
        <w:t xml:space="preserve"> </w:t>
      </w:r>
      <w:r>
        <w:t xml:space="preserve">ORF, отнесённых RefSeq к псевдогенам. Часть из этих CDS получает</w:t>
      </w:r>
      <w:r>
        <w:t xml:space="preserve"> </w:t>
      </w:r>
      <w:r>
        <w:t xml:space="preserve">функцию по гомологии, часть остаётся</w:t>
      </w:r>
      <w:r>
        <w:t xml:space="preserve"> </w:t>
      </w:r>
      <w:r>
        <w:rPr>
          <w:rStyle w:val="VerbatimChar"/>
        </w:rPr>
        <w:t xml:space="preserve">hypothetical protein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tRNA (</w:t>
      </w:r>
      <m:oMath>
        <m:r>
          <m:t>0</m:t>
        </m:r>
      </m:oMath>
      <w:r>
        <w:rPr>
          <w:b/>
        </w:rPr>
        <w:t xml:space="preserve">).</w:t>
      </w:r>
      <w:r>
        <w:t xml:space="preserve"> </w:t>
      </w:r>
      <w:r>
        <w:t xml:space="preserve">Aragorn и аннотация NCBI используют близкие алгоритмы</w:t>
      </w:r>
      <w:r>
        <w:t xml:space="preserve"> </w:t>
      </w:r>
      <w:r>
        <w:t xml:space="preserve">и сходятся к одному и тому же набору из 77 тРНК.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rRNA (</w:t>
      </w:r>
      <m:oMath>
        <m:r>
          <m:t>−</m:t>
        </m:r>
        <m:r>
          <m:t>7</m:t>
        </m:r>
      </m:oMath>
      <w:r>
        <w:rPr>
          <w:b/>
        </w:rPr>
        <w:t xml:space="preserve">).</w:t>
      </w:r>
      <w:r>
        <w:t xml:space="preserve"> </w:t>
      </w:r>
      <w:r>
        <w:t xml:space="preserve">barrnap по умолчанию выводит</w:t>
      </w:r>
      <w:r>
        <w:t xml:space="preserve"> </w:t>
      </w:r>
      <w:r>
        <w:rPr>
          <w:b/>
        </w:rPr>
        <w:t xml:space="preserve">по одному локусу 5S,</w:t>
      </w:r>
      <w:r>
        <w:rPr>
          <w:b/>
        </w:rPr>
        <w:t xml:space="preserve"> </w:t>
      </w:r>
      <w:r>
        <w:rPr>
          <w:b/>
        </w:rPr>
        <w:t xml:space="preserve">16S и 23S на оперон</w:t>
      </w:r>
      <w:r>
        <w:t xml:space="preserve">. Геном содержит</w:t>
      </w:r>
      <w:r>
        <w:t xml:space="preserve"> </w:t>
      </w:r>
      <w:r>
        <w:rPr>
          <w:b/>
        </w:rPr>
        <w:t xml:space="preserve">5 рибосомных оперонов</w:t>
      </w:r>
      <w:r>
        <w:t xml:space="preserve"> </w:t>
      </w:r>
      <w:r>
        <w:t xml:space="preserve">(rrnA-rrnE</w:t>
      </w:r>
      <w:r>
        <w:t xml:space="preserve"> </w:t>
      </w:r>
      <w:r>
        <w:t xml:space="preserve">по гомологии с</w:t>
      </w:r>
      <w:r>
        <w:t xml:space="preserve"> </w:t>
      </w:r>
      <w:r>
        <w:rPr>
          <w:i/>
        </w:rPr>
        <w:t xml:space="preserve">E. coli</w:t>
      </w:r>
      <w:r>
        <w:t xml:space="preserve">), что и даёт</w:t>
      </w:r>
      <w:r>
        <w:t xml:space="preserve"> </w:t>
      </w:r>
      <m:oMath>
        <m:r>
          <m:t>5</m:t>
        </m:r>
        <m:r>
          <m:t>×</m:t>
        </m:r>
        <m:r>
          <m:t>3</m:t>
        </m:r>
        <m:r>
          <m:t>=</m:t>
        </m:r>
        <m:r>
          <m:t>15</m:t>
        </m:r>
      </m:oMath>
      <w:r>
        <w:t xml:space="preserve"> </w:t>
      </w:r>
      <w:r>
        <w:t xml:space="preserve">фич.</w:t>
      </w:r>
      <w:r>
        <w:t xml:space="preserve"> </w:t>
      </w:r>
      <w:r>
        <w:t xml:space="preserve">NCBI RefSeq ведёт себя иначе: помимо стандартных 15 локусов в нём</w:t>
      </w:r>
      <w:r>
        <w:t xml:space="preserve"> </w:t>
      </w:r>
      <w:r>
        <w:t xml:space="preserve">дополнительно представлены 7 «обособленных» 5S-копий (т. е. фрагменты</w:t>
      </w:r>
      <w:r>
        <w:t xml:space="preserve"> </w:t>
      </w:r>
      <w:r>
        <w:t xml:space="preserve">5S-генов, оставшиеся после транспозиций или повторов). Биологически</w:t>
      </w:r>
      <w:r>
        <w:t xml:space="preserve"> </w:t>
      </w:r>
      <w:r>
        <w:t xml:space="preserve">это те же ~5 оперонов; различие — техническое.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misc_RNA / ncRNA (</w:t>
      </w:r>
      <m:oMath>
        <m:r>
          <m:t>+</m:t>
        </m:r>
        <m:r>
          <m:t>159</m:t>
        </m:r>
      </m:oMath>
      <w:r>
        <w:rPr>
          <w:b/>
        </w:rPr>
        <w:t xml:space="preserve">).</w:t>
      </w:r>
      <w:r>
        <w:t xml:space="preserve"> </w:t>
      </w:r>
      <w:r>
        <w:t xml:space="preserve">Prokka с</w:t>
      </w:r>
      <w:r>
        <w:t xml:space="preserve"> </w:t>
      </w:r>
      <w:r>
        <w:rPr>
          <w:rStyle w:val="VerbatimChar"/>
        </w:rPr>
        <w:t xml:space="preserve">--rfam</w:t>
      </w:r>
      <w:r>
        <w:t xml:space="preserve"> </w:t>
      </w:r>
      <w:r>
        <w:t xml:space="preserve">прогоняет геном через</w:t>
      </w:r>
      <w:r>
        <w:t xml:space="preserve"> </w:t>
      </w:r>
      <w:r>
        <w:rPr>
          <w:b/>
        </w:rPr>
        <w:t xml:space="preserve">Infernal по полному набору ковариационных моделей Rfam 14.1</w:t>
      </w:r>
      <w:r>
        <w:t xml:space="preserve"> </w:t>
      </w:r>
      <w:r>
        <w:t xml:space="preserve">(</w:t>
      </w:r>
      <m:oMath>
        <m:r>
          <m:t>∼</m:t>
        </m:r>
        <m:r>
          <m:t>4000</m:t>
        </m:r>
      </m:oMath>
      <w:r>
        <w:t xml:space="preserve"> </w:t>
      </w:r>
      <w:r>
        <w:t xml:space="preserve">моделей, ограниченных областью Bacteria). В результате</w:t>
      </w:r>
      <w:r>
        <w:t xml:space="preserve"> </w:t>
      </w:r>
      <w:r>
        <w:t xml:space="preserve">обнаруживаются многочисленные малые некодирующие РНК (sRNA),</w:t>
      </w:r>
      <w:r>
        <w:t xml:space="preserve"> </w:t>
      </w:r>
      <w:r>
        <w:t xml:space="preserve">рибосвитчи и фторид-чувствительные элементы (см. таблицу 3).</w:t>
      </w:r>
      <w:r>
        <w:t xml:space="preserve"> </w:t>
      </w:r>
      <w:r>
        <w:t xml:space="preserve">NCBI RefSeq, напротив, аннотирует только 4 ncRNA: SRP_RNA (</w:t>
      </w:r>
      <w:r>
        <w:rPr>
          <w:rStyle w:val="VerbatimChar"/>
        </w:rPr>
        <w:t xml:space="preserve">ffs</w:t>
      </w:r>
      <w:r>
        <w:t xml:space="preserve">),</w:t>
      </w:r>
      <w:r>
        <w:t xml:space="preserve"> </w:t>
      </w:r>
      <w:r>
        <w:t xml:space="preserve">антисмысловую RprA, RNase_P_RNA (</w:t>
      </w:r>
      <w:r>
        <w:rPr>
          <w:rStyle w:val="VerbatimChar"/>
        </w:rPr>
        <w:t xml:space="preserve">rnpB</w:t>
      </w:r>
      <w:r>
        <w:t xml:space="preserve">) и 6S RNA (</w:t>
      </w:r>
      <w:r>
        <w:rPr>
          <w:rStyle w:val="VerbatimChar"/>
        </w:rPr>
        <w:t xml:space="preserve">ssrS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pseudogene (</w:t>
      </w:r>
      <m:oMath>
        <m:r>
          <m:t>−</m:t>
        </m:r>
        <m:r>
          <m:t>116</m:t>
        </m:r>
      </m:oMath>
      <w:r>
        <w:rPr>
          <w:b/>
        </w:rPr>
        <w:t xml:space="preserve">).</w:t>
      </w:r>
      <w:r>
        <w:t xml:space="preserve"> </w:t>
      </w:r>
      <w:r>
        <w:t xml:space="preserve">Prokka</w:t>
      </w:r>
      <w:r>
        <w:t xml:space="preserve"> </w:t>
      </w:r>
      <w:r>
        <w:rPr>
          <w:b/>
        </w:rPr>
        <w:t xml:space="preserve">не определяет псевдогены явно</w:t>
      </w:r>
      <w:r>
        <w:t xml:space="preserve">:</w:t>
      </w:r>
      <w:r>
        <w:t xml:space="preserve"> </w:t>
      </w:r>
      <w:r>
        <w:t xml:space="preserve">повреждённые ORF либо аннотируются как обычные (более короткие) CDS,</w:t>
      </w:r>
      <w:r>
        <w:t xml:space="preserve"> </w:t>
      </w:r>
      <w:r>
        <w:t xml:space="preserve">либо вовсе пропускаются. Воспроизведение пула псевдогенов NCBI</w:t>
      </w:r>
      <w:r>
        <w:t xml:space="preserve"> </w:t>
      </w:r>
      <w:r>
        <w:t xml:space="preserve">требует отдельного инструмента (</w:t>
      </w:r>
      <w:r>
        <w:rPr>
          <w:rStyle w:val="VerbatimChar"/>
        </w:rPr>
        <w:t xml:space="preserve">pseudofinder</w:t>
      </w:r>
      <w:r>
        <w:t xml:space="preserve">) и для требований</w:t>
      </w:r>
      <w:r>
        <w:t xml:space="preserve"> </w:t>
      </w:r>
      <w:r>
        <w:t xml:space="preserve">лабораторной не критично.</w:t>
      </w:r>
    </w:p>
    <w:p>
      <w:pPr>
        <w:pStyle w:val="FirstParagraph"/>
      </w:pPr>
      <w:r>
        <w:t xml:space="preserve">Таким образом,</w:t>
      </w:r>
      <w:r>
        <w:t xml:space="preserve"> </w:t>
      </w:r>
      <w:r>
        <w:rPr>
          <w:b/>
        </w:rPr>
        <w:t xml:space="preserve">наборы CDS и tRNA</w:t>
      </w:r>
      <w:r>
        <w:t xml:space="preserve"> </w:t>
      </w:r>
      <w:r>
        <w:t xml:space="preserve">в нашей аннотации согласуются</w:t>
      </w:r>
      <w:r>
        <w:t xml:space="preserve"> </w:t>
      </w:r>
      <w:r>
        <w:t xml:space="preserve">с RefSeq на доли процента, а различия по rRNA и ncRNA полностью</w:t>
      </w:r>
      <w:r>
        <w:t xml:space="preserve"> </w:t>
      </w:r>
      <w:r>
        <w:t xml:space="preserve">объясняются разницей программных пакетов и баз данных.</w:t>
      </w:r>
    </w:p>
    <w:p>
      <w:pPr>
        <w:pStyle w:val="Heading2"/>
      </w:pPr>
      <w:bookmarkStart w:id="45" w:name="поиск-белков-семейства-tetr-1"/>
      <w:r>
        <w:t xml:space="preserve">Поиск белков семейства TetR</w:t>
      </w:r>
      <w:bookmarkEnd w:id="45"/>
    </w:p>
    <w:p>
      <w:pPr>
        <w:pStyle w:val="FirstParagraph"/>
      </w:pPr>
      <w:r>
        <w:t xml:space="preserve">Применение профиля</w:t>
      </w:r>
      <w:r>
        <w:t xml:space="preserve"> </w:t>
      </w:r>
      <w:r>
        <w:rPr>
          <w:rStyle w:val="VerbatimChar"/>
        </w:rPr>
        <w:t xml:space="preserve">PF00440 TetR_N</w:t>
      </w:r>
      <w:r>
        <w:t xml:space="preserve"> </w:t>
      </w:r>
      <w:r>
        <w:t xml:space="preserve">к транслированному протеому</w:t>
      </w:r>
      <w:r>
        <w:t xml:space="preserve"> </w:t>
      </w:r>
      <w:r>
        <w:t xml:space="preserve">(</w:t>
      </w:r>
      <w:r>
        <w:rPr>
          <w:rStyle w:val="VerbatimChar"/>
        </w:rPr>
        <w:t xml:space="preserve">Sudilovsky.faa</w:t>
      </w:r>
      <w:r>
        <w:t xml:space="preserve">, 4 390 белков) с порогом</w:t>
      </w:r>
      <w:r>
        <w:t xml:space="preserve"> </w:t>
      </w:r>
      <w:r>
        <w:rPr>
          <w:rStyle w:val="VerbatimChar"/>
        </w:rPr>
        <w:t xml:space="preserve">--cut_ga</w:t>
      </w:r>
      <w:r>
        <w:t xml:space="preserve"> </w:t>
      </w:r>
      <w:r>
        <w:t xml:space="preserve">дало 19 хитов</w:t>
      </w:r>
      <w:r>
        <w:t xml:space="preserve"> </w:t>
      </w:r>
      <w:r>
        <w:t xml:space="preserve">(см. таблицу 4); все они приведены вместе с дополнительной информацией</w:t>
      </w:r>
      <w:r>
        <w:t xml:space="preserve"> </w:t>
      </w:r>
      <w:r>
        <w:t xml:space="preserve">из таблицы Prokka.</w:t>
      </w:r>
    </w:p>
    <w:p>
      <w:pPr>
        <w:pStyle w:val="BodyText"/>
      </w:pPr>
      <w:r>
        <w:t xml:space="preserve">Среди 19 белков 7 имеют присвоенные функциональные имена:</w:t>
      </w:r>
      <w:r>
        <w:t xml:space="preserve"> </w:t>
      </w:r>
      <w:r>
        <w:rPr>
          <w:b/>
        </w:rPr>
        <w:t xml:space="preserve">AcrR</w:t>
      </w:r>
      <w:r>
        <w:t xml:space="preserve"> </w:t>
      </w:r>
      <w:r>
        <w:t xml:space="preserve">(репрессор оперона множественной лекарственной устойчивости</w:t>
      </w:r>
      <w:r>
        <w:t xml:space="preserve"> </w:t>
      </w:r>
      <w:r>
        <w:rPr>
          <w:i/>
        </w:rPr>
        <w:t xml:space="preserve">acrAB</w:t>
      </w:r>
      <w:r>
        <w:t xml:space="preserve">),</w:t>
      </w:r>
      <w:r>
        <w:t xml:space="preserve"> </w:t>
      </w:r>
      <w:r>
        <w:rPr>
          <w:b/>
        </w:rPr>
        <w:t xml:space="preserve">RcdA</w:t>
      </w:r>
      <w:r>
        <w:t xml:space="preserve"> </w:t>
      </w:r>
      <w:r>
        <w:t xml:space="preserve">(регулятор биоплёнкообразования),</w:t>
      </w:r>
      <w:r>
        <w:t xml:space="preserve"> </w:t>
      </w:r>
      <w:r>
        <w:rPr>
          <w:b/>
        </w:rPr>
        <w:t xml:space="preserve">TetC</w:t>
      </w:r>
      <w:r>
        <w:t xml:space="preserve"> </w:t>
      </w:r>
      <w:r>
        <w:t xml:space="preserve">(вспомогательный белок транспозона Tn10),</w:t>
      </w:r>
      <w:r>
        <w:t xml:space="preserve"> </w:t>
      </w:r>
      <w:r>
        <w:rPr>
          <w:b/>
        </w:rPr>
        <w:t xml:space="preserve">BetI</w:t>
      </w:r>
      <w:r>
        <w:t xml:space="preserve"> </w:t>
      </w:r>
      <w:r>
        <w:t xml:space="preserve">(репрессор</w:t>
      </w:r>
      <w:r>
        <w:t xml:space="preserve"> </w:t>
      </w:r>
      <w:r>
        <w:t xml:space="preserve">синтеза глицин-бетаина при осмотическом стрессе),</w:t>
      </w:r>
      <w:r>
        <w:t xml:space="preserve"> </w:t>
      </w:r>
      <w:r>
        <w:rPr>
          <w:b/>
        </w:rPr>
        <w:t xml:space="preserve">FabR</w:t>
      </w:r>
      <w:r>
        <w:t xml:space="preserve"> </w:t>
      </w:r>
      <w:r>
        <w:t xml:space="preserve">(репрессор</w:t>
      </w:r>
      <w:r>
        <w:t xml:space="preserve"> </w:t>
      </w:r>
      <w:r>
        <w:t xml:space="preserve">жирно-кислотных синтаз</w:t>
      </w:r>
      <w:r>
        <w:t xml:space="preserve"> </w:t>
      </w:r>
      <w:r>
        <w:rPr>
          <w:i/>
        </w:rPr>
        <w:t xml:space="preserve">fabA/fabB</w:t>
      </w:r>
      <w:r>
        <w:t xml:space="preserve">),</w:t>
      </w:r>
      <w:r>
        <w:t xml:space="preserve"> </w:t>
      </w:r>
      <w:r>
        <w:rPr>
          <w:b/>
        </w:rPr>
        <w:t xml:space="preserve">SlmA</w:t>
      </w:r>
      <w:r>
        <w:t xml:space="preserve"> </w:t>
      </w:r>
      <w:r>
        <w:t xml:space="preserve">(фактор окклюзии</w:t>
      </w:r>
      <w:r>
        <w:t xml:space="preserve"> </w:t>
      </w:r>
      <w:r>
        <w:t xml:space="preserve">нуклеоида, регулятор деления клетки),</w:t>
      </w:r>
      <w:r>
        <w:t xml:space="preserve"> </w:t>
      </w:r>
      <w:r>
        <w:rPr>
          <w:b/>
        </w:rPr>
        <w:t xml:space="preserve">ComR</w:t>
      </w:r>
      <w:r>
        <w:t xml:space="preserve"> </w:t>
      </w:r>
      <w:r>
        <w:t xml:space="preserve">(репрессор системы</w:t>
      </w:r>
      <w:r>
        <w:t xml:space="preserve"> </w:t>
      </w:r>
      <w:r>
        <w:t xml:space="preserve">импорта компетентности). Остальные 12 белков обозначены как</w:t>
      </w:r>
      <w:r>
        <w:t xml:space="preserve"> </w:t>
      </w:r>
      <w:r>
        <w:rPr>
          <w:rStyle w:val="VerbatimChar"/>
        </w:rPr>
        <w:t xml:space="preserve">hypothetical protein</w:t>
      </w:r>
      <w:r>
        <w:t xml:space="preserve"> </w:t>
      </w:r>
      <w:r>
        <w:t xml:space="preserve">— функционально неохарактеризованные TetR-белки,</w:t>
      </w:r>
      <w:r>
        <w:t xml:space="preserve"> </w:t>
      </w:r>
      <w:r>
        <w:t xml:space="preserve">типичные для геномов</w:t>
      </w:r>
      <w:r>
        <w:t xml:space="preserve"> </w:t>
      </w:r>
      <w:r>
        <w:rPr>
          <w:i/>
        </w:rPr>
        <w:t xml:space="preserve">Pectobacterium</w:t>
      </w:r>
      <w:r>
        <w:t xml:space="preserve">. Размеры всех белков (552–729 п.н.,</w:t>
      </w:r>
      <w:r>
        <w:t xml:space="preserve"> </w:t>
      </w:r>
      <w:r>
        <w:t xml:space="preserve">~ 184–243 а.к.) согласуются с типичной длиной TetR-семейства.</w:t>
      </w:r>
    </w:p>
    <w:p>
      <w:pPr>
        <w:pStyle w:val="CaptionedFigure"/>
      </w:pPr>
      <w:bookmarkStart w:id="47" w:name="fig:hmmer"/>
      <w:r>
        <w:drawing>
          <wp:inline>
            <wp:extent cx="5334000" cy="4000500"/>
            <wp:effectExtent b="0" l="0" r="0" t="0"/>
            <wp:docPr descr="Все 19 белков семейства TetR (домен PF00440) с их E-value, найденные программой hmmscan против Pfam-A" title="" id="1" name="Picture"/>
            <a:graphic>
              <a:graphicData uri="http://schemas.openxmlformats.org/drawingml/2006/picture">
                <pic:pic>
                  <pic:nvPicPr>
                    <pic:cNvPr descr="screenshots/05_hmmer_tet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Все 19 белков семейства TetR (домен PF00440) с их E-value, найденные программой</w:t>
      </w:r>
      <w:r>
        <w:t xml:space="preserve"> </w:t>
      </w:r>
      <w:r>
        <w:rPr>
          <w:rStyle w:val="VerbatimChar"/>
        </w:rPr>
        <w:t xml:space="preserve">hmmscan</w:t>
      </w:r>
      <w:r>
        <w:t xml:space="preserve"> </w:t>
      </w:r>
      <w:r>
        <w:t xml:space="preserve">против Pfam-A</w:t>
      </w:r>
    </w:p>
    <w:p>
      <w:pPr>
        <w:pStyle w:val="Heading2"/>
      </w:pPr>
      <w:bookmarkStart w:id="48" w:name="X7a37e39fc6da1de3cb5ebe2787f6806d3c3dc1d"/>
      <w:r>
        <w:rPr>
          <w:i/>
        </w:rPr>
        <w:t xml:space="preserve">De novo</w:t>
      </w:r>
      <w:r>
        <w:t xml:space="preserve"> </w:t>
      </w:r>
      <w:r>
        <w:t xml:space="preserve">построение мотива операторного сайта (MEME)</w:t>
      </w:r>
      <w:bookmarkEnd w:id="48"/>
    </w:p>
    <w:p>
      <w:pPr>
        <w:pStyle w:val="Heading3"/>
      </w:pPr>
      <w:bookmarkStart w:id="49" w:name="извлечение-upstream-областей"/>
      <w:r>
        <w:t xml:space="preserve">Извлечение upstream-областей</w:t>
      </w:r>
      <w:bookmarkEnd w:id="49"/>
    </w:p>
    <w:p>
      <w:pPr>
        <w:pStyle w:val="FirstParagraph"/>
      </w:pPr>
      <w:r>
        <w:t xml:space="preserve">Для каждого из 19 TetR-белков и каждого их дивергентного соседа</w:t>
      </w:r>
      <w:r>
        <w:t xml:space="preserve"> </w:t>
      </w:r>
      <w:r>
        <w:t xml:space="preserve">программно (см. приложение Б) извлечены участки длиной 300 п.н.</w:t>
      </w:r>
      <w:r>
        <w:t xml:space="preserve"> </w:t>
      </w:r>
      <w:r>
        <w:t xml:space="preserve">(−250 до +50 от стартового кодона), всего получено</w:t>
      </w:r>
      <w:r>
        <w:t xml:space="preserve"> </w:t>
      </w:r>
      <w:r>
        <w:rPr>
          <w:b/>
        </w:rPr>
        <w:t xml:space="preserve">32 уникальных</w:t>
      </w:r>
      <w:r>
        <w:rPr>
          <w:b/>
        </w:rPr>
        <w:t xml:space="preserve"> </w:t>
      </w:r>
      <w:r>
        <w:rPr>
          <w:b/>
        </w:rPr>
        <w:t xml:space="preserve">региона</w:t>
      </w:r>
      <w:r>
        <w:t xml:space="preserve"> </w:t>
      </w:r>
      <w:r>
        <w:t xml:space="preserve">общей длиной 9 600 п.н., сохранённых в файле</w:t>
      </w:r>
      <w:r>
        <w:t xml:space="preserve"> </w:t>
      </w:r>
      <w:r>
        <w:rPr>
          <w:rStyle w:val="VerbatimChar"/>
        </w:rPr>
        <w:t xml:space="preserve">tetr/tetr_upstream.fa</w:t>
      </w:r>
      <w:r>
        <w:t xml:space="preserve">.</w:t>
      </w:r>
    </w:p>
    <w:p>
      <w:pPr>
        <w:pStyle w:val="Heading3"/>
      </w:pPr>
      <w:bookmarkStart w:id="50" w:name="запуск-meme"/>
      <w:r>
        <w:t xml:space="preserve">Запуск MEME</w:t>
      </w:r>
      <w:bookmarkEnd w:id="50"/>
    </w:p>
    <w:p>
      <w:pPr>
        <w:pStyle w:val="FirstParagraph"/>
      </w:pPr>
      <w:r>
        <w:t xml:space="preserve">MEME с параметрами</w:t>
      </w:r>
      <w:r>
        <w:t xml:space="preserve"> </w:t>
      </w:r>
      <w:r>
        <w:rPr>
          <w:rStyle w:val="VerbatimChar"/>
        </w:rPr>
        <w:t xml:space="preserve">-mod anr -revcomp -nmotifs 5 -minw 14 -maxw 24 -evt 1e-5</w:t>
      </w:r>
      <w:r>
        <w:t xml:space="preserve"> </w:t>
      </w:r>
      <w:r>
        <w:t xml:space="preserve">за 7 минут выявил 6 значимых мотивов. Лучший по E-value: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ID мотива:</w:t>
      </w:r>
      <w:r>
        <w:t xml:space="preserve"> </w:t>
      </w:r>
      <w:r>
        <w:rPr>
          <w:rStyle w:val="VerbatimChar"/>
        </w:rPr>
        <w:t xml:space="preserve">WTSATGATDAYSGTAWTSA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Простой консенсус:</w:t>
      </w:r>
      <w:r>
        <w:t xml:space="preserve"> </w:t>
      </w:r>
      <w:r>
        <w:rPr>
          <w:rStyle w:val="VerbatimChar"/>
        </w:rPr>
        <w:t xml:space="preserve">ATCATGATAATCGTATTCA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Длина:</w:t>
      </w:r>
      <w:r>
        <w:t xml:space="preserve"> </w:t>
      </w:r>
      <w:r>
        <w:t xml:space="preserve">19 п.н.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Сайтов в обучающей выборке:</w:t>
      </w:r>
      <w:r>
        <w:t xml:space="preserve"> </w:t>
      </w:r>
      <w:r>
        <w:t xml:space="preserve">20 (из 32 регионов)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Log-likelihood ratio:</w:t>
      </w:r>
      <w:r>
        <w:t xml:space="preserve"> </w:t>
      </w:r>
      <w:r>
        <w:t xml:space="preserve">267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E-value:</w:t>
      </w:r>
      <w:r>
        <w:t xml:space="preserve"> </w:t>
      </w:r>
      <m:oMath>
        <m:r>
          <m:t>1</m:t>
        </m:r>
        <m:r>
          <m:t>,</m:t>
        </m:r>
        <m:r>
          <m:t>8</m:t>
        </m:r>
        <m:r>
          <m:t>⋅</m:t>
        </m:r>
        <m:sSup>
          <m:e>
            <m:r>
              <m:t>10</m:t>
            </m:r>
          </m:e>
          <m:sup>
            <m:r>
              <m:t>−</m:t>
            </m:r>
            <m:r>
              <m:t>11</m:t>
            </m:r>
          </m:sup>
        </m:sSup>
      </m:oMath>
    </w:p>
    <w:p>
      <w:pPr>
        <w:pStyle w:val="FirstParagraph"/>
      </w:pPr>
      <w:r>
        <w:t xml:space="preserve">Структурно мотив</w:t>
      </w:r>
      <w:r>
        <w:t xml:space="preserve"> </w:t>
      </w:r>
      <w:r>
        <w:rPr>
          <w:b/>
        </w:rPr>
        <w:t xml:space="preserve">квази-палиндромен</w:t>
      </w:r>
      <w:r>
        <w:t xml:space="preserve"> </w:t>
      </w:r>
      <w:r>
        <w:t xml:space="preserve">(полусайты</w:t>
      </w:r>
      <w:r>
        <w:t xml:space="preserve"> </w:t>
      </w:r>
      <w:r>
        <w:rPr>
          <w:rStyle w:val="VerbatimChar"/>
        </w:rPr>
        <w:t xml:space="preserve">TGATGAT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ATCATCA</w:t>
      </w:r>
      <w:r>
        <w:t xml:space="preserve">),</w:t>
      </w:r>
      <w:r>
        <w:t xml:space="preserve"> </w:t>
      </w:r>
      <w:r>
        <w:t xml:space="preserve">что характерно для TetR-операторов. Его позиционно-весовая матрица</w:t>
      </w:r>
      <w:r>
        <w:t xml:space="preserve"> </w:t>
      </w:r>
      <w:r>
        <w:t xml:space="preserve">приведена в таблице 5; графическое представление (logo) — на рисунке 1.</w:t>
      </w:r>
    </w:p>
    <w:p>
      <w:pPr>
        <w:pStyle w:val="CaptionedFigure"/>
      </w:pPr>
      <w:bookmarkStart w:id="52" w:name="fig:logo"/>
      <w:r>
        <w:drawing>
          <wp:inline>
            <wp:extent cx="5334000" cy="1898542"/>
            <wp:effectExtent b="0" l="0" r="0" t="0"/>
            <wp:docPr descr="Logo мотива WTSATGATDAYSGTAWTSA (выход MEME)" title="" id="1" name="Picture"/>
            <a:graphic>
              <a:graphicData uri="http://schemas.openxmlformats.org/drawingml/2006/picture">
                <pic:pic>
                  <pic:nvPicPr>
                    <pic:cNvPr descr="tetr/img/tetr_motif_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Logo мотива</w:t>
      </w:r>
      <w:r>
        <w:t xml:space="preserve"> </w:t>
      </w:r>
      <w:r>
        <w:rPr>
          <w:rStyle w:val="VerbatimChar"/>
        </w:rPr>
        <w:t xml:space="preserve">WTSATGATDAYSGTAWTSA</w:t>
      </w:r>
      <w:r>
        <w:t xml:space="preserve"> </w:t>
      </w:r>
      <w:r>
        <w:t xml:space="preserve">(выход MEME)</w:t>
      </w:r>
    </w:p>
    <w:p>
      <w:pPr>
        <w:pStyle w:val="CaptionedFigure"/>
      </w:pPr>
      <w:bookmarkStart w:id="54" w:name="fig:meme_over"/>
      <w:r>
        <w:drawing>
          <wp:inline>
            <wp:extent cx="5334000" cy="4000500"/>
            <wp:effectExtent b="0" l="0" r="0" t="0"/>
            <wp:docPr descr="Веб-страница MEME: список 6 значимых мотивов (логотипы, E-value, число сайтов) и общая карта расположений на 32 апстрим-областях" title="" id="1" name="Picture"/>
            <a:graphic>
              <a:graphicData uri="http://schemas.openxmlformats.org/drawingml/2006/picture">
                <pic:pic>
                  <pic:nvPicPr>
                    <pic:cNvPr descr="screenshots/01_meme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Веб-страница MEME: список 6 значимых мотивов (логотипы, E-value, число сайтов) и общая карта расположений на 32 апстрим-областях</w:t>
      </w:r>
    </w:p>
    <w:p>
      <w:pPr>
        <w:pStyle w:val="CaptionedFigure"/>
      </w:pPr>
      <w:bookmarkStart w:id="56" w:name="fig:meme_detail"/>
      <w:r>
        <w:drawing>
          <wp:inline>
            <wp:extent cx="5334000" cy="4000500"/>
            <wp:effectExtent b="0" l="0" r="0" t="0"/>
            <wp:docPr descr="Подробное представление мотива №1 в MEME: PWM-логотип, информационное содержание (19,8 бит), Bayes Threshold 9,06647 и таблица сайтов в обучающей выборке" title="" id="1" name="Picture"/>
            <a:graphic>
              <a:graphicData uri="http://schemas.openxmlformats.org/drawingml/2006/picture">
                <pic:pic>
                  <pic:nvPicPr>
                    <pic:cNvPr descr="screenshots/02_meme_motif1_detai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Подробное представление мотива №1 в MEME: PWM-логотип, информационное содержание (19,8 бит), Bayes Threshold 9,06647 и таблица сайтов в обучающей выборке</w:t>
      </w:r>
    </w:p>
    <w:p>
      <w:pPr>
        <w:pStyle w:val="Heading2"/>
      </w:pPr>
      <w:bookmarkStart w:id="57" w:name="сканирование-генома-fimo"/>
      <w:r>
        <w:t xml:space="preserve">Сканирование генома (FIMO)</w:t>
      </w:r>
      <w:bookmarkEnd w:id="57"/>
    </w:p>
    <w:p>
      <w:pPr>
        <w:pStyle w:val="FirstParagraph"/>
      </w:pPr>
      <w:r>
        <w:t xml:space="preserve">Сканирование полного генома при пороге</w:t>
      </w:r>
      <w:r>
        <w:t xml:space="preserve"> </w:t>
      </w:r>
      <m:oMath>
        <m:r>
          <m:t>p</m:t>
        </m:r>
        <m:r>
          <m:t>&lt;</m:t>
        </m:r>
        <m:sSup>
          <m:e>
            <m:r>
              <m:t>10</m:t>
            </m:r>
          </m:e>
          <m:sup>
            <m: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дало 1 437</w:t>
      </w:r>
      <w:r>
        <w:t xml:space="preserve"> </w:t>
      </w:r>
      <w:r>
        <w:t xml:space="preserve">попаданий. Распределение по строгости приведено в таблице 6.</w:t>
      </w:r>
    </w:p>
    <w:p>
      <w:pPr>
        <w:pStyle w:val="BodyText"/>
      </w:pPr>
      <w:r>
        <w:t xml:space="preserve">В качестве «высокозначимых» отобраны 32 хита с</w:t>
      </w:r>
      <w:r>
        <w:t xml:space="preserve"> </w:t>
      </w:r>
      <m:oMath>
        <m:r>
          <m:t>p</m:t>
        </m:r>
        <m:r>
          <m:t>&lt;</m:t>
        </m:r>
        <m:sSup>
          <m:e>
            <m:r>
              <m:t>10</m:t>
            </m:r>
          </m:e>
          <m:sup>
            <m:r>
              <m:t>−</m:t>
            </m:r>
            <m:r>
              <m:t>6</m:t>
            </m:r>
          </m:sup>
        </m:sSup>
      </m:oMath>
      <w:r>
        <w:t xml:space="preserve">;</w:t>
      </w:r>
      <w:r>
        <w:t xml:space="preserve"> </w:t>
      </w:r>
      <w:r>
        <w:t xml:space="preserve">ожидаемое случайное число при таком пороге для двунаправленного</w:t>
      </w:r>
      <w:r>
        <w:t xml:space="preserve"> </w:t>
      </w:r>
      <w:r>
        <w:t xml:space="preserve">сканирования генома 5 МБ составляет</w:t>
      </w:r>
      <w:r>
        <w:t xml:space="preserve"> </w:t>
      </w:r>
      <m:oMath>
        <m:r>
          <m:t>5</m:t>
        </m:r>
        <m:r>
          <m:t>⋅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⋅</m:t>
        </m:r>
        <m:r>
          <m:t>2</m:t>
        </m:r>
        <m:r>
          <m:t>⋅</m:t>
        </m:r>
        <m:sSup>
          <m:e>
            <m:r>
              <m:t>10</m:t>
            </m:r>
          </m:e>
          <m:sup>
            <m:r>
              <m:t>−</m:t>
            </m:r>
            <m:r>
              <m:t>6</m:t>
            </m:r>
          </m:sup>
        </m:sSup>
        <m:r>
          <m:t>≈</m:t>
        </m:r>
        <m:r>
          <m:t>10</m:t>
        </m:r>
      </m:oMath>
      <w:r>
        <w:t xml:space="preserve">, наблюдаемое — 32, что демонстрирует значимое обогащение.</w:t>
      </w:r>
    </w:p>
    <w:p>
      <w:pPr>
        <w:pStyle w:val="CaptionedFigure"/>
      </w:pPr>
      <w:bookmarkStart w:id="59" w:name="fig:fimo"/>
      <w:r>
        <w:drawing>
          <wp:inline>
            <wp:extent cx="5334000" cy="4000500"/>
            <wp:effectExtent b="0" l="0" r="0" t="0"/>
            <wp:docPr descr="Веб-вывод FIMO: раздел DATABASE AND MOTIFS, таблица 6 мотивов с шириной и лучшим совпадением, начало таблицы HIGH-SCORING MOTIF OCCURRENCES (1 437 хитов в геноме)" title="" id="1" name="Picture"/>
            <a:graphic>
              <a:graphicData uri="http://schemas.openxmlformats.org/drawingml/2006/picture">
                <pic:pic>
                  <pic:nvPicPr>
                    <pic:cNvPr descr="screenshots/03_fimo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Веб-вывод FIMO: раздел DATABASE AND MOTIFS, таблица 6 мотивов с шириной и лучшим совпадением, начало таблицы HIGH-SCORING MOTIF OCCURRENCES (1 437 хитов в геноме)</w:t>
      </w:r>
    </w:p>
    <w:p>
      <w:pPr>
        <w:pStyle w:val="BodyText"/>
      </w:pPr>
      <w:r>
        <w:t xml:space="preserve">Полный список 32 сайтов с указанием ближайшего гена и характеристик</w:t>
      </w:r>
      <w:r>
        <w:t xml:space="preserve"> </w:t>
      </w:r>
      <w:r>
        <w:t xml:space="preserve">приведён в</w:t>
      </w:r>
      <w:r>
        <w:t xml:space="preserve"> </w:t>
      </w:r>
      <w:r>
        <w:rPr>
          <w:b/>
        </w:rPr>
        <w:t xml:space="preserve">приложении А</w:t>
      </w:r>
      <w:r>
        <w:t xml:space="preserve"> </w:t>
      </w:r>
      <w:r>
        <w:t xml:space="preserve">(а также в файле</w:t>
      </w:r>
      <w:r>
        <w:t xml:space="preserve"> </w:t>
      </w:r>
      <w:r>
        <w:rPr>
          <w:rStyle w:val="VerbatimChar"/>
        </w:rPr>
        <w:t xml:space="preserve">tetr/tetr_sites_summary.tsv</w:t>
      </w:r>
      <w:r>
        <w:t xml:space="preserve">).</w:t>
      </w:r>
      <w:r>
        <w:t xml:space="preserve"> </w:t>
      </w:r>
      <w:r>
        <w:t xml:space="preserve">Топ-5 сайтов по уровню значимости:</w:t>
      </w:r>
    </w:p>
    <w:p>
      <w:pPr>
        <w:pStyle w:val="Heading2"/>
      </w:pPr>
      <w:bookmarkStart w:id="60" w:name="биологическая-интерпретация"/>
      <w:r>
        <w:t xml:space="preserve">Биологическая интерпретация</w:t>
      </w:r>
      <w:bookmarkEnd w:id="60"/>
    </w:p>
    <w:p>
      <w:pPr>
        <w:pStyle w:val="Heading3"/>
      </w:pPr>
      <w:bookmarkStart w:id="61" w:name="авторегуляция"/>
      <w:r>
        <w:t xml:space="preserve">Авторегуляция</w:t>
      </w:r>
      <w:bookmarkEnd w:id="61"/>
    </w:p>
    <w:p>
      <w:pPr>
        <w:pStyle w:val="FirstParagraph"/>
      </w:pPr>
      <w:r>
        <w:t xml:space="preserve">Из 32 высокозначимых сайтов</w:t>
      </w:r>
      <w:r>
        <w:t xml:space="preserve"> </w:t>
      </w:r>
      <w:r>
        <w:rPr>
          <w:b/>
        </w:rPr>
        <w:t xml:space="preserve">7 расположены непосредственно перед</w:t>
      </w:r>
      <w:r>
        <w:rPr>
          <w:b/>
        </w:rPr>
        <w:t xml:space="preserve"> </w:t>
      </w:r>
      <w:r>
        <w:rPr>
          <w:b/>
        </w:rPr>
        <w:t xml:space="preserve">самими TetR-белками или их дивергентными соседями</w:t>
      </w:r>
      <w:r>
        <w:t xml:space="preserve"> </w:t>
      </w:r>
      <w:r>
        <w:t xml:space="preserve">(таблица 8).</w:t>
      </w:r>
      <w:r>
        <w:t xml:space="preserve"> </w:t>
      </w:r>
      <w:r>
        <w:t xml:space="preserve">Это полностью соответствует канонической архитектуре TetR-семейства,</w:t>
      </w:r>
      <w:r>
        <w:t xml:space="preserve"> </w:t>
      </w:r>
      <w:r>
        <w:t xml:space="preserve">в которой TetR-репрессор связывается с собственным промотором</w:t>
      </w:r>
      <w:r>
        <w:t xml:space="preserve"> </w:t>
      </w:r>
      <w:r>
        <w:t xml:space="preserve">(контролируя свою экспрессию) и одновременно с промотором мишени,</w:t>
      </w:r>
      <w:r>
        <w:t xml:space="preserve"> </w:t>
      </w:r>
      <w:r>
        <w:t xml:space="preserve">обычно расположенной по другую сторону межгенного промежутка.</w:t>
      </w:r>
      <w:r>
        <w:t xml:space="preserve"> </w:t>
      </w:r>
      <w:r>
        <w:t xml:space="preserve">Сайты с парностью «</w:t>
      </w:r>
      <w:r>
        <w:rPr>
          <w:i/>
        </w:rPr>
        <w:t xml:space="preserve">self</w:t>
      </w:r>
      <w:r>
        <w:t xml:space="preserve"> </w:t>
      </w:r>
      <w:r>
        <w:t xml:space="preserve">+</w:t>
      </w:r>
      <w:r>
        <w:t xml:space="preserve"> </w:t>
      </w:r>
      <w:r>
        <w:rPr>
          <w:i/>
        </w:rPr>
        <w:t xml:space="preserve">divergent partner</w:t>
      </w:r>
      <w:r>
        <w:t xml:space="preserve">» считаются золотым</w:t>
      </w:r>
      <w:r>
        <w:t xml:space="preserve"> </w:t>
      </w:r>
      <w:r>
        <w:t xml:space="preserve">стандартом валидации мотива TetR-семейства.</w:t>
      </w:r>
    </w:p>
    <w:p>
      <w:pPr>
        <w:pStyle w:val="Heading3"/>
      </w:pPr>
      <w:bookmarkStart w:id="62" w:name="потенциальные-регулоны"/>
      <w:r>
        <w:t xml:space="preserve">Потенциальные регулоны</w:t>
      </w:r>
      <w:bookmarkEnd w:id="62"/>
    </w:p>
    <w:p>
      <w:pPr>
        <w:pStyle w:val="FirstParagraph"/>
      </w:pPr>
      <w:r>
        <w:t xml:space="preserve">Среди вероятных мишеней — гены, типичные для регулонов TetR-семейства: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эффлюкс-помпы</w:t>
      </w:r>
      <w:r>
        <w:t xml:space="preserve">: SmvA (resistance to methyl viologen), TetA</w:t>
      </w:r>
      <w:r>
        <w:t xml:space="preserve"> </w:t>
      </w:r>
      <w:r>
        <w:t xml:space="preserve">(тетрациклиновая помпа);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ферменты детоксикации</w:t>
      </w:r>
      <w:r>
        <w:t xml:space="preserve">: NemA (N-этилмалеимид-редуктаза),</w:t>
      </w:r>
      <w:r>
        <w:t xml:space="preserve"> </w:t>
      </w:r>
      <w:r>
        <w:t xml:space="preserve">тиосульфат-сульфуртрансфераза YgaP, тиоредоксин-редуктаза TrxB,</w:t>
      </w:r>
      <w:r>
        <w:t xml:space="preserve"> </w:t>
      </w:r>
      <w:r>
        <w:t xml:space="preserve">L-аспарагиназа AnsA;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метаболизм</w:t>
      </w:r>
      <w:r>
        <w:t xml:space="preserve">: FadD (синтез ацил-CoA), GlpD (глицерол-3-фосфат-дегидрогеназа),</w:t>
      </w:r>
      <w:r>
        <w:t xml:space="preserve"> </w:t>
      </w:r>
      <w:r>
        <w:t xml:space="preserve">MetL (бифункциональный аспартокиназный/гомосеринредуктазный фермент),</w:t>
      </w:r>
      <w:r>
        <w:t xml:space="preserve"> </w:t>
      </w:r>
      <w:r>
        <w:t xml:space="preserve">MalQ (4-α-глюканотрансфераза);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транспорт</w:t>
      </w:r>
      <w:r>
        <w:t xml:space="preserve">: SatP (succinate-acetate-протон симпорт);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трансляция / РНК</w:t>
      </w:r>
      <w:r>
        <w:t xml:space="preserve">: TrpS (триптофанил-тРНК-лигаза), Rnc</w:t>
      </w:r>
      <w:r>
        <w:t xml:space="preserve"> </w:t>
      </w:r>
      <w:r>
        <w:t xml:space="preserve">(рибонуклеаза 3).</w:t>
      </w:r>
    </w:p>
    <w:p>
      <w:pPr>
        <w:pStyle w:val="FirstParagraph"/>
      </w:pPr>
      <w:r>
        <w:t xml:space="preserve">Это согласуется с классической ролью TetR-факторов как переключателей</w:t>
      </w:r>
      <w:r>
        <w:t xml:space="preserve"> </w:t>
      </w:r>
      <w:r>
        <w:t xml:space="preserve">оттока ксенобиотиков и метаболической перестройки в ответ на</w:t>
      </w:r>
      <w:r>
        <w:t xml:space="preserve"> </w:t>
      </w:r>
      <w:r>
        <w:t xml:space="preserve">сигналы стресса.</w:t>
      </w:r>
    </w:p>
    <w:p>
      <w:pPr>
        <w:pStyle w:val="Heading2"/>
      </w:pPr>
      <w:bookmarkStart w:id="63" w:name="финальный-genbank-файл"/>
      <w:r>
        <w:t xml:space="preserve">Финальный GenBank-файл</w:t>
      </w:r>
      <w:bookmarkEnd w:id="63"/>
    </w:p>
    <w:p>
      <w:pPr>
        <w:pStyle w:val="FirstParagraph"/>
      </w:pPr>
      <w:r>
        <w:t xml:space="preserve">Все 32 высокозначимых сайта включены в итоговый файл</w:t>
      </w:r>
      <w:r>
        <w:t xml:space="preserve"> </w:t>
      </w:r>
      <w:r>
        <w:rPr>
          <w:rStyle w:val="VerbatimChar"/>
        </w:rPr>
        <w:t xml:space="preserve">annotation/Sudilovsky_TetR.gbk</w:t>
      </w:r>
      <w:r>
        <w:t xml:space="preserve"> </w:t>
      </w:r>
      <w:r>
        <w:t xml:space="preserve">в виде фич</w:t>
      </w:r>
      <w:r>
        <w:t xml:space="preserve"> </w:t>
      </w:r>
      <w:r>
        <w:rPr>
          <w:rStyle w:val="VerbatimChar"/>
        </w:rPr>
        <w:t xml:space="preserve">protein_bind</w:t>
      </w:r>
      <w:r>
        <w:t xml:space="preserve">. Пример</w:t>
      </w:r>
      <w:r>
        <w:t xml:space="preserve"> </w:t>
      </w:r>
      <w:r>
        <w:t xml:space="preserve">записи для самого значимого сайта:</w:t>
      </w:r>
    </w:p>
    <w:p>
      <w:pPr>
        <w:pStyle w:val="BodyText"/>
      </w:pPr>
      <w:r>
        <w:t xml:space="preserve">Этот файл является основным результатом работы и подлежит сдаче</w:t>
      </w:r>
      <w:r>
        <w:t xml:space="preserve"> </w:t>
      </w:r>
      <w:r>
        <w:t xml:space="preserve">вместе с настоящим отчётом.</w:t>
      </w:r>
    </w:p>
    <w:p>
      <w:pPr>
        <w:pStyle w:val="CaptionedFigure"/>
      </w:pPr>
      <w:bookmarkStart w:id="65" w:name="fig:gbk"/>
      <w:r>
        <w:drawing>
          <wp:inline>
            <wp:extent cx="5334000" cy="4000500"/>
            <wp:effectExtent b="0" l="0" r="0" t="0"/>
            <wp:docPr descr="Структура итогового GenBank-файла Sudilovsky_TetR.gbk: заголовок LOCUS, фичи protein_bind для предсказанных операторов TetR с квалификаторами /bound_moiety, /note, /label и сводная статистика по 32 сайтам" title="" id="1" name="Picture"/>
            <a:graphic>
              <a:graphicData uri="http://schemas.openxmlformats.org/drawingml/2006/picture">
                <pic:pic>
                  <pic:nvPicPr>
                    <pic:cNvPr descr="screenshots/06_genbank_tetr_sit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Структура итогового GenBank-файла</w:t>
      </w:r>
      <w:r>
        <w:t xml:space="preserve"> </w:t>
      </w:r>
      <w:r>
        <w:rPr>
          <w:rStyle w:val="VerbatimChar"/>
        </w:rPr>
        <w:t xml:space="preserve">Sudilovsky_TetR.gbk</w:t>
      </w:r>
      <w:r>
        <w:t xml:space="preserve">: заголовок LOCUS, фичи</w:t>
      </w:r>
      <w:r>
        <w:t xml:space="preserve"> </w:t>
      </w:r>
      <w:r>
        <w:rPr>
          <w:rStyle w:val="VerbatimChar"/>
        </w:rPr>
        <w:t xml:space="preserve">protein_bind</w:t>
      </w:r>
      <w:r>
        <w:t xml:space="preserve"> </w:t>
      </w:r>
      <w:r>
        <w:t xml:space="preserve">для предсказанных операторов TetR с квалификаторами</w:t>
      </w:r>
      <w:r>
        <w:t xml:space="preserve"> </w:t>
      </w:r>
      <w:r>
        <w:rPr>
          <w:rStyle w:val="VerbatimChar"/>
        </w:rPr>
        <w:t xml:space="preserve">/bound_moiety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/label</w:t>
      </w:r>
      <w:r>
        <w:t xml:space="preserve"> </w:t>
      </w:r>
      <w:r>
        <w:t xml:space="preserve">и сводная статистика по 32 сайтам</w:t>
      </w:r>
    </w:p>
    <w:p>
      <w:pPr>
        <w:pStyle w:val="Heading1"/>
      </w:pPr>
      <w:bookmarkStart w:id="66" w:name="заключение"/>
      <w:r>
        <w:t xml:space="preserve">Заключение</w:t>
      </w:r>
      <w:bookmarkEnd w:id="66"/>
    </w:p>
    <w:p>
      <w:pPr>
        <w:pStyle w:val="FirstParagraph"/>
      </w:pPr>
      <w:r>
        <w:t xml:space="preserve">В ходе лабораторной работы были выполнены все этапы стандартного</w:t>
      </w:r>
      <w:r>
        <w:t xml:space="preserve"> </w:t>
      </w:r>
      <w:r>
        <w:t xml:space="preserve">бактериального геном-аннотационного пайплайна и продемонстрировано</w:t>
      </w:r>
      <w:r>
        <w:t xml:space="preserve"> </w:t>
      </w:r>
      <w:r>
        <w:rPr>
          <w:i/>
        </w:rPr>
        <w:t xml:space="preserve">de novo</w:t>
      </w:r>
      <w:r>
        <w:t xml:space="preserve"> </w:t>
      </w:r>
      <w:r>
        <w:t xml:space="preserve">построение профиля сайта связывания транскрипционного</w:t>
      </w:r>
      <w:r>
        <w:t xml:space="preserve"> </w:t>
      </w:r>
      <w:r>
        <w:t xml:space="preserve">фактора заданного семейства.</w:t>
      </w:r>
    </w:p>
    <w:p>
      <w:pPr>
        <w:numPr>
          <w:ilvl w:val="0"/>
          <w:numId w:val="1007"/>
        </w:numPr>
        <w:pStyle w:val="Compact"/>
      </w:pPr>
      <w:r>
        <w:t xml:space="preserve">С NCBI скачан хромосомный контиг штамма</w:t>
      </w:r>
      <w:r>
        <w:t xml:space="preserve"> </w:t>
      </w:r>
      <w:r>
        <w:rPr>
          <w:i/>
        </w:rPr>
        <w:t xml:space="preserve">Pectobacterium polaris</w:t>
      </w:r>
      <w:r>
        <w:t xml:space="preserve"> </w:t>
      </w:r>
      <w:r>
        <w:t xml:space="preserve">NIBIO1392 (</w:t>
      </w:r>
      <w:r>
        <w:rPr>
          <w:rStyle w:val="VerbatimChar"/>
        </w:rPr>
        <w:t xml:space="preserve">NZ_CP017482.1</w:t>
      </w:r>
      <w:r>
        <w:t xml:space="preserve">, 5 008 416 п.н., GC 51,99 %).</w:t>
      </w:r>
    </w:p>
    <w:p>
      <w:pPr>
        <w:numPr>
          <w:ilvl w:val="0"/>
          <w:numId w:val="1007"/>
        </w:numPr>
        <w:pStyle w:val="Compact"/>
      </w:pPr>
      <w:r>
        <w:t xml:space="preserve">С помощью пакета</w:t>
      </w:r>
      <w:r>
        <w:t xml:space="preserve"> </w:t>
      </w:r>
      <w:r>
        <w:rPr>
          <w:b/>
        </w:rPr>
        <w:t xml:space="preserve">Prokka 1.14.6</w:t>
      </w:r>
      <w:r>
        <w:t xml:space="preserve"> </w:t>
      </w:r>
      <w:r>
        <w:t xml:space="preserve">(</w:t>
      </w:r>
      <w:r>
        <w:rPr>
          <w:rStyle w:val="VerbatimChar"/>
        </w:rPr>
        <w:t xml:space="preserve">--rfam</w:t>
      </w:r>
      <w:r>
        <w:t xml:space="preserve">, kingdom Bacteria)</w:t>
      </w:r>
      <w:r>
        <w:t xml:space="preserve"> </w:t>
      </w:r>
      <w:r>
        <w:t xml:space="preserve">построена аннотация с префиксом локус-тегов</w:t>
      </w:r>
      <w:r>
        <w:t xml:space="preserve"> </w:t>
      </w:r>
      <w:r>
        <w:rPr>
          <w:rStyle w:val="VerbatimChar"/>
        </w:rPr>
        <w:t xml:space="preserve">Sudilovsky</w:t>
      </w:r>
      <w:r>
        <w:t xml:space="preserve">,</w:t>
      </w:r>
      <w:r>
        <w:t xml:space="preserve"> </w:t>
      </w:r>
      <w:r>
        <w:t xml:space="preserve">содержащая</w:t>
      </w:r>
      <w:r>
        <w:t xml:space="preserve"> </w:t>
      </w:r>
      <w:r>
        <w:rPr>
          <w:b/>
        </w:rPr>
        <w:t xml:space="preserve">4 390 CDS, 77 тРНК, 15 рРНК, 1 тмРНК и 163</w:t>
      </w:r>
      <w:r>
        <w:rPr>
          <w:b/>
        </w:rPr>
        <w:t xml:space="preserve"> </w:t>
      </w:r>
      <w:r>
        <w:rPr>
          <w:b/>
        </w:rPr>
        <w:t xml:space="preserve">некодирующих РНК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annotation/Sudilovsky.gbk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Сравнение с эталонной аннотацией</w:t>
      </w:r>
      <w:r>
        <w:t xml:space="preserve"> </w:t>
      </w:r>
      <w:r>
        <w:rPr>
          <w:b/>
        </w:rPr>
        <w:t xml:space="preserve">NCBI RefSeq</w:t>
      </w:r>
      <w:r>
        <w:t xml:space="preserve"> </w:t>
      </w:r>
      <w:r>
        <w:t xml:space="preserve">показало, что</w:t>
      </w:r>
      <w:r>
        <w:t xml:space="preserve"> </w:t>
      </w:r>
      <w:r>
        <w:t xml:space="preserve">количества CDS и тРНК совпадают с точностью до долей процента</w:t>
      </w:r>
      <w:r>
        <w:t xml:space="preserve"> </w:t>
      </w:r>
      <w:r>
        <w:t xml:space="preserve">(4 390 vs 4 356 CDS; 77 vs 77 тРНК), а объяснимые расхождения</w:t>
      </w:r>
      <w:r>
        <w:t xml:space="preserve"> </w:t>
      </w:r>
      <w:r>
        <w:t xml:space="preserve">касаются rRNA (баррнап выводит по одному локусу на оперон),</w:t>
      </w:r>
      <w:r>
        <w:t xml:space="preserve"> </w:t>
      </w:r>
      <w:r>
        <w:t xml:space="preserve">псевдогенов (Prokka их не выделяет) и misc_RNA / ncRNA</w:t>
      </w:r>
      <w:r>
        <w:t xml:space="preserve"> </w:t>
      </w:r>
      <w:r>
        <w:t xml:space="preserve">(Prokka c</w:t>
      </w:r>
      <w:r>
        <w:t xml:space="preserve"> </w:t>
      </w:r>
      <w:r>
        <w:rPr>
          <w:rStyle w:val="VerbatimChar"/>
        </w:rPr>
        <w:t xml:space="preserve">--rfam</w:t>
      </w:r>
      <w:r>
        <w:t xml:space="preserve"> </w:t>
      </w:r>
      <w:r>
        <w:t xml:space="preserve">использует более широкий набор Rfam-моделей).</w:t>
      </w:r>
    </w:p>
    <w:p>
      <w:pPr>
        <w:numPr>
          <w:ilvl w:val="0"/>
          <w:numId w:val="1007"/>
        </w:numPr>
        <w:pStyle w:val="Compact"/>
      </w:pPr>
      <w:r>
        <w:t xml:space="preserve">С помощью</w:t>
      </w:r>
      <w:r>
        <w:t xml:space="preserve"> </w:t>
      </w:r>
      <w:r>
        <w:rPr>
          <w:b/>
        </w:rPr>
        <w:t xml:space="preserve">HMMER + Pfam PF00440</w:t>
      </w:r>
      <w:r>
        <w:t xml:space="preserve"> </w:t>
      </w:r>
      <w:r>
        <w:t xml:space="preserve">найдено</w:t>
      </w:r>
      <w:r>
        <w:t xml:space="preserve"> </w:t>
      </w:r>
      <w:r>
        <w:rPr>
          <w:b/>
        </w:rPr>
        <w:t xml:space="preserve">19 белков семейства</w:t>
      </w:r>
      <w:r>
        <w:rPr>
          <w:b/>
        </w:rPr>
        <w:t xml:space="preserve"> </w:t>
      </w:r>
      <w:r>
        <w:rPr>
          <w:b/>
        </w:rPr>
        <w:t xml:space="preserve">TetR</w:t>
      </w:r>
      <w:r>
        <w:t xml:space="preserve">; среди них семь функционально аннотированных репрессоров</w:t>
      </w:r>
      <w:r>
        <w:t xml:space="preserve"> </w:t>
      </w:r>
      <w:r>
        <w:t xml:space="preserve">(AcrR, RcdA, BetI, FabR, ComR, SlmA, TetC) и двенадцать</w:t>
      </w:r>
      <w:r>
        <w:t xml:space="preserve"> </w:t>
      </w:r>
      <w:r>
        <w:t xml:space="preserve">функционально неохарактеризованных.</w:t>
      </w:r>
    </w:p>
    <w:p>
      <w:pPr>
        <w:numPr>
          <w:ilvl w:val="0"/>
          <w:numId w:val="1007"/>
        </w:numPr>
        <w:pStyle w:val="Compact"/>
      </w:pPr>
      <w:r>
        <w:t xml:space="preserve">На объединённом наборе апстрим-областей этих белков и их</w:t>
      </w:r>
      <w:r>
        <w:t xml:space="preserve"> </w:t>
      </w:r>
      <w:r>
        <w:t xml:space="preserve">дивергентных соседей программой</w:t>
      </w:r>
      <w:r>
        <w:t xml:space="preserve"> </w:t>
      </w:r>
      <w:r>
        <w:rPr>
          <w:b/>
        </w:rPr>
        <w:t xml:space="preserve">MEME</w:t>
      </w:r>
      <w:r>
        <w:t xml:space="preserve"> </w:t>
      </w:r>
      <w:r>
        <w:t xml:space="preserve">(режим</w:t>
      </w:r>
      <w:r>
        <w:t xml:space="preserve"> </w:t>
      </w:r>
      <w:r>
        <w:rPr>
          <w:rStyle w:val="VerbatimChar"/>
        </w:rPr>
        <w:t xml:space="preserve">anr</w:t>
      </w:r>
      <w:r>
        <w:t xml:space="preserve">,</w:t>
      </w:r>
      <w:r>
        <w:t xml:space="preserve"> </w:t>
      </w:r>
      <w:r>
        <w:rPr>
          <w:rStyle w:val="VerbatimChar"/>
        </w:rPr>
        <w:t xml:space="preserve">-revcomp</w:t>
      </w:r>
      <w:r>
        <w:t xml:space="preserve">)</w:t>
      </w:r>
      <w:r>
        <w:t xml:space="preserve"> </w:t>
      </w:r>
      <w:r>
        <w:rPr>
          <w:i/>
        </w:rPr>
        <w:t xml:space="preserve">de novo</w:t>
      </w:r>
      <w:r>
        <w:t xml:space="preserve"> </w:t>
      </w:r>
      <w:r>
        <w:t xml:space="preserve">построен квази-палиндромный мотив</w:t>
      </w:r>
      <w:r>
        <w:t xml:space="preserve"> </w:t>
      </w:r>
      <w:r>
        <w:rPr>
          <w:rStyle w:val="VerbatimChar"/>
          <w:b/>
        </w:rPr>
        <w:t xml:space="preserve">WTSATGATDAYSGTAWTSA</w:t>
      </w:r>
      <w:r>
        <w:t xml:space="preserve"> </w:t>
      </w:r>
      <w:r>
        <w:t xml:space="preserve">длиной 19 п.н. с E-value</w:t>
      </w:r>
      <w:r>
        <w:t xml:space="preserve"> </w:t>
      </w:r>
      <m:oMath>
        <m:r>
          <m:t>1</m:t>
        </m:r>
        <m:r>
          <m:t>,</m:t>
        </m:r>
        <m:r>
          <m:t>8</m:t>
        </m:r>
        <m:r>
          <m:t>⋅</m:t>
        </m:r>
        <m:sSup>
          <m:e>
            <m:r>
              <m:t>10</m:t>
            </m:r>
          </m:e>
          <m:sup>
            <m:r>
              <m:t>−</m:t>
            </m:r>
            <m:r>
              <m:t>11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Сканирование полного генома программой</w:t>
      </w:r>
      <w:r>
        <w:t xml:space="preserve"> </w:t>
      </w:r>
      <w:r>
        <w:rPr>
          <w:b/>
        </w:rPr>
        <w:t xml:space="preserve">FIMO</w:t>
      </w:r>
      <w:r>
        <w:t xml:space="preserve"> </w:t>
      </w:r>
      <w:r>
        <w:t xml:space="preserve">выявило</w:t>
      </w:r>
      <w:r>
        <w:t xml:space="preserve"> </w:t>
      </w:r>
      <w:r>
        <w:rPr>
          <w:b/>
        </w:rPr>
        <w:t xml:space="preserve">32 высокозначимых сайта</w:t>
      </w:r>
      <w:r>
        <w:t xml:space="preserve"> </w:t>
      </w:r>
      <w:r>
        <w:t xml:space="preserve">(</w:t>
      </w:r>
      <m:oMath>
        <m:r>
          <m:t>p</m:t>
        </m:r>
        <m:r>
          <m:t>&lt;</m:t>
        </m:r>
        <m:sSup>
          <m:e>
            <m:r>
              <m:t>10</m:t>
            </m:r>
          </m:e>
          <m:sup>
            <m:r>
              <m:t>−</m:t>
            </m:r>
            <m:r>
              <m:t>6</m:t>
            </m:r>
          </m:sup>
        </m:sSup>
      </m:oMath>
      <w:r>
        <w:t xml:space="preserve">); 7 из них</w:t>
      </w:r>
      <w:r>
        <w:t xml:space="preserve"> </w:t>
      </w:r>
      <w:r>
        <w:t xml:space="preserve">расположены непосредственно перед TetR-генами, что</w:t>
      </w:r>
      <w:r>
        <w:t xml:space="preserve"> </w:t>
      </w:r>
      <w:r>
        <w:t xml:space="preserve">подтверждает биологическую релевантность мотива и характерную</w:t>
      </w:r>
      <w:r>
        <w:t xml:space="preserve"> </w:t>
      </w:r>
      <w:r>
        <w:t xml:space="preserve">для TetR-семейства авторегуляторную архитектуру.</w:t>
      </w:r>
    </w:p>
    <w:p>
      <w:pPr>
        <w:numPr>
          <w:ilvl w:val="0"/>
          <w:numId w:val="1007"/>
        </w:numPr>
        <w:pStyle w:val="Compact"/>
      </w:pPr>
      <w:r>
        <w:t xml:space="preserve">Все 32 сайта добавлены в финальный файл</w:t>
      </w:r>
      <w:r>
        <w:t xml:space="preserve"> </w:t>
      </w:r>
      <w:r>
        <w:rPr>
          <w:rStyle w:val="VerbatimChar"/>
          <w:b/>
        </w:rPr>
        <w:t xml:space="preserve">annotation/Sudilovsky_TetR.gbk</w:t>
      </w:r>
      <w:r>
        <w:t xml:space="preserve"> </w:t>
      </w:r>
      <w:r>
        <w:t xml:space="preserve">как фичи</w:t>
      </w:r>
      <w:r>
        <w:t xml:space="preserve"> </w:t>
      </w:r>
      <w:r>
        <w:rPr>
          <w:rStyle w:val="VerbatimChar"/>
        </w:rPr>
        <w:t xml:space="preserve">protein_bind</w:t>
      </w:r>
      <w:r>
        <w:t xml:space="preserve"> </w:t>
      </w:r>
      <w:r>
        <w:t xml:space="preserve">с указанием матча, score и p-value.</w:t>
      </w:r>
    </w:p>
    <w:p>
      <w:pPr>
        <w:pStyle w:val="FirstParagraph"/>
      </w:pPr>
      <w:r>
        <w:t xml:space="preserve">Все шаги воспроизводимы: репозиторий</w:t>
      </w:r>
      <w:r>
        <w:t xml:space="preserve"> </w:t>
      </w:r>
      <w:hyperlink r:id="rId23">
        <w:r>
          <w:rPr>
            <w:rStyle w:val="Hyperlink"/>
          </w:rPr>
          <w:t xml:space="preserve">https://github.com/SailorVAC/lab5_bio</w:t>
        </w:r>
      </w:hyperlink>
      <w:r>
        <w:t xml:space="preserve"> </w:t>
      </w:r>
      <w:r>
        <w:t xml:space="preserve">содержит сценарий установки</w:t>
      </w:r>
      <w:r>
        <w:t xml:space="preserve"> </w:t>
      </w:r>
      <w:r>
        <w:t xml:space="preserve">программ (</w:t>
      </w:r>
      <w:r>
        <w:rPr>
          <w:rStyle w:val="VerbatimChar"/>
        </w:rPr>
        <w:t xml:space="preserve">setup.sh</w:t>
      </w:r>
      <w:r>
        <w:t xml:space="preserve">) и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 позволяющие повторить весь</w:t>
      </w:r>
      <w:r>
        <w:t xml:space="preserve"> </w:t>
      </w:r>
      <w:r>
        <w:t xml:space="preserve">анализ командой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.</w:t>
      </w:r>
    </w:p>
    <w:p>
      <w:pPr>
        <w:pStyle w:val="BodyText"/>
      </w:pPr>
      <w:r>
        <w:t xml:space="preserve">Цели лабораторной работы достигнуты в полном объёме.</w:t>
      </w:r>
    </w:p>
    <w:p>
      <w:pPr>
        <w:pStyle w:val="Heading1"/>
      </w:pPr>
      <w:bookmarkStart w:id="67" w:name="список-использованных-источников"/>
      <w:r>
        <w:t xml:space="preserve">Список использованных источников</w:t>
      </w:r>
      <w:bookmarkEnd w:id="67"/>
    </w:p>
    <w:p>
      <w:pPr>
        <w:numPr>
          <w:ilvl w:val="0"/>
          <w:numId w:val="1008"/>
        </w:numPr>
      </w:pPr>
      <w:r>
        <w:t xml:space="preserve">Seemann, T. Prokka: rapid prokaryotic genome annotation /</w:t>
      </w:r>
      <w:r>
        <w:t xml:space="preserve"> </w:t>
      </w:r>
      <w:r>
        <w:t xml:space="preserve">T. Seemann // Bioinformatics. — 2014. — Vol. 30, № 14. —</w:t>
      </w:r>
      <w:r>
        <w:t xml:space="preserve"> </w:t>
      </w:r>
      <w:r>
        <w:t xml:space="preserve">P. 2068–2069.</w:t>
      </w:r>
    </w:p>
    <w:p>
      <w:pPr>
        <w:numPr>
          <w:ilvl w:val="0"/>
          <w:numId w:val="1008"/>
        </w:numPr>
      </w:pPr>
      <w:r>
        <w:t xml:space="preserve">Ramos, J. L. The TetR family of transcriptional repressors /</w:t>
      </w:r>
      <w:r>
        <w:t xml:space="preserve"> </w:t>
      </w:r>
      <w:r>
        <w:t xml:space="preserve">J. L. Ramos [et al.] // Microbiol. Mol. Biol. Rev. — 2005. —</w:t>
      </w:r>
      <w:r>
        <w:t xml:space="preserve"> </w:t>
      </w:r>
      <w:r>
        <w:t xml:space="preserve">Vol. 69, № 2. — P. 326–356.</w:t>
      </w:r>
    </w:p>
    <w:p>
      <w:pPr>
        <w:numPr>
          <w:ilvl w:val="0"/>
          <w:numId w:val="1008"/>
        </w:numPr>
      </w:pPr>
      <w:r>
        <w:t xml:space="preserve">Cuthbertson, L. The TetR family of regulators: a structural and</w:t>
      </w:r>
      <w:r>
        <w:t xml:space="preserve"> </w:t>
      </w:r>
      <w:r>
        <w:t xml:space="preserve">functional perspective / L. Cuthbertson, J. R. Nodwell //</w:t>
      </w:r>
      <w:r>
        <w:t xml:space="preserve"> </w:t>
      </w:r>
      <w:r>
        <w:t xml:space="preserve">Microbiol. Mol. Biol. Rev. — 2013. — Vol. 77, № 3. — P. 440–475.</w:t>
      </w:r>
    </w:p>
    <w:p>
      <w:pPr>
        <w:numPr>
          <w:ilvl w:val="0"/>
          <w:numId w:val="1008"/>
        </w:numPr>
      </w:pPr>
      <w:r>
        <w:t xml:space="preserve">Hyatt, D. Prodigal: prokaryotic gene recognition and translation</w:t>
      </w:r>
      <w:r>
        <w:t xml:space="preserve"> </w:t>
      </w:r>
      <w:r>
        <w:t xml:space="preserve">initiation site identification / D. Hyatt [et al.] // BMC</w:t>
      </w:r>
      <w:r>
        <w:t xml:space="preserve"> </w:t>
      </w:r>
      <w:r>
        <w:t xml:space="preserve">Bioinformatics. — 2010. — Vol. 11. — Article 119.</w:t>
      </w:r>
    </w:p>
    <w:p>
      <w:pPr>
        <w:numPr>
          <w:ilvl w:val="0"/>
          <w:numId w:val="1008"/>
        </w:numPr>
      </w:pPr>
      <w:r>
        <w:t xml:space="preserve">Laslett, D. ARAGORN, a program to detect tRNA genes and tmRNA</w:t>
      </w:r>
      <w:r>
        <w:t xml:space="preserve"> </w:t>
      </w:r>
      <w:r>
        <w:t xml:space="preserve">genes in nucleotide sequences / D. Laslett, B. Canback //</w:t>
      </w:r>
      <w:r>
        <w:t xml:space="preserve"> </w:t>
      </w:r>
      <w:r>
        <w:t xml:space="preserve">Nucleic Acids Res. — 2004. — Vol. 32, № 1. — P. 11–16.</w:t>
      </w:r>
    </w:p>
    <w:p>
      <w:pPr>
        <w:numPr>
          <w:ilvl w:val="0"/>
          <w:numId w:val="1008"/>
        </w:numPr>
      </w:pPr>
      <w:r>
        <w:t xml:space="preserve">Nawrocki, E. P. Infernal 1.1: 100-fold faster RNA homology</w:t>
      </w:r>
      <w:r>
        <w:t xml:space="preserve"> </w:t>
      </w:r>
      <w:r>
        <w:t xml:space="preserve">searches / E. P. Nawrocki, S. R. Eddy // Bioinformatics. —</w:t>
      </w:r>
    </w:p>
    <w:p>
      <w:pPr>
        <w:numPr>
          <w:ilvl w:val="1"/>
          <w:numId w:val="1009"/>
        </w:numPr>
        <w:pStyle w:val="Compact"/>
      </w:pPr>
      <w:r>
        <w:t xml:space="preserve">— Vol. 29, № 22. — P. 2933–2935.</w:t>
      </w:r>
    </w:p>
    <w:p>
      <w:pPr>
        <w:numPr>
          <w:ilvl w:val="0"/>
          <w:numId w:val="1008"/>
        </w:numPr>
      </w:pPr>
      <w:r>
        <w:t xml:space="preserve">Eddy, S. R. Accelerated profile HMM searches / S. R. Eddy //</w:t>
      </w:r>
      <w:r>
        <w:t xml:space="preserve"> </w:t>
      </w:r>
      <w:r>
        <w:t xml:space="preserve">PLoS Comput. Biol. — 2011. — Vol. 7, № 10. — Art. e1002195.</w:t>
      </w:r>
    </w:p>
    <w:p>
      <w:pPr>
        <w:numPr>
          <w:ilvl w:val="0"/>
          <w:numId w:val="1008"/>
        </w:numPr>
      </w:pPr>
      <w:r>
        <w:t xml:space="preserve">Mistry, J. Pfam: The protein families database in 2021 /</w:t>
      </w:r>
      <w:r>
        <w:t xml:space="preserve"> </w:t>
      </w:r>
      <w:r>
        <w:t xml:space="preserve">J. Mistry [et al.] // Nucleic Acids Res. — 2021. — Vol. 49,</w:t>
      </w:r>
      <w:r>
        <w:t xml:space="preserve"> </w:t>
      </w:r>
      <w:r>
        <w:t xml:space="preserve">№ D1. — P. D412–D419.</w:t>
      </w:r>
    </w:p>
    <w:p>
      <w:pPr>
        <w:numPr>
          <w:ilvl w:val="0"/>
          <w:numId w:val="1008"/>
        </w:numPr>
      </w:pPr>
      <w:r>
        <w:t xml:space="preserve">Bailey, T. L. The MEME Suite / T. L. Bailey [et al.] //</w:t>
      </w:r>
      <w:r>
        <w:t xml:space="preserve"> </w:t>
      </w:r>
      <w:r>
        <w:t xml:space="preserve">Nucleic Acids Res. — 2015. — Vol. 43, № W1. — P. W39–W49.</w:t>
      </w:r>
    </w:p>
    <w:p>
      <w:pPr>
        <w:numPr>
          <w:ilvl w:val="0"/>
          <w:numId w:val="1008"/>
        </w:numPr>
      </w:pPr>
      <w:r>
        <w:t xml:space="preserve">Grant, C. E. FIMO: scanning for occurrences of a given motif /</w:t>
      </w:r>
      <w:r>
        <w:t xml:space="preserve"> </w:t>
      </w:r>
      <w:r>
        <w:t xml:space="preserve">C. E. Grant, T. L. Bailey, W. S. Noble // Bioinformatics. —</w:t>
      </w:r>
    </w:p>
    <w:p>
      <w:pPr>
        <w:numPr>
          <w:ilvl w:val="1"/>
          <w:numId w:val="1010"/>
        </w:numPr>
        <w:pStyle w:val="Compact"/>
      </w:pPr>
      <w:r>
        <w:t xml:space="preserve">— Vol. 27, № 7. — P. 1017–1018.</w:t>
      </w:r>
    </w:p>
    <w:p>
      <w:pPr>
        <w:numPr>
          <w:ilvl w:val="0"/>
          <w:numId w:val="1008"/>
        </w:numPr>
      </w:pPr>
      <w:r>
        <w:t xml:space="preserve">Dees, M. W.</w:t>
      </w:r>
      <w:r>
        <w:t xml:space="preserve"> </w:t>
      </w:r>
      <w:r>
        <w:rPr>
          <w:i/>
        </w:rPr>
        <w:t xml:space="preserve">Pectobacterium polaris</w:t>
      </w:r>
      <w:r>
        <w:t xml:space="preserve"> </w:t>
      </w:r>
      <w:r>
        <w:t xml:space="preserve">sp. nov., isolated from</w:t>
      </w:r>
      <w:r>
        <w:t xml:space="preserve"> </w:t>
      </w:r>
      <w:r>
        <w:t xml:space="preserve">potato (</w:t>
      </w:r>
      <w:r>
        <w:rPr>
          <w:i/>
        </w:rPr>
        <w:t xml:space="preserve">Solanum tuberosum</w:t>
      </w:r>
      <w:r>
        <w:t xml:space="preserve">) / M. W. Dees [et al.] // Int. J.</w:t>
      </w:r>
      <w:r>
        <w:t xml:space="preserve"> </w:t>
      </w:r>
      <w:r>
        <w:t xml:space="preserve">Syst. Evol. Microbiol. — 2017. — Vol. 67, № 12. — P. 5222–5229.</w:t>
      </w:r>
    </w:p>
    <w:p>
      <w:pPr>
        <w:numPr>
          <w:ilvl w:val="0"/>
          <w:numId w:val="1008"/>
        </w:numPr>
      </w:pPr>
      <w:r>
        <w:t xml:space="preserve">Cock, P. J. A. Biopython: freely available Python tools for</w:t>
      </w:r>
      <w:r>
        <w:t xml:space="preserve"> </w:t>
      </w:r>
      <w:r>
        <w:t xml:space="preserve">computational molecular biology and bioinformatics /</w:t>
      </w:r>
      <w:r>
        <w:t xml:space="preserve"> </w:t>
      </w:r>
      <w:r>
        <w:t xml:space="preserve">P. J. A. Cock [et al.] // Bioinformatics. — 2009. — Vol. 25,</w:t>
      </w:r>
      <w:r>
        <w:t xml:space="preserve"> </w:t>
      </w:r>
      <w:r>
        <w:t xml:space="preserve">№ 11. — P. 1422–1423.</w:t>
      </w:r>
    </w:p>
    <w:p>
      <w:pPr>
        <w:pStyle w:val="Heading1"/>
      </w:pPr>
      <w:bookmarkStart w:id="68" w:name="Xad2ff09bc2b762559832f9089fa6b2192199bca"/>
      <w:r>
        <w:t xml:space="preserve">Приложение А. Полный список 32 сайтов связывания TetR</w:t>
      </w:r>
      <w:bookmarkEnd w:id="68"/>
    </w:p>
    <w:p>
      <w:pPr>
        <w:pStyle w:val="FirstParagraph"/>
      </w:pPr>
      <w:r>
        <w:t xml:space="preserve">В таблице приведены все сайты с p-value</w:t>
      </w:r>
      <w:r>
        <w:t xml:space="preserve"> </w:t>
      </w:r>
      <m:oMath>
        <m:r>
          <m:t>&lt;</m:t>
        </m:r>
        <m:sSup>
          <m:e>
            <m:r>
              <m:t>10</m:t>
            </m:r>
          </m:e>
          <m:sup>
            <m:r>
              <m:t>−</m:t>
            </m:r>
            <m:r>
              <m:t>6</m:t>
            </m:r>
          </m:sup>
        </m:sSup>
      </m:oMath>
      <w:r>
        <w:t xml:space="preserve">, отсортированные</w:t>
      </w:r>
      <w:r>
        <w:t xml:space="preserve"> </w:t>
      </w:r>
      <w:r>
        <w:t xml:space="preserve">по координате на хромосоме. Поле «Расположение» — позиция сайта</w:t>
      </w:r>
      <w:r>
        <w:t xml:space="preserve"> </w:t>
      </w:r>
      <w:r>
        <w:t xml:space="preserve">относительно ближайшего гена.</w:t>
      </w:r>
    </w:p>
    <w:p>
      <w:pPr>
        <w:pStyle w:val="Heading1"/>
      </w:pPr>
      <w:bookmarkStart w:id="69" w:name="Xae336c009d489c9d0065fc8e8f4645702a40820"/>
      <w:r>
        <w:t xml:space="preserve">Приложение Б. Скрипт извлечения upstream-областей</w:t>
      </w:r>
      <w:bookmarkEnd w:id="69"/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tetr/extract_upstream.py</w:t>
      </w:r>
      <w:r>
        <w:t xml:space="preserve">:</w:t>
      </w:r>
    </w:p>
    <w:p>
      <w:pPr>
        <w:pStyle w:val="Heading1"/>
      </w:pPr>
      <w:bookmarkStart w:id="70" w:name="X14c8e4240bcf112b98482595fc13c8be7b1ae22"/>
      <w:r>
        <w:t xml:space="preserve">Приложение В. Скрипт добавления сайтов в GenBank</w:t>
      </w:r>
      <w:bookmarkEnd w:id="70"/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tetr/add_tetr_sites.py</w:t>
      </w:r>
      <w:r>
        <w:t xml:space="preserve"> </w:t>
      </w:r>
      <w:r>
        <w:t xml:space="preserve">(сокращённо, основная логика):</w:t>
      </w:r>
    </w:p>
    <w:p>
      <w:pPr>
        <w:pStyle w:val="BodyText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013">
    <w:nsid w:val="47261bad"/>
    <w:multiLevelType w:val="multilevel"/>
    <w:lvl w:ilvl="0">
      <w:start w:val="20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0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0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0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0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0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01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01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01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011">
    <w:nsid w:val="b3cbbdee"/>
    <w:multiLevelType w:val="multilevel"/>
    <w:lvl w:ilvl="0">
      <w:start w:val="20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0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0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0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0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0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0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0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0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013"/>
    <w:lvlOverride w:ilvl="0">
      <w:startOverride w:val="2013"/>
    </w:lvlOverride>
    <w:lvlOverride w:ilvl="1">
      <w:startOverride w:val="2013"/>
    </w:lvlOverride>
    <w:lvlOverride w:ilvl="2">
      <w:startOverride w:val="2013"/>
    </w:lvlOverride>
    <w:lvlOverride w:ilvl="3">
      <w:startOverride w:val="2013"/>
    </w:lvlOverride>
    <w:lvlOverride w:ilvl="4">
      <w:startOverride w:val="2013"/>
    </w:lvlOverride>
    <w:lvlOverride w:ilvl="5">
      <w:startOverride w:val="2013"/>
    </w:lvlOverride>
    <w:lvlOverride w:ilvl="6">
      <w:startOverride w:val="2013"/>
    </w:lvlOverride>
    <w:lvlOverride w:ilvl="7">
      <w:startOverride w:val="2013"/>
    </w:lvlOverride>
    <w:lvlOverride w:ilvl="8">
      <w:startOverride w:val="2013"/>
    </w:lvlOverride>
  </w:num>
  <w:num w:numId="1010">
    <w:abstractNumId w:val="99412011"/>
    <w:lvlOverride w:ilvl="0">
      <w:startOverride w:val="2011"/>
    </w:lvlOverride>
    <w:lvlOverride w:ilvl="1">
      <w:startOverride w:val="2011"/>
    </w:lvlOverride>
    <w:lvlOverride w:ilvl="2">
      <w:startOverride w:val="2011"/>
    </w:lvlOverride>
    <w:lvlOverride w:ilvl="3">
      <w:startOverride w:val="2011"/>
    </w:lvlOverride>
    <w:lvlOverride w:ilvl="4">
      <w:startOverride w:val="2011"/>
    </w:lvlOverride>
    <w:lvlOverride w:ilvl="5">
      <w:startOverride w:val="2011"/>
    </w:lvlOverride>
    <w:lvlOverride w:ilvl="6">
      <w:startOverride w:val="2011"/>
    </w:lvlOverride>
    <w:lvlOverride w:ilvl="7">
      <w:startOverride w:val="2011"/>
    </w:lvlOverride>
    <w:lvlOverride w:ilvl="8">
      <w:startOverride w:val="201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64" Target="media/rId64.png" /><Relationship Type="http://schemas.openxmlformats.org/officeDocument/2006/relationships/image" Id="rId51" Target="media/rId51.png" /><Relationship Type="http://schemas.openxmlformats.org/officeDocument/2006/relationships/hyperlink" Id="rId23" Target="https://github.com/SailorVAC/lab5_bi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github.com/SailorVAC/lab5_b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Аннотация бактериального генома и поиск сайтов связывания транскрипционных факторов семейства TetR</dc:title>
  <dc:creator>Студент: Судиловский Л.</dc:creator>
  <dc:language>ru-RU</dc:language>
  <cp:keywords/>
  <dcterms:created xsi:type="dcterms:W3CDTF">2026-05-07T18:22:17Z</dcterms:created>
  <dcterms:modified xsi:type="dcterms:W3CDTF">2026-05-07T18:22:17Z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article</vt:lpwstr>
  </property>
  <property fmtid="{D5CDD505-2E9C-101B-9397-08002B2CF9AE}" pid="4" name="fontsize">
    <vt:lpwstr>14pt</vt:lpwstr>
  </property>
  <property fmtid="{D5CDD505-2E9C-101B-9397-08002B2CF9AE}" pid="5" name="geometry">
    <vt:lpwstr/>
  </property>
  <property fmtid="{D5CDD505-2E9C-101B-9397-08002B2CF9AE}" pid="6" name="header-includes">
    <vt:lpwstr/>
  </property>
  <property fmtid="{D5CDD505-2E9C-101B-9397-08002B2CF9AE}" pid="7" name="indent">
    <vt:lpwstr>True</vt:lpwstr>
  </property>
  <property fmtid="{D5CDD505-2E9C-101B-9397-08002B2CF9AE}" pid="8" name="linestretch">
    <vt:lpwstr>1.5</vt:lpwstr>
  </property>
  <property fmtid="{D5CDD505-2E9C-101B-9397-08002B2CF9AE}" pid="9" name="mainfont">
    <vt:lpwstr>DejaVu Serif</vt:lpwstr>
  </property>
  <property fmtid="{D5CDD505-2E9C-101B-9397-08002B2CF9AE}" pid="10" name="numbersections">
    <vt:lpwstr>True</vt:lpwstr>
  </property>
  <property fmtid="{D5CDD505-2E9C-101B-9397-08002B2CF9AE}" pid="11" name="papersize">
    <vt:lpwstr>a4</vt:lpwstr>
  </property>
  <property fmtid="{D5CDD505-2E9C-101B-9397-08002B2CF9AE}" pid="12" name="secnumdepth">
    <vt:lpwstr>3</vt:lpwstr>
  </property>
  <property fmtid="{D5CDD505-2E9C-101B-9397-08002B2CF9AE}" pid="13" name="subtitle">
    <vt:lpwstr>Отчёт по лабораторной работе №5</vt:lpwstr>
  </property>
  <property fmtid="{D5CDD505-2E9C-101B-9397-08002B2CF9AE}" pid="14" name="toc">
    <vt:lpwstr>True</vt:lpwstr>
  </property>
  <property fmtid="{D5CDD505-2E9C-101B-9397-08002B2CF9AE}" pid="15" name="toc-depth">
    <vt:lpwstr>3</vt:lpwstr>
  </property>
</Properties>
</file>