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60"/>
      </w:pPr>
    </w:p>
    <w:p>
      <w:pPr>
        <w:spacing w:after="60" w:before="0"/>
        <w:jc w:val="center"/>
      </w:pPr>
      <w:r>
        <w:rPr>
          <w:rFonts w:ascii="Times New Roman" w:cs="Times New Roman" w:eastAsia="Times New Roman" w:hAnsi="Times New Roman"/>
          <w:b/>
          <w:bCs/>
          <w:color w:val="4A235A"/>
          <w:sz w:val="40"/>
          <w:szCs w:val="40"/>
        </w:rPr>
        <w:t xml:space="preserve">BUSINESS PROCESS ENGINEERING</w:t>
      </w:r>
    </w:p>
    <w:p>
      <w:pPr>
        <w:spacing w:after="60" w:before="0"/>
        <w:jc w:val="center"/>
      </w:pPr>
      <w:r>
        <w:rPr>
          <w:rFonts w:ascii="Times New Roman" w:cs="Times New Roman" w:eastAsia="Times New Roman" w:hAnsi="Times New Roman"/>
          <w:i/>
          <w:iCs/>
          <w:color w:val="78281F"/>
          <w:sz w:val="28"/>
          <w:szCs w:val="28"/>
        </w:rPr>
        <w:t xml:space="preserve">Academic Assignment Report</w:t>
      </w:r>
    </w:p>
    <w:p>
      <w:pPr>
        <w:pBdr>
          <w:bottom w:val="double" w:color="4A235A" w:sz="6" w:space="4"/>
        </w:pBdr>
        <w:spacing w:after="200" w:before="0"/>
        <w:jc w:val="center"/>
      </w:pPr>
      <w:r>
        <w:rPr>
          <w:rFonts w:ascii="Times New Roman" w:cs="Times New Roman" w:eastAsia="Times New Roman" w:hAnsi="Times New Roman"/>
          <w:color w:val="333333"/>
          <w:sz w:val="24"/>
          <w:szCs w:val="24"/>
        </w:rPr>
        <w:t xml:space="preserve">A Comparative Study of Business Process Optimization and Evolution Across Five Leading Global Corporations</w:t>
      </w:r>
    </w:p>
    <w:p>
      <w:pPr>
        <w:spacing w:after="0" w:before="200"/>
      </w:pPr>
    </w:p>
    <w:p>
      <w:pPr>
        <w:spacing w:after="60" w:before="60"/>
        <w:jc w:val="center"/>
      </w:pPr>
      <w:r>
        <w:rPr>
          <w:rFonts w:ascii="Times New Roman" w:cs="Times New Roman" w:eastAsia="Times New Roman" w:hAnsi="Times New Roman"/>
          <w:b/>
          <w:bCs/>
          <w:color w:val="555555"/>
          <w:sz w:val="22"/>
          <w:szCs w:val="22"/>
        </w:rPr>
        <w:t xml:space="preserve">Course: Business Process Engineering (BPE)</w:t>
      </w:r>
    </w:p>
    <w:p>
      <w:pPr>
        <w:spacing w:after="400" w:before="40"/>
        <w:jc w:val="center"/>
      </w:pPr>
      <w:r>
        <w:rPr>
          <w:rFonts w:ascii="Times New Roman" w:cs="Times New Roman" w:eastAsia="Times New Roman" w:hAnsi="Times New Roman"/>
          <w:color w:val="555555"/>
          <w:sz w:val="22"/>
          <w:szCs w:val="22"/>
        </w:rPr>
        <w:t xml:space="preserve">May 2026</w:t>
      </w:r>
    </w:p>
    <w:p>
      <w:r>
        <w:br w:type="page"/>
      </w:r>
    </w:p>
    <w:p>
      <w:pPr>
        <w:pStyle w:val="Heading1"/>
      </w:pPr>
      <w:r>
        <w:rPr>
          <w:rFonts w:ascii="Times New Roman" w:cs="Times New Roman" w:eastAsia="Times New Roman" w:hAnsi="Times New Roman"/>
          <w:b/>
          <w:bCs/>
          <w:color w:val="4A235A"/>
          <w:sz w:val="30"/>
          <w:szCs w:val="30"/>
        </w:rPr>
        <w:t xml:space="preserve">Abstract</w:t>
      </w:r>
    </w:p>
    <w:p>
      <w:pPr>
        <w:spacing w:after="100" w:before="80" w:line="340"/>
        <w:jc w:val="both"/>
      </w:pPr>
      <w:r>
        <w:rPr>
          <w:rFonts w:ascii="Times New Roman" w:cs="Times New Roman" w:eastAsia="Times New Roman" w:hAnsi="Times New Roman"/>
          <w:sz w:val="22"/>
          <w:szCs w:val="22"/>
        </w:rPr>
        <w:t xml:space="preserve">This study undertakes a rigorous comparative examination of how five globally dominant corporations — Microsoft, Walmart, Tesla, Netflix, and Alibaba — have strategically engineered and re-engineered their core business processes over time. For each organization, two to three central operational processes are investigated through a structured three-version evolutionary framework: the foundational process design (Version 1), the transitional improvement phase (Version 2), and the advanced, technology-optimized configuration (Version 3).</w:t>
      </w:r>
    </w:p>
    <w:p>
      <w:pPr>
        <w:spacing w:after="100" w:before="80" w:line="340"/>
        <w:jc w:val="both"/>
      </w:pPr>
      <w:r>
        <w:rPr>
          <w:rFonts w:ascii="Times New Roman" w:cs="Times New Roman" w:eastAsia="Times New Roman" w:hAnsi="Times New Roman"/>
          <w:sz w:val="22"/>
          <w:szCs w:val="22"/>
        </w:rPr>
        <w:t xml:space="preserve">The analysis identifies the inherent limitations of initial process designs, evaluates the catalysts and mechanisms of improvement, and quantifies the performance gains achieved through successive optimization cycles. Key dimensions assessed include process speed, cost efficiency, automation depth, data management sophistication, error minimization, scalability, and customer experience quality. The findings establish that systematic business process engineering — when executed with clear strategic intent, appropriate technology adoption, and strong organizational commitment — is a primary driver of sustained competitive advantage in the global economy.</w:t>
      </w:r>
    </w:p>
    <w:p>
      <w:pPr>
        <w:spacing w:after="0" w:before="120"/>
      </w:pPr>
    </w:p>
    <w:p>
      <w:pPr>
        <w:pStyle w:val="Heading1"/>
      </w:pPr>
      <w:r>
        <w:rPr>
          <w:rFonts w:ascii="Times New Roman" w:cs="Times New Roman" w:eastAsia="Times New Roman" w:hAnsi="Times New Roman"/>
          <w:b/>
          <w:bCs/>
          <w:color w:val="4A235A"/>
          <w:sz w:val="30"/>
          <w:szCs w:val="30"/>
        </w:rPr>
        <w:t xml:space="preserve">Table of Contents</w:t>
      </w:r>
    </w:p>
    <w:p>
      <w:pPr>
        <w:tabs>
          <w:tab w:val="right" w:pos="9360" w:leader="dot"/>
        </w:tabs>
        <w:spacing w:after="55" w:before="55"/>
      </w:pPr>
      <w:r>
        <w:rPr>
          <w:rFonts w:ascii="Times New Roman" w:cs="Times New Roman" w:eastAsia="Times New Roman" w:hAnsi="Times New Roman"/>
          <w:sz w:val="22"/>
          <w:szCs w:val="22"/>
        </w:rPr>
        <w:t xml:space="preserve">1. Introduction and Theoretical Framework</w:t>
      </w:r>
      <w:r>
        <w:rPr>
          <w:rFonts w:ascii="Times New Roman" w:cs="Times New Roman" w:eastAsia="Times New Roman" w:hAnsi="Times New Roman"/>
          <w:sz w:val="22"/>
          <w:szCs w:val="22"/>
        </w:rPr>
        <w:t xml:space="preserve">	3</w:t>
      </w:r>
    </w:p>
    <w:p>
      <w:pPr>
        <w:tabs>
          <w:tab w:val="right" w:pos="9360" w:leader="dot"/>
        </w:tabs>
        <w:spacing w:after="55" w:before="55"/>
      </w:pPr>
      <w:r>
        <w:rPr>
          <w:rFonts w:ascii="Times New Roman" w:cs="Times New Roman" w:eastAsia="Times New Roman" w:hAnsi="Times New Roman"/>
          <w:sz w:val="22"/>
          <w:szCs w:val="22"/>
        </w:rPr>
        <w:t xml:space="preserve">2. Corporation 1: Microsoft</w:t>
      </w:r>
      <w:r>
        <w:rPr>
          <w:rFonts w:ascii="Times New Roman" w:cs="Times New Roman" w:eastAsia="Times New Roman" w:hAnsi="Times New Roman"/>
          <w:sz w:val="22"/>
          <w:szCs w:val="22"/>
        </w:rPr>
        <w:t xml:space="preserve">	4</w:t>
      </w:r>
    </w:p>
    <w:p>
      <w:pPr>
        <w:tabs>
          <w:tab w:val="right" w:pos="9360" w:leader="dot"/>
        </w:tabs>
        <w:spacing w:after="55" w:before="55"/>
      </w:pPr>
      <w:r>
        <w:rPr>
          <w:rFonts w:ascii="Times New Roman" w:cs="Times New Roman" w:eastAsia="Times New Roman" w:hAnsi="Times New Roman"/>
          <w:sz w:val="22"/>
          <w:szCs w:val="22"/>
        </w:rPr>
        <w:t xml:space="preserve">   2.1 Software Development &amp; Delivery Process</w:t>
      </w:r>
      <w:r>
        <w:rPr>
          <w:rFonts w:ascii="Times New Roman" w:cs="Times New Roman" w:eastAsia="Times New Roman" w:hAnsi="Times New Roman"/>
          <w:sz w:val="22"/>
          <w:szCs w:val="22"/>
        </w:rPr>
        <w:t xml:space="preserve">	4</w:t>
      </w:r>
    </w:p>
    <w:p>
      <w:pPr>
        <w:tabs>
          <w:tab w:val="right" w:pos="9360" w:leader="dot"/>
        </w:tabs>
        <w:spacing w:after="55" w:before="55"/>
      </w:pPr>
      <w:r>
        <w:rPr>
          <w:rFonts w:ascii="Times New Roman" w:cs="Times New Roman" w:eastAsia="Times New Roman" w:hAnsi="Times New Roman"/>
          <w:sz w:val="22"/>
          <w:szCs w:val="22"/>
        </w:rPr>
        <w:t xml:space="preserve">   2.2 Cloud Service Provisioning Process</w:t>
      </w:r>
      <w:r>
        <w:rPr>
          <w:rFonts w:ascii="Times New Roman" w:cs="Times New Roman" w:eastAsia="Times New Roman" w:hAnsi="Times New Roman"/>
          <w:sz w:val="22"/>
          <w:szCs w:val="22"/>
        </w:rPr>
        <w:t xml:space="preserve">	5</w:t>
      </w:r>
    </w:p>
    <w:p>
      <w:pPr>
        <w:tabs>
          <w:tab w:val="right" w:pos="9360" w:leader="dot"/>
        </w:tabs>
        <w:spacing w:after="55" w:before="55"/>
      </w:pPr>
      <w:r>
        <w:rPr>
          <w:rFonts w:ascii="Times New Roman" w:cs="Times New Roman" w:eastAsia="Times New Roman" w:hAnsi="Times New Roman"/>
          <w:sz w:val="22"/>
          <w:szCs w:val="22"/>
        </w:rPr>
        <w:t xml:space="preserve">   2.3 Enterprise Sales Process</w:t>
      </w:r>
      <w:r>
        <w:rPr>
          <w:rFonts w:ascii="Times New Roman" w:cs="Times New Roman" w:eastAsia="Times New Roman" w:hAnsi="Times New Roman"/>
          <w:sz w:val="22"/>
          <w:szCs w:val="22"/>
        </w:rPr>
        <w:t xml:space="preserve">	6</w:t>
      </w:r>
    </w:p>
    <w:p>
      <w:pPr>
        <w:tabs>
          <w:tab w:val="right" w:pos="9360" w:leader="dot"/>
        </w:tabs>
        <w:spacing w:after="55" w:before="55"/>
      </w:pPr>
      <w:r>
        <w:rPr>
          <w:rFonts w:ascii="Times New Roman" w:cs="Times New Roman" w:eastAsia="Times New Roman" w:hAnsi="Times New Roman"/>
          <w:sz w:val="22"/>
          <w:szCs w:val="22"/>
        </w:rPr>
        <w:t xml:space="preserve">3. Corporation 2: Walmart</w:t>
      </w:r>
      <w:r>
        <w:rPr>
          <w:rFonts w:ascii="Times New Roman" w:cs="Times New Roman" w:eastAsia="Times New Roman" w:hAnsi="Times New Roman"/>
          <w:sz w:val="22"/>
          <w:szCs w:val="22"/>
        </w:rPr>
        <w:t xml:space="preserve">	7</w:t>
      </w:r>
    </w:p>
    <w:p>
      <w:pPr>
        <w:tabs>
          <w:tab w:val="right" w:pos="9360" w:leader="dot"/>
        </w:tabs>
        <w:spacing w:after="55" w:before="55"/>
      </w:pPr>
      <w:r>
        <w:rPr>
          <w:rFonts w:ascii="Times New Roman" w:cs="Times New Roman" w:eastAsia="Times New Roman" w:hAnsi="Times New Roman"/>
          <w:sz w:val="22"/>
          <w:szCs w:val="22"/>
        </w:rPr>
        <w:t xml:space="preserve">   3.1 Retail Supply Chain Process</w:t>
      </w:r>
      <w:r>
        <w:rPr>
          <w:rFonts w:ascii="Times New Roman" w:cs="Times New Roman" w:eastAsia="Times New Roman" w:hAnsi="Times New Roman"/>
          <w:sz w:val="22"/>
          <w:szCs w:val="22"/>
        </w:rPr>
        <w:t xml:space="preserve">	7</w:t>
      </w:r>
    </w:p>
    <w:p>
      <w:pPr>
        <w:tabs>
          <w:tab w:val="right" w:pos="9360" w:leader="dot"/>
        </w:tabs>
        <w:spacing w:after="55" w:before="55"/>
      </w:pPr>
      <w:r>
        <w:rPr>
          <w:rFonts w:ascii="Times New Roman" w:cs="Times New Roman" w:eastAsia="Times New Roman" w:hAnsi="Times New Roman"/>
          <w:sz w:val="22"/>
          <w:szCs w:val="22"/>
        </w:rPr>
        <w:t xml:space="preserve">   3.2 Point-of-Sale &amp; Payment Process</w:t>
      </w:r>
      <w:r>
        <w:rPr>
          <w:rFonts w:ascii="Times New Roman" w:cs="Times New Roman" w:eastAsia="Times New Roman" w:hAnsi="Times New Roman"/>
          <w:sz w:val="22"/>
          <w:szCs w:val="22"/>
        </w:rPr>
        <w:t xml:space="preserve">	8</w:t>
      </w:r>
    </w:p>
    <w:p>
      <w:pPr>
        <w:tabs>
          <w:tab w:val="right" w:pos="9360" w:leader="dot"/>
        </w:tabs>
        <w:spacing w:after="55" w:before="55"/>
      </w:pPr>
      <w:r>
        <w:rPr>
          <w:rFonts w:ascii="Times New Roman" w:cs="Times New Roman" w:eastAsia="Times New Roman" w:hAnsi="Times New Roman"/>
          <w:sz w:val="22"/>
          <w:szCs w:val="22"/>
        </w:rPr>
        <w:t xml:space="preserve">   3.3 Workforce Scheduling Process</w:t>
      </w:r>
      <w:r>
        <w:rPr>
          <w:rFonts w:ascii="Times New Roman" w:cs="Times New Roman" w:eastAsia="Times New Roman" w:hAnsi="Times New Roman"/>
          <w:sz w:val="22"/>
          <w:szCs w:val="22"/>
        </w:rPr>
        <w:t xml:space="preserve">	9</w:t>
      </w:r>
    </w:p>
    <w:p>
      <w:pPr>
        <w:tabs>
          <w:tab w:val="right" w:pos="9360" w:leader="dot"/>
        </w:tabs>
        <w:spacing w:after="55" w:before="55"/>
      </w:pPr>
      <w:r>
        <w:rPr>
          <w:rFonts w:ascii="Times New Roman" w:cs="Times New Roman" w:eastAsia="Times New Roman" w:hAnsi="Times New Roman"/>
          <w:sz w:val="22"/>
          <w:szCs w:val="22"/>
        </w:rPr>
        <w:t xml:space="preserve">4. Corporation 3: Tesla</w:t>
      </w:r>
      <w:r>
        <w:rPr>
          <w:rFonts w:ascii="Times New Roman" w:cs="Times New Roman" w:eastAsia="Times New Roman" w:hAnsi="Times New Roman"/>
          <w:sz w:val="22"/>
          <w:szCs w:val="22"/>
        </w:rPr>
        <w:t xml:space="preserve">	10</w:t>
      </w:r>
    </w:p>
    <w:p>
      <w:pPr>
        <w:tabs>
          <w:tab w:val="right" w:pos="9360" w:leader="dot"/>
        </w:tabs>
        <w:spacing w:after="55" w:before="55"/>
      </w:pPr>
      <w:r>
        <w:rPr>
          <w:rFonts w:ascii="Times New Roman" w:cs="Times New Roman" w:eastAsia="Times New Roman" w:hAnsi="Times New Roman"/>
          <w:sz w:val="22"/>
          <w:szCs w:val="22"/>
        </w:rPr>
        <w:t xml:space="preserve">   4.1 Vehicle Design &amp; Engineering Process</w:t>
      </w:r>
      <w:r>
        <w:rPr>
          <w:rFonts w:ascii="Times New Roman" w:cs="Times New Roman" w:eastAsia="Times New Roman" w:hAnsi="Times New Roman"/>
          <w:sz w:val="22"/>
          <w:szCs w:val="22"/>
        </w:rPr>
        <w:t xml:space="preserve">	10</w:t>
      </w:r>
    </w:p>
    <w:p>
      <w:pPr>
        <w:tabs>
          <w:tab w:val="right" w:pos="9360" w:leader="dot"/>
        </w:tabs>
        <w:spacing w:after="55" w:before="55"/>
      </w:pPr>
      <w:r>
        <w:rPr>
          <w:rFonts w:ascii="Times New Roman" w:cs="Times New Roman" w:eastAsia="Times New Roman" w:hAnsi="Times New Roman"/>
          <w:sz w:val="22"/>
          <w:szCs w:val="22"/>
        </w:rPr>
        <w:t xml:space="preserve">   4.2 Battery &amp; Powertrain Manufacturing Process</w:t>
      </w:r>
      <w:r>
        <w:rPr>
          <w:rFonts w:ascii="Times New Roman" w:cs="Times New Roman" w:eastAsia="Times New Roman" w:hAnsi="Times New Roman"/>
          <w:sz w:val="22"/>
          <w:szCs w:val="22"/>
        </w:rPr>
        <w:t xml:space="preserve">	11</w:t>
      </w:r>
    </w:p>
    <w:p>
      <w:pPr>
        <w:tabs>
          <w:tab w:val="right" w:pos="9360" w:leader="dot"/>
        </w:tabs>
        <w:spacing w:after="55" w:before="55"/>
      </w:pPr>
      <w:r>
        <w:rPr>
          <w:rFonts w:ascii="Times New Roman" w:cs="Times New Roman" w:eastAsia="Times New Roman" w:hAnsi="Times New Roman"/>
          <w:sz w:val="22"/>
          <w:szCs w:val="22"/>
        </w:rPr>
        <w:t xml:space="preserve">   4.3 Direct-to-Consumer Sales Process</w:t>
      </w:r>
      <w:r>
        <w:rPr>
          <w:rFonts w:ascii="Times New Roman" w:cs="Times New Roman" w:eastAsia="Times New Roman" w:hAnsi="Times New Roman"/>
          <w:sz w:val="22"/>
          <w:szCs w:val="22"/>
        </w:rPr>
        <w:t xml:space="preserve">	12</w:t>
      </w:r>
    </w:p>
    <w:p>
      <w:pPr>
        <w:tabs>
          <w:tab w:val="right" w:pos="9360" w:leader="dot"/>
        </w:tabs>
        <w:spacing w:after="55" w:before="55"/>
      </w:pPr>
      <w:r>
        <w:rPr>
          <w:rFonts w:ascii="Times New Roman" w:cs="Times New Roman" w:eastAsia="Times New Roman" w:hAnsi="Times New Roman"/>
          <w:sz w:val="22"/>
          <w:szCs w:val="22"/>
        </w:rPr>
        <w:t xml:space="preserve">5. Corporation 4: Netflix</w:t>
      </w:r>
      <w:r>
        <w:rPr>
          <w:rFonts w:ascii="Times New Roman" w:cs="Times New Roman" w:eastAsia="Times New Roman" w:hAnsi="Times New Roman"/>
          <w:sz w:val="22"/>
          <w:szCs w:val="22"/>
        </w:rPr>
        <w:t xml:space="preserve">	13</w:t>
      </w:r>
    </w:p>
    <w:p>
      <w:pPr>
        <w:tabs>
          <w:tab w:val="right" w:pos="9360" w:leader="dot"/>
        </w:tabs>
        <w:spacing w:after="55" w:before="55"/>
      </w:pPr>
      <w:r>
        <w:rPr>
          <w:rFonts w:ascii="Times New Roman" w:cs="Times New Roman" w:eastAsia="Times New Roman" w:hAnsi="Times New Roman"/>
          <w:sz w:val="22"/>
          <w:szCs w:val="22"/>
        </w:rPr>
        <w:t xml:space="preserve">   5.1 Content Acquisition &amp; Production Process</w:t>
      </w:r>
      <w:r>
        <w:rPr>
          <w:rFonts w:ascii="Times New Roman" w:cs="Times New Roman" w:eastAsia="Times New Roman" w:hAnsi="Times New Roman"/>
          <w:sz w:val="22"/>
          <w:szCs w:val="22"/>
        </w:rPr>
        <w:t xml:space="preserve">	13</w:t>
      </w:r>
    </w:p>
    <w:p>
      <w:pPr>
        <w:tabs>
          <w:tab w:val="right" w:pos="9360" w:leader="dot"/>
        </w:tabs>
        <w:spacing w:after="55" w:before="55"/>
      </w:pPr>
      <w:r>
        <w:rPr>
          <w:rFonts w:ascii="Times New Roman" w:cs="Times New Roman" w:eastAsia="Times New Roman" w:hAnsi="Times New Roman"/>
          <w:sz w:val="22"/>
          <w:szCs w:val="22"/>
        </w:rPr>
        <w:t xml:space="preserve">   5.2 Content Delivery &amp; Streaming Process</w:t>
      </w:r>
      <w:r>
        <w:rPr>
          <w:rFonts w:ascii="Times New Roman" w:cs="Times New Roman" w:eastAsia="Times New Roman" w:hAnsi="Times New Roman"/>
          <w:sz w:val="22"/>
          <w:szCs w:val="22"/>
        </w:rPr>
        <w:t xml:space="preserve">	14</w:t>
      </w:r>
    </w:p>
    <w:p>
      <w:pPr>
        <w:tabs>
          <w:tab w:val="right" w:pos="9360" w:leader="dot"/>
        </w:tabs>
        <w:spacing w:after="55" w:before="55"/>
      </w:pPr>
      <w:r>
        <w:rPr>
          <w:rFonts w:ascii="Times New Roman" w:cs="Times New Roman" w:eastAsia="Times New Roman" w:hAnsi="Times New Roman"/>
          <w:sz w:val="22"/>
          <w:szCs w:val="22"/>
        </w:rPr>
        <w:t xml:space="preserve">6. Corporation 5: Alibaba</w:t>
      </w:r>
      <w:r>
        <w:rPr>
          <w:rFonts w:ascii="Times New Roman" w:cs="Times New Roman" w:eastAsia="Times New Roman" w:hAnsi="Times New Roman"/>
          <w:sz w:val="22"/>
          <w:szCs w:val="22"/>
        </w:rPr>
        <w:t xml:space="preserve">	15</w:t>
      </w:r>
    </w:p>
    <w:p>
      <w:pPr>
        <w:tabs>
          <w:tab w:val="right" w:pos="9360" w:leader="dot"/>
        </w:tabs>
        <w:spacing w:after="55" w:before="55"/>
      </w:pPr>
      <w:r>
        <w:rPr>
          <w:rFonts w:ascii="Times New Roman" w:cs="Times New Roman" w:eastAsia="Times New Roman" w:hAnsi="Times New Roman"/>
          <w:sz w:val="22"/>
          <w:szCs w:val="22"/>
        </w:rPr>
        <w:t xml:space="preserve">   6.1 E-Commerce Transaction Process</w:t>
      </w:r>
      <w:r>
        <w:rPr>
          <w:rFonts w:ascii="Times New Roman" w:cs="Times New Roman" w:eastAsia="Times New Roman" w:hAnsi="Times New Roman"/>
          <w:sz w:val="22"/>
          <w:szCs w:val="22"/>
        </w:rPr>
        <w:t xml:space="preserve">	15</w:t>
      </w:r>
    </w:p>
    <w:p>
      <w:pPr>
        <w:tabs>
          <w:tab w:val="right" w:pos="9360" w:leader="dot"/>
        </w:tabs>
        <w:spacing w:after="55" w:before="55"/>
      </w:pPr>
      <w:r>
        <w:rPr>
          <w:rFonts w:ascii="Times New Roman" w:cs="Times New Roman" w:eastAsia="Times New Roman" w:hAnsi="Times New Roman"/>
          <w:sz w:val="22"/>
          <w:szCs w:val="22"/>
        </w:rPr>
        <w:t xml:space="preserve">   6.2 Payment &amp; Financial Services Process</w:t>
      </w:r>
      <w:r>
        <w:rPr>
          <w:rFonts w:ascii="Times New Roman" w:cs="Times New Roman" w:eastAsia="Times New Roman" w:hAnsi="Times New Roman"/>
          <w:sz w:val="22"/>
          <w:szCs w:val="22"/>
        </w:rPr>
        <w:t xml:space="preserve">	16</w:t>
      </w:r>
    </w:p>
    <w:p>
      <w:pPr>
        <w:tabs>
          <w:tab w:val="right" w:pos="9360" w:leader="dot"/>
        </w:tabs>
        <w:spacing w:after="55" w:before="55"/>
      </w:pPr>
      <w:r>
        <w:rPr>
          <w:rFonts w:ascii="Times New Roman" w:cs="Times New Roman" w:eastAsia="Times New Roman" w:hAnsi="Times New Roman"/>
          <w:sz w:val="22"/>
          <w:szCs w:val="22"/>
        </w:rPr>
        <w:t xml:space="preserve">7. Multi-Dimensional Comparative Analysis</w:t>
      </w:r>
      <w:r>
        <w:rPr>
          <w:rFonts w:ascii="Times New Roman" w:cs="Times New Roman" w:eastAsia="Times New Roman" w:hAnsi="Times New Roman"/>
          <w:sz w:val="22"/>
          <w:szCs w:val="22"/>
        </w:rPr>
        <w:t xml:space="preserve">	17</w:t>
      </w:r>
    </w:p>
    <w:p>
      <w:pPr>
        <w:tabs>
          <w:tab w:val="right" w:pos="9360" w:leader="dot"/>
        </w:tabs>
        <w:spacing w:after="55" w:before="55"/>
      </w:pPr>
      <w:r>
        <w:rPr>
          <w:rFonts w:ascii="Times New Roman" w:cs="Times New Roman" w:eastAsia="Times New Roman" w:hAnsi="Times New Roman"/>
          <w:sz w:val="22"/>
          <w:szCs w:val="22"/>
        </w:rPr>
        <w:t xml:space="preserve">8. Discussion: Strategic Patterns in Process Evolution</w:t>
      </w:r>
      <w:r>
        <w:rPr>
          <w:rFonts w:ascii="Times New Roman" w:cs="Times New Roman" w:eastAsia="Times New Roman" w:hAnsi="Times New Roman"/>
          <w:sz w:val="22"/>
          <w:szCs w:val="22"/>
        </w:rPr>
        <w:t xml:space="preserve">	18</w:t>
      </w:r>
    </w:p>
    <w:p>
      <w:pPr>
        <w:tabs>
          <w:tab w:val="right" w:pos="9360" w:leader="dot"/>
        </w:tabs>
        <w:spacing w:after="55" w:before="55"/>
      </w:pPr>
      <w:r>
        <w:rPr>
          <w:rFonts w:ascii="Times New Roman" w:cs="Times New Roman" w:eastAsia="Times New Roman" w:hAnsi="Times New Roman"/>
          <w:sz w:val="22"/>
          <w:szCs w:val="22"/>
        </w:rPr>
        <w:t xml:space="preserve">9. Conclusion</w:t>
      </w:r>
      <w:r>
        <w:rPr>
          <w:rFonts w:ascii="Times New Roman" w:cs="Times New Roman" w:eastAsia="Times New Roman" w:hAnsi="Times New Roman"/>
          <w:sz w:val="22"/>
          <w:szCs w:val="22"/>
        </w:rPr>
        <w:t xml:space="preserve">	19</w:t>
      </w:r>
    </w:p>
    <w:p>
      <w:pPr>
        <w:tabs>
          <w:tab w:val="right" w:pos="9360" w:leader="dot"/>
        </w:tabs>
        <w:spacing w:after="55" w:before="55"/>
      </w:pPr>
      <w:r>
        <w:rPr>
          <w:rFonts w:ascii="Times New Roman" w:cs="Times New Roman" w:eastAsia="Times New Roman" w:hAnsi="Times New Roman"/>
          <w:sz w:val="22"/>
          <w:szCs w:val="22"/>
        </w:rPr>
        <w:t xml:space="preserve">10. References</w:t>
      </w:r>
      <w:r>
        <w:rPr>
          <w:rFonts w:ascii="Times New Roman" w:cs="Times New Roman" w:eastAsia="Times New Roman" w:hAnsi="Times New Roman"/>
          <w:sz w:val="22"/>
          <w:szCs w:val="22"/>
        </w:rPr>
        <w:t xml:space="preserve">	20</w:t>
      </w:r>
    </w:p>
    <w:p>
      <w:r>
        <w:br w:type="page"/>
      </w:r>
    </w:p>
    <w:p>
      <w:pPr>
        <w:pStyle w:val="Heading1"/>
      </w:pPr>
      <w:r>
        <w:rPr>
          <w:rFonts w:ascii="Times New Roman" w:cs="Times New Roman" w:eastAsia="Times New Roman" w:hAnsi="Times New Roman"/>
          <w:b/>
          <w:bCs/>
          <w:color w:val="4A235A"/>
          <w:sz w:val="30"/>
          <w:szCs w:val="30"/>
        </w:rPr>
        <w:t xml:space="preserve">1. Introduction and Theoretical Framework</w:t>
      </w:r>
    </w:p>
    <w:p>
      <w:pPr>
        <w:spacing w:after="100" w:before="80" w:line="340"/>
        <w:jc w:val="both"/>
      </w:pPr>
      <w:r>
        <w:rPr>
          <w:rFonts w:ascii="Times New Roman" w:cs="Times New Roman" w:eastAsia="Times New Roman" w:hAnsi="Times New Roman"/>
          <w:sz w:val="22"/>
          <w:szCs w:val="22"/>
        </w:rPr>
        <w:t xml:space="preserve">The concept of Business Process Engineering (BPE) emerged as a formal discipline in the early 1990s, most prominently articulated through the work of Thomas Davenport (Process Innovation, 1993) and Michael Hammer and James Champy (Reengineering the Corporation, 1993). At its core, BPE advocates the fundamental rethinking and radical redesign of business processes to achieve dramatic improvements in critical measures of performance, including cost, quality, service, and speed. Unlike incremental improvement frameworks such as Total Quality Management (TQM) or Six Sigma — which optimize existing processes — BPE challenges organizations to question whether their existing processes should exist in their current form at all.</w:t>
      </w:r>
    </w:p>
    <w:p>
      <w:pPr>
        <w:spacing w:after="100" w:before="80" w:line="340"/>
        <w:jc w:val="both"/>
      </w:pPr>
      <w:r>
        <w:rPr>
          <w:rFonts w:ascii="Times New Roman" w:cs="Times New Roman" w:eastAsia="Times New Roman" w:hAnsi="Times New Roman"/>
          <w:sz w:val="22"/>
          <w:szCs w:val="22"/>
        </w:rPr>
        <w:t xml:space="preserve">The intervening three decades have witnessed the evolution of BPE from a radical restructuring philosophy into a continuous strategic discipline. The proliferation of enterprise information systems in the 1990s, internet-enabled process automation in the 2000s, mobile and cloud computing in the 2010s, and artificial intelligence in the 2020s has provided successive waves of technological capability that enable each new generation of process optimization. Organizations that have systematically harnessed each of these capability waves have progressively widened their operational efficiency advantage over competitors who have lagged in process adoption.</w:t>
      </w:r>
    </w:p>
    <w:p>
      <w:pPr>
        <w:spacing w:after="100" w:before="80" w:line="340"/>
        <w:jc w:val="both"/>
      </w:pPr>
      <w:r>
        <w:rPr>
          <w:rFonts w:ascii="Times New Roman" w:cs="Times New Roman" w:eastAsia="Times New Roman" w:hAnsi="Times New Roman"/>
          <w:sz w:val="22"/>
          <w:szCs w:val="22"/>
        </w:rPr>
        <w:t xml:space="preserve">This report applies a structured Version 1 / Version 2 / Version 3 analytical framework to examine the process evolution of five corporations: Microsoft, Walmart, Tesla, Netflix, and Alibaba. These five organizations were selected to represent diverse industries — enterprise software, mass-market retail, automotive manufacturing, digital entertainment, and Asian e-commerce — thereby enabling a cross-industry analysis of process evolution patterns and principles.</w:t>
      </w:r>
    </w:p>
    <w:p>
      <w:pPr>
        <w:spacing w:after="0" w:before="80"/>
      </w:pPr>
    </w:p>
    <w:p>
      <w:pPr>
        <w:pStyle w:val="Heading2"/>
      </w:pPr>
      <w:r>
        <w:rPr>
          <w:rFonts w:ascii="Times New Roman" w:cs="Times New Roman" w:eastAsia="Times New Roman" w:hAnsi="Times New Roman"/>
          <w:b/>
          <w:bCs/>
          <w:color w:val="78281F"/>
          <w:sz w:val="26"/>
          <w:szCs w:val="26"/>
        </w:rPr>
        <w:t xml:space="preserve">1.1 Analytical Framework</w:t>
      </w:r>
    </w:p>
    <w:p>
      <w:pPr>
        <w:pStyle w:val="ListParagraph"/>
        <w:numPr>
          <w:ilvl w:val="0"/>
          <w:numId w:val="2"/>
        </w:numPr>
        <w:spacing w:after="55" w:before="55" w:line="300"/>
      </w:pPr>
      <w:r>
        <w:rPr>
          <w:rFonts w:ascii="Times New Roman" w:cs="Times New Roman" w:eastAsia="Times New Roman" w:hAnsi="Times New Roman"/>
          <w:b/>
          <w:bCs/>
          <w:sz w:val="22"/>
          <w:szCs w:val="22"/>
        </w:rPr>
        <w:t xml:space="preserve">Version 1 (Initial Design): </w:t>
      </w:r>
      <w:r>
        <w:rPr>
          <w:rFonts w:ascii="Times New Roman" w:cs="Times New Roman" w:eastAsia="Times New Roman" w:hAnsi="Times New Roman"/>
          <w:sz w:val="22"/>
          <w:szCs w:val="22"/>
        </w:rPr>
        <w:t xml:space="preserve">The original process architecture — its core activities, enabling technologies, organizational structures, and inherent performance limitations.</w:t>
      </w:r>
    </w:p>
    <w:p>
      <w:pPr>
        <w:pStyle w:val="ListParagraph"/>
        <w:numPr>
          <w:ilvl w:val="0"/>
          <w:numId w:val="2"/>
        </w:numPr>
        <w:spacing w:after="55" w:before="55" w:line="300"/>
      </w:pPr>
      <w:r>
        <w:rPr>
          <w:rFonts w:ascii="Times New Roman" w:cs="Times New Roman" w:eastAsia="Times New Roman" w:hAnsi="Times New Roman"/>
          <w:b/>
          <w:bCs/>
          <w:sz w:val="22"/>
          <w:szCs w:val="22"/>
        </w:rPr>
        <w:t xml:space="preserve">Version 2 (Enhanced Process): </w:t>
      </w:r>
      <w:r>
        <w:rPr>
          <w:rFonts w:ascii="Times New Roman" w:cs="Times New Roman" w:eastAsia="Times New Roman" w:hAnsi="Times New Roman"/>
          <w:sz w:val="22"/>
          <w:szCs w:val="22"/>
        </w:rPr>
        <w:t xml:space="preserve">The first major re-engineering cycle — the catalysts for change, the improvements introduced, and the performance gains realized through systematization and early technology adoption.</w:t>
      </w:r>
    </w:p>
    <w:p>
      <w:pPr>
        <w:pStyle w:val="ListParagraph"/>
        <w:numPr>
          <w:ilvl w:val="0"/>
          <w:numId w:val="2"/>
        </w:numPr>
        <w:spacing w:after="55" w:before="55" w:line="300"/>
      </w:pPr>
      <w:r>
        <w:rPr>
          <w:rFonts w:ascii="Times New Roman" w:cs="Times New Roman" w:eastAsia="Times New Roman" w:hAnsi="Times New Roman"/>
          <w:b/>
          <w:bCs/>
          <w:sz w:val="22"/>
          <w:szCs w:val="22"/>
        </w:rPr>
        <w:t xml:space="preserve">Version 3 (Optimized Process): </w:t>
      </w:r>
      <w:r>
        <w:rPr>
          <w:rFonts w:ascii="Times New Roman" w:cs="Times New Roman" w:eastAsia="Times New Roman" w:hAnsi="Times New Roman"/>
          <w:sz w:val="22"/>
          <w:szCs w:val="22"/>
        </w:rPr>
        <w:t xml:space="preserve">The advanced, technology-driven optimization — typically characterized by automation, AI integration, real-time data analytics, and self-improving system capabilities.</w:t>
      </w:r>
    </w:p>
    <w:p>
      <w:pPr>
        <w:spacing w:after="0" w:before="80"/>
      </w:pPr>
    </w:p>
    <w:p>
      <w:pPr>
        <w:pStyle w:val="Heading2"/>
      </w:pPr>
      <w:r>
        <w:rPr>
          <w:rFonts w:ascii="Times New Roman" w:cs="Times New Roman" w:eastAsia="Times New Roman" w:hAnsi="Times New Roman"/>
          <w:b/>
          <w:bCs/>
          <w:color w:val="78281F"/>
          <w:sz w:val="26"/>
          <w:szCs w:val="26"/>
        </w:rPr>
        <w:t xml:space="preserve">1.2 Scope and Limitations</w:t>
      </w:r>
    </w:p>
    <w:p>
      <w:pPr>
        <w:spacing w:after="100" w:before="80" w:line="340"/>
        <w:jc w:val="both"/>
      </w:pPr>
      <w:r>
        <w:rPr>
          <w:rFonts w:ascii="Times New Roman" w:cs="Times New Roman" w:eastAsia="Times New Roman" w:hAnsi="Times New Roman"/>
          <w:sz w:val="22"/>
          <w:szCs w:val="22"/>
        </w:rPr>
        <w:t xml:space="preserve">This analysis draws exclusively on publicly available information including corporate disclosures, academic case studies, industry analyst reports, and reputable business journalism. Process performance data is reported as documented in secondary sources; proprietary internal metrics not disclosed by the companies themselves are not speculated upon. The Version 1 / 2 / 3 framework is an analytical construct applied by this study and does not necessarily correspond to terminology used by the companies themselves.</w:t>
      </w:r>
    </w:p>
    <w:p>
      <w:r>
        <w:br w:type="page"/>
      </w:r>
    </w:p>
    <w:p>
      <w:pPr>
        <w:pStyle w:val="Heading1"/>
      </w:pPr>
      <w:r>
        <w:rPr>
          <w:rFonts w:ascii="Times New Roman" w:cs="Times New Roman" w:eastAsia="Times New Roman" w:hAnsi="Times New Roman"/>
          <w:b/>
          <w:bCs/>
          <w:color w:val="4A235A"/>
          <w:sz w:val="30"/>
          <w:szCs w:val="30"/>
        </w:rPr>
        <w:t xml:space="preserve">2. Corporation 1: Microsoft Corporation</w:t>
      </w:r>
    </w:p>
    <w:p>
      <w:pPr>
        <w:spacing w:after="100" w:before="80" w:line="340"/>
        <w:jc w:val="both"/>
      </w:pPr>
      <w:r>
        <w:rPr>
          <w:rFonts w:ascii="Times New Roman" w:cs="Times New Roman" w:eastAsia="Times New Roman" w:hAnsi="Times New Roman"/>
          <w:sz w:val="22"/>
          <w:szCs w:val="22"/>
        </w:rPr>
        <w:t xml:space="preserve">Founded in 1975 by Bill Gates and Paul Allen, Microsoft grew to dominate the personal computing era through its Windows operating system and Office productivity suite. Under Satya Nadella's transformational leadership since 2014, the company has executed one of the most successful corporate reinventions in technology history — shifting from a product-centric software vendor to a cloud-first, AI-powered platform company. With annual revenues surpassing $240 billion and a market capitalization exceeding $3 trillion, Microsoft's process evolution journey illustrates how established incumbents can successfully re-engineer their core processes to achieve renewed competitive dominance in a fundamentally changed industry landscape.</w:t>
      </w:r>
    </w:p>
    <w:p>
      <w:pPr>
        <w:pStyle w:val="Heading2"/>
      </w:pPr>
      <w:r>
        <w:rPr>
          <w:rFonts w:ascii="Times New Roman" w:cs="Times New Roman" w:eastAsia="Times New Roman" w:hAnsi="Times New Roman"/>
          <w:b/>
          <w:bCs/>
          <w:color w:val="78281F"/>
          <w:sz w:val="26"/>
          <w:szCs w:val="26"/>
        </w:rPr>
        <w:t xml:space="preserve">2.1 Process 1: Software Development &amp; Delivery Process</w:t>
      </w:r>
    </w:p>
    <w:p>
      <w:pPr>
        <w:pStyle w:val="Heading3"/>
      </w:pPr>
      <w:r>
        <w:rPr>
          <w:rFonts w:ascii="Times New Roman" w:cs="Times New Roman" w:eastAsia="Times New Roman" w:hAnsi="Times New Roman"/>
          <w:b/>
          <w:bCs/>
          <w:color w:val="154360"/>
          <w:sz w:val="24"/>
          <w:szCs w:val="24"/>
        </w:rPr>
        <w:t xml:space="preserve">2.1.1 Version 1 — Waterfall Development with Shrink-Wrapped Releases (1975–2000)</w:t>
      </w:r>
    </w:p>
    <w:p>
      <w:pPr>
        <w:spacing w:after="100" w:before="80" w:line="340"/>
        <w:jc w:val="both"/>
      </w:pPr>
      <w:r>
        <w:rPr>
          <w:rFonts w:ascii="Times New Roman" w:cs="Times New Roman" w:eastAsia="Times New Roman" w:hAnsi="Times New Roman"/>
          <w:sz w:val="22"/>
          <w:szCs w:val="22"/>
        </w:rPr>
        <w:t xml:space="preserve">Microsoft's original software development process followed a classical waterfall methodology: requirements definition, high-level design, detailed design, coding, integration testing, and product release — executed sequentially with major releases shipped every three to five years on physical media. Teams operated in functional silos; development, testing, and documentation departments worked largely independently with significant handoff inefficiencies between phases. The most visible symptom of this model's dysfunction was the catastrophic development of Windows Vista — a project that consumed five years of effort, involved thousands of developers working with inadequate coordination mechanisms, and resulted in a product widely regarded as commercially and technically disappointing. The long release cycle also meant that bugs discovered after shipment could not be corrected until the next major release, leaving customers exposed to known vulnerabilities for years.</w:t>
      </w:r>
    </w:p>
    <w:p>
      <w:pPr>
        <w:pStyle w:val="ListParagraph"/>
        <w:numPr>
          <w:ilvl w:val="0"/>
          <w:numId w:val="3"/>
        </w:numPr>
        <w:spacing w:after="55" w:before="55" w:line="300"/>
      </w:pPr>
      <w:r>
        <w:rPr>
          <w:rFonts w:ascii="Times New Roman" w:cs="Times New Roman" w:eastAsia="Times New Roman" w:hAnsi="Times New Roman"/>
          <w:b/>
          <w:bCs/>
          <w:sz w:val="22"/>
          <w:szCs w:val="22"/>
        </w:rPr>
        <w:t xml:space="preserve">Primary Constraints: </w:t>
      </w:r>
      <w:r>
        <w:rPr>
          <w:rFonts w:ascii="Times New Roman" w:cs="Times New Roman" w:eastAsia="Times New Roman" w:hAnsi="Times New Roman"/>
          <w:sz w:val="22"/>
          <w:szCs w:val="22"/>
        </w:rPr>
        <w:t xml:space="preserve">Multi-year release cycles, physical distribution dependency, post-shipment bug persistence, functional silos, inability to rapidly respond to competitive threats.</w:t>
      </w:r>
    </w:p>
    <w:p>
      <w:pPr>
        <w:pStyle w:val="Heading3"/>
      </w:pPr>
      <w:r>
        <w:rPr>
          <w:rFonts w:ascii="Times New Roman" w:cs="Times New Roman" w:eastAsia="Times New Roman" w:hAnsi="Times New Roman"/>
          <w:b/>
          <w:bCs/>
          <w:color w:val="154360"/>
          <w:sz w:val="24"/>
          <w:szCs w:val="24"/>
        </w:rPr>
        <w:t xml:space="preserve">2.1.2 Version 2 — Agile Transition &amp; Digital Distribution (2000–2014)</w:t>
      </w:r>
    </w:p>
    <w:p>
      <w:pPr>
        <w:spacing w:after="100" w:before="80" w:line="340"/>
        <w:jc w:val="both"/>
      </w:pPr>
      <w:r>
        <w:rPr>
          <w:rFonts w:ascii="Times New Roman" w:cs="Times New Roman" w:eastAsia="Times New Roman" w:hAnsi="Times New Roman"/>
          <w:sz w:val="22"/>
          <w:szCs w:val="22"/>
        </w:rPr>
        <w:t xml:space="preserve">Under Ray Ozzie's influence and in response to the rise of open-source software and web-based competitors, Microsoft began adopting Agile and Scrum methodologies. Development teams were reorganized into smaller, cross-functional squads with shorter sprint cycles of two to four weeks. Windows Update enabled the continuous delivery of security patches and incremental improvements outside the major release cycle for the first time. The introduction of the Microsoft Application Store and digital distribution of Office products eliminated physical media dependency, allowing instant global distribution at effectively zero marginal distribution cost. Test-driven development (TDD) practices reduced regression defect rates significantly.</w:t>
      </w:r>
    </w:p>
    <w:p>
      <w:pPr>
        <w:pStyle w:val="ListParagraph"/>
        <w:numPr>
          <w:ilvl w:val="0"/>
          <w:numId w:val="4"/>
        </w:numPr>
        <w:spacing w:after="55" w:before="55" w:line="300"/>
      </w:pPr>
      <w:r>
        <w:rPr>
          <w:rFonts w:ascii="Times New Roman" w:cs="Times New Roman" w:eastAsia="Times New Roman" w:hAnsi="Times New Roman"/>
          <w:b/>
          <w:bCs/>
          <w:sz w:val="22"/>
          <w:szCs w:val="22"/>
        </w:rPr>
        <w:t xml:space="preserve">Key Improvements: </w:t>
      </w:r>
      <w:r>
        <w:rPr>
          <w:rFonts w:ascii="Times New Roman" w:cs="Times New Roman" w:eastAsia="Times New Roman" w:hAnsi="Times New Roman"/>
          <w:sz w:val="22"/>
          <w:szCs w:val="22"/>
        </w:rPr>
        <w:t xml:space="preserve">Agile sprint cycles (2–4 weeks), Windows Update continuous patching, digital distribution, TDD adoption, cross-functional squads.</w:t>
      </w:r>
    </w:p>
    <w:p>
      <w:pPr>
        <w:pStyle w:val="Heading3"/>
      </w:pPr>
      <w:r>
        <w:rPr>
          <w:rFonts w:ascii="Times New Roman" w:cs="Times New Roman" w:eastAsia="Times New Roman" w:hAnsi="Times New Roman"/>
          <w:b/>
          <w:bCs/>
          <w:color w:val="154360"/>
          <w:sz w:val="24"/>
          <w:szCs w:val="24"/>
        </w:rPr>
        <w:t xml:space="preserve">2.1.3 Version 3 — Continuous Delivery with AI-Assisted Development (2014–Present)</w:t>
      </w:r>
    </w:p>
    <w:p>
      <w:pPr>
        <w:spacing w:after="100" w:before="80" w:line="340"/>
        <w:jc w:val="both"/>
      </w:pPr>
      <w:r>
        <w:rPr>
          <w:rFonts w:ascii="Times New Roman" w:cs="Times New Roman" w:eastAsia="Times New Roman" w:hAnsi="Times New Roman"/>
          <w:sz w:val="22"/>
          <w:szCs w:val="22"/>
        </w:rPr>
        <w:t xml:space="preserve">Satya Nadella's "mobile-first, cloud-first" transformation introduced DevOps culture and continuous integration/continuous deployment (CI/CD) pipelines across Microsoft's engineering organization. Windows 10 and 11 are delivered as "Windows as a Service" — a continuously updated platform with feature releases multiple times per year rather than multi-year major versions. Microsoft's acquisition of GitHub (2018) and the development of GitHub Copilot (powered by OpenAI Codex) has introduced AI-assisted coding into both Microsoft's internal development processes and the global developer ecosystem. Developers using Copilot complete tasks up to 55% faster, with measurable improvements in code quality and test coverage. Azure DevOps provides an end-to-end platform for planning, developing, testing, and deploying software with full audit traceability.</w:t>
      </w:r>
    </w:p>
    <w:p>
      <w:pPr>
        <w:pStyle w:val="ListParagraph"/>
        <w:numPr>
          <w:ilvl w:val="0"/>
          <w:numId w:val="5"/>
        </w:numPr>
        <w:spacing w:after="55" w:before="55" w:line="300"/>
      </w:pPr>
      <w:r>
        <w:rPr>
          <w:rFonts w:ascii="Times New Roman" w:cs="Times New Roman" w:eastAsia="Times New Roman" w:hAnsi="Times New Roman"/>
          <w:b/>
          <w:bCs/>
          <w:sz w:val="22"/>
          <w:szCs w:val="22"/>
        </w:rPr>
        <w:t xml:space="preserve">Key Advancements: </w:t>
      </w:r>
      <w:r>
        <w:rPr>
          <w:rFonts w:ascii="Times New Roman" w:cs="Times New Roman" w:eastAsia="Times New Roman" w:hAnsi="Times New Roman"/>
          <w:sz w:val="22"/>
          <w:szCs w:val="22"/>
        </w:rPr>
        <w:t xml:space="preserve">CI/CD pipelines, Windows-as-a-Service, GitHub Copilot AI assistance, Azure DevOps, 55% productivity improvement, continuous multi-platform releases.</w:t>
      </w:r>
    </w:p>
    <w:p>
      <w:pPr>
        <w:spacing w:after="0" w:before="120"/>
      </w:pPr>
    </w:p>
    <w:p>
      <w:pPr>
        <w:spacing w:after="80" w:before="80"/>
        <w:jc w:val="center"/>
      </w:pPr>
      <w:r>
        <w:rPr>
          <w:rFonts w:ascii="Times New Roman" w:cs="Times New Roman" w:eastAsia="Times New Roman" w:hAnsi="Times New Roman"/>
          <w:b/>
          <w:bCs/>
          <w:i/>
          <w:iCs/>
          <w:color w:val="4A235A"/>
          <w:sz w:val="22"/>
          <w:szCs w:val="22"/>
        </w:rPr>
        <w:t xml:space="preserve">Table 1: Microsoft Software Development Process — Three-Version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7B3F00" w:sz="4"/>
              <w:left w:val="single" w:color="7B3F00" w:sz="4"/>
              <w:bottom w:val="single" w:color="7B3F00" w:sz="4"/>
              <w:right w:val="single" w:color="7B3F00" w:sz="4"/>
            </w:tcBorders>
            <w:shd w:fill="4A235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Dimension</w:t>
            </w:r>
          </w:p>
        </w:tc>
        <w:tc>
          <w:tcPr>
            <w:tcW w:type="dxa" w:w="2400"/>
            <w:tcBorders>
              <w:top w:val="single" w:color="7B3F00" w:sz="4"/>
              <w:left w:val="single" w:color="7B3F00" w:sz="4"/>
              <w:bottom w:val="single" w:color="7B3F00" w:sz="4"/>
              <w:right w:val="single" w:color="7B3F00" w:sz="4"/>
            </w:tcBorders>
            <w:shd w:fill="78281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1 (Initial)</w:t>
            </w:r>
          </w:p>
        </w:tc>
        <w:tc>
          <w:tcPr>
            <w:tcW w:type="dxa" w:w="2400"/>
            <w:tcBorders>
              <w:top w:val="single" w:color="7B3F00" w:sz="4"/>
              <w:left w:val="single" w:color="7B3F00" w:sz="4"/>
              <w:bottom w:val="single" w:color="7B3F00" w:sz="4"/>
              <w:right w:val="single" w:color="7B3F00" w:sz="4"/>
            </w:tcBorders>
            <w:shd w:fill="15436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2 (Enhanced)</w:t>
            </w:r>
          </w:p>
        </w:tc>
        <w:tc>
          <w:tcPr>
            <w:tcW w:type="dxa" w:w="2400"/>
            <w:tcBorders>
              <w:top w:val="single" w:color="7B3F00" w:sz="4"/>
              <w:left w:val="single" w:color="7B3F00" w:sz="4"/>
              <w:bottom w:val="single" w:color="7B3F00" w:sz="4"/>
              <w:right w:val="single" w:color="7B3F00" w:sz="4"/>
            </w:tcBorders>
            <w:shd w:fill="0E6655"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3 (Optimized)</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Release Frequency</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Every 3–5 years (major only)</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Annual + monthly patches</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(weekly micro-releases)</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Development Method</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Waterfall / sequential silos</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Agile / Scrum sprints</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DevOps / CI-CD + AI-assisted</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Distribution Channel</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Physical media (retail)</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Digital download (partial)</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Cloud-native / instant global</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Bug Response Time</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Years (next major release)</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Days–weeks (Windows Update)</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Hours (automated hotfix pipeline)</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AI Integration</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None</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Minimal (autocomplete IDEs)</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GitHub Copilot (55% faster coding)</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Team Structure</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Large functional departments</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Cross-functional squads</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Autonomous product feature teams</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Customer Feedback Loop</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Post-release surveys</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Beta programs (limited)</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Real-time telemetry + A/B testing</w:t>
            </w:r>
          </w:p>
        </w:tc>
      </w:tr>
    </w:tbl>
    <w:p>
      <w:pPr>
        <w:spacing w:after="0" w:before="160"/>
      </w:pPr>
    </w:p>
    <w:p>
      <w:pPr>
        <w:pStyle w:val="Heading2"/>
      </w:pPr>
      <w:r>
        <w:rPr>
          <w:rFonts w:ascii="Times New Roman" w:cs="Times New Roman" w:eastAsia="Times New Roman" w:hAnsi="Times New Roman"/>
          <w:b/>
          <w:bCs/>
          <w:color w:val="78281F"/>
          <w:sz w:val="26"/>
          <w:szCs w:val="26"/>
        </w:rPr>
        <w:t xml:space="preserve">2.2 Process 2: Cloud Service Provisioning Process</w:t>
      </w:r>
    </w:p>
    <w:p>
      <w:pPr>
        <w:pStyle w:val="Heading3"/>
      </w:pPr>
      <w:r>
        <w:rPr>
          <w:rFonts w:ascii="Times New Roman" w:cs="Times New Roman" w:eastAsia="Times New Roman" w:hAnsi="Times New Roman"/>
          <w:b/>
          <w:bCs/>
          <w:color w:val="154360"/>
          <w:sz w:val="24"/>
          <w:szCs w:val="24"/>
        </w:rPr>
        <w:t xml:space="preserve">2.2.1 Version 1 — On-Premises Server Licensing (Pre-2008)</w:t>
      </w:r>
    </w:p>
    <w:p>
      <w:pPr>
        <w:spacing w:after="100" w:before="80" w:line="340"/>
        <w:jc w:val="both"/>
      </w:pPr>
      <w:r>
        <w:rPr>
          <w:rFonts w:ascii="Times New Roman" w:cs="Times New Roman" w:eastAsia="Times New Roman" w:hAnsi="Times New Roman"/>
          <w:sz w:val="22"/>
          <w:szCs w:val="22"/>
        </w:rPr>
        <w:t xml:space="preserve">Prior to Microsoft Azure, enterprise customers who wanted Microsoft server software — SQL Server, Exchange, SharePoint, Active Directory — purchased perpetual software licenses, procured physical server hardware, hired specialist IT staff, and managed all infrastructure in their own data centers. Provisioning a new server environment typically required 6–18 weeks of hardware procurement, physical installation, software configuration, and security hardening. Capital expenditure requirements were substantial, creating significant barriers for smaller organizations and making IT infrastructure a major financial burden. Scalability required additional hardware purchases and installation cycles, meaning businesses routinely over-provisioned to handle peak loads, wasting significant capital on idle capacity.</w:t>
      </w:r>
    </w:p>
    <w:p>
      <w:pPr>
        <w:pStyle w:val="Heading3"/>
      </w:pPr>
      <w:r>
        <w:rPr>
          <w:rFonts w:ascii="Times New Roman" w:cs="Times New Roman" w:eastAsia="Times New Roman" w:hAnsi="Times New Roman"/>
          <w:b/>
          <w:bCs/>
          <w:color w:val="154360"/>
          <w:sz w:val="24"/>
          <w:szCs w:val="24"/>
        </w:rPr>
        <w:t xml:space="preserve">2.2.2 Version 2 — Azure Cloud Infrastructure-as-a-Service (2008–2017)</w:t>
      </w:r>
    </w:p>
    <w:p>
      <w:pPr>
        <w:spacing w:after="100" w:before="80" w:line="340"/>
        <w:jc w:val="both"/>
      </w:pPr>
      <w:r>
        <w:rPr>
          <w:rFonts w:ascii="Times New Roman" w:cs="Times New Roman" w:eastAsia="Times New Roman" w:hAnsi="Times New Roman"/>
          <w:sz w:val="22"/>
          <w:szCs w:val="22"/>
        </w:rPr>
        <w:t xml:space="preserve">Microsoft launched Azure in 2008, transitioning from selling perpetual software licenses to selling computing capacity as a subscription service. Customers could provision virtual machines, storage, and networking resources within hours rather than weeks, paying only for resources actually consumed. The shift from capital expenditure (CapEx) to operational expenditure (OpEx) was transformational for enterprise IT budgeting. Azure's global network of data centers — expanding from 8 regions in 2010 to over 60 regions today — provided enterprise-grade reliability and geographic redundancy that on-premises deployments could rarely match. Microsoft's internal engineering teams also migrated their own development and testing infrastructure to Azure, consuming and validating the platform simultaneously.</w:t>
      </w:r>
    </w:p>
    <w:p>
      <w:pPr>
        <w:pStyle w:val="Heading3"/>
      </w:pPr>
      <w:r>
        <w:rPr>
          <w:rFonts w:ascii="Times New Roman" w:cs="Times New Roman" w:eastAsia="Times New Roman" w:hAnsi="Times New Roman"/>
          <w:b/>
          <w:bCs/>
          <w:color w:val="154360"/>
          <w:sz w:val="24"/>
          <w:szCs w:val="24"/>
        </w:rPr>
        <w:t xml:space="preserve">2.2.3 Version 3 — Intelligent Cloud with AI-Native Services (2017–Present)</w:t>
      </w:r>
    </w:p>
    <w:p>
      <w:pPr>
        <w:spacing w:after="100" w:before="80" w:line="340"/>
        <w:jc w:val="both"/>
      </w:pPr>
      <w:r>
        <w:rPr>
          <w:rFonts w:ascii="Times New Roman" w:cs="Times New Roman" w:eastAsia="Times New Roman" w:hAnsi="Times New Roman"/>
          <w:sz w:val="22"/>
          <w:szCs w:val="22"/>
        </w:rPr>
        <w:t xml:space="preserve">Azure's Version 3 evolution is characterized by the deep integration of AI and machine learning services directly into the cloud platform. Azure OpenAI Service, Azure Machine Learning, Azure Cognitive Services, and Microsoft Copilot for Microsoft 365 collectively represent a new category of AI-native cloud offerings. Customers can now provision sophisticated AI capabilities — natural language processing, computer vision, generative AI — with the same elasticity and pay-per-use economics as basic compute infrastructure. Azure Arc enables hybrid and multi-cloud management, and Azure Automanage uses AI to automatically optimize server configurations for cost, performance, and security. Microsoft's Intelligent Data Platform unifies data storage, analytics, and AI model training into a single governed environment. Azure revenue has grown from approximately $3 billion in 2016 to over $100 billion in 2024, reflecting the transformative commercial impact of this process evolution.</w:t>
      </w:r>
    </w:p>
    <w:p>
      <w:pPr>
        <w:spacing w:after="0" w:before="120"/>
      </w:pPr>
    </w:p>
    <w:p>
      <w:pPr>
        <w:spacing w:after="80" w:before="80"/>
        <w:jc w:val="center"/>
      </w:pPr>
      <w:r>
        <w:rPr>
          <w:rFonts w:ascii="Times New Roman" w:cs="Times New Roman" w:eastAsia="Times New Roman" w:hAnsi="Times New Roman"/>
          <w:b/>
          <w:bCs/>
          <w:i/>
          <w:iCs/>
          <w:color w:val="4A235A"/>
          <w:sz w:val="22"/>
          <w:szCs w:val="22"/>
        </w:rPr>
        <w:t xml:space="preserve">Table 2: Microsoft Cloud Provisioning Process — Three-Version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7B3F00" w:sz="4"/>
              <w:left w:val="single" w:color="7B3F00" w:sz="4"/>
              <w:bottom w:val="single" w:color="7B3F00" w:sz="4"/>
              <w:right w:val="single" w:color="7B3F00" w:sz="4"/>
            </w:tcBorders>
            <w:shd w:fill="4A235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Dimension</w:t>
            </w:r>
          </w:p>
        </w:tc>
        <w:tc>
          <w:tcPr>
            <w:tcW w:type="dxa" w:w="2400"/>
            <w:tcBorders>
              <w:top w:val="single" w:color="7B3F00" w:sz="4"/>
              <w:left w:val="single" w:color="7B3F00" w:sz="4"/>
              <w:bottom w:val="single" w:color="7B3F00" w:sz="4"/>
              <w:right w:val="single" w:color="7B3F00" w:sz="4"/>
            </w:tcBorders>
            <w:shd w:fill="78281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1 (Initial)</w:t>
            </w:r>
          </w:p>
        </w:tc>
        <w:tc>
          <w:tcPr>
            <w:tcW w:type="dxa" w:w="2400"/>
            <w:tcBorders>
              <w:top w:val="single" w:color="7B3F00" w:sz="4"/>
              <w:left w:val="single" w:color="7B3F00" w:sz="4"/>
              <w:bottom w:val="single" w:color="7B3F00" w:sz="4"/>
              <w:right w:val="single" w:color="7B3F00" w:sz="4"/>
            </w:tcBorders>
            <w:shd w:fill="15436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2 (Enhanced)</w:t>
            </w:r>
          </w:p>
        </w:tc>
        <w:tc>
          <w:tcPr>
            <w:tcW w:type="dxa" w:w="2400"/>
            <w:tcBorders>
              <w:top w:val="single" w:color="7B3F00" w:sz="4"/>
              <w:left w:val="single" w:color="7B3F00" w:sz="4"/>
              <w:bottom w:val="single" w:color="7B3F00" w:sz="4"/>
              <w:right w:val="single" w:color="7B3F00" w:sz="4"/>
            </w:tcBorders>
            <w:shd w:fill="0E6655"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3 (Optimized)</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Infrastructure Model</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On-premises owned hardware</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Cloud IaaS/PaaS (Azure)</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AI-native intelligent cloud</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Provisioning Time</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6–18 weeks</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Hours (self-service portal)</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Minutes (automated, AI-optimized)</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Cost Model</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Large CapEx (fixed cost)</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OpEx (pay per use)</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Optimized OpEx (AI cost management)</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Scalability</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Manual hardware purchase</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Elastic (minutes)</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Instant auto-scaling with prediction</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AI Capabilities</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None</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Basic ML tools (add-on)</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Native AI services (OpenAI, Copilot)</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Global Reach</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Customer's own facilities</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60+ Azure regions</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60+ regions + edge/hybrid (Arc)</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Revenue (Cloud)</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~$3B (2016)</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$100B+ (2024)</w:t>
            </w:r>
          </w:p>
        </w:tc>
      </w:tr>
    </w:tbl>
    <w:p>
      <w:pPr>
        <w:spacing w:after="0" w:before="160"/>
      </w:pPr>
    </w:p>
    <w:p>
      <w:pPr>
        <w:pStyle w:val="Heading2"/>
      </w:pPr>
      <w:r>
        <w:rPr>
          <w:rFonts w:ascii="Times New Roman" w:cs="Times New Roman" w:eastAsia="Times New Roman" w:hAnsi="Times New Roman"/>
          <w:b/>
          <w:bCs/>
          <w:color w:val="78281F"/>
          <w:sz w:val="26"/>
          <w:szCs w:val="26"/>
        </w:rPr>
        <w:t xml:space="preserve">2.3 Process 3: Enterprise Sales Process</w:t>
      </w:r>
    </w:p>
    <w:p>
      <w:pPr>
        <w:spacing w:after="100" w:before="80" w:line="340"/>
        <w:jc w:val="both"/>
      </w:pPr>
      <w:r>
        <w:rPr>
          <w:rFonts w:ascii="Times New Roman" w:cs="Times New Roman" w:eastAsia="Times New Roman" w:hAnsi="Times New Roman"/>
          <w:sz w:val="22"/>
          <w:szCs w:val="22"/>
        </w:rPr>
        <w:t xml:space="preserve">Version 1 (pre-2000) relied on a transactional, product-push sales model — Microsoft's field sales force sold boxed software licenses through volume licensing agreements with minimal consultative engagement. Success metrics were units sold and revenue per account; long-term customer outcomes were not tracked. Version 2 (2000–2014) introduced the Microsoft Enterprise Agreement — a multi-year subscription encompassing multiple product families — alongside dedicated Technical Account Managers (TAMs) who provided ongoing advisory support. Customer Success became a recognized function. Version 3 (2014–present) has transformed Microsoft's enterprise sales into a solution-oriented, outcome-based model driven by Azure and Microsoft 365 consumption data. AI tools analyze customer usage patterns to identify expansion opportunities, predict churn risk, and recommend next best actions for account teams. The shift from selling licenses to selling business outcomes — measured in cloud consumption growth — has fundamentally realigned sales incentives and customer relationships, contributing to Microsoft's Net Promoter Score increasing from below 30 to above 60 under Nadella's leadership.</w:t>
      </w:r>
    </w:p>
    <w:p>
      <w:r>
        <w:br w:type="page"/>
      </w:r>
    </w:p>
    <w:p>
      <w:pPr>
        <w:pStyle w:val="Heading1"/>
      </w:pPr>
      <w:r>
        <w:rPr>
          <w:rFonts w:ascii="Times New Roman" w:cs="Times New Roman" w:eastAsia="Times New Roman" w:hAnsi="Times New Roman"/>
          <w:b/>
          <w:bCs/>
          <w:color w:val="4A235A"/>
          <w:sz w:val="30"/>
          <w:szCs w:val="30"/>
        </w:rPr>
        <w:t xml:space="preserve">3. Corporation 2: Walmart Inc.</w:t>
      </w:r>
    </w:p>
    <w:p>
      <w:pPr>
        <w:spacing w:after="100" w:before="80" w:line="340"/>
        <w:jc w:val="both"/>
      </w:pPr>
      <w:r>
        <w:rPr>
          <w:rFonts w:ascii="Times New Roman" w:cs="Times New Roman" w:eastAsia="Times New Roman" w:hAnsi="Times New Roman"/>
          <w:sz w:val="22"/>
          <w:szCs w:val="22"/>
        </w:rPr>
        <w:t xml:space="preserve">Founded by Sam Walton in 1962 in Rogers, Arkansas, Walmart has grown into the world's largest company by revenue, generating over $650 billion annually and employing approximately 2.1 million people across 10,500 stores in 24 countries. Walmart's foundational competitive advantage has always been operational efficiency — the systematic elimination of cost from the retail supply chain in order to deliver the lowest prices to customers. Sam Walton's original insight — that a retailer who controlled its supply chain and distribution network more efficiently than competitors could sustainably undercut their prices — has been validated repeatedly across six decades of business history. The company's process evolution, particularly in supply chain management, has consistently set industry benchmarks that competitors have struggled to match.</w:t>
      </w:r>
    </w:p>
    <w:p>
      <w:pPr>
        <w:pStyle w:val="Heading2"/>
      </w:pPr>
      <w:r>
        <w:rPr>
          <w:rFonts w:ascii="Times New Roman" w:cs="Times New Roman" w:eastAsia="Times New Roman" w:hAnsi="Times New Roman"/>
          <w:b/>
          <w:bCs/>
          <w:color w:val="78281F"/>
          <w:sz w:val="26"/>
          <w:szCs w:val="26"/>
        </w:rPr>
        <w:t xml:space="preserve">3.1 Process 1: Retail Supply Chain Process</w:t>
      </w:r>
    </w:p>
    <w:p>
      <w:pPr>
        <w:pStyle w:val="Heading3"/>
      </w:pPr>
      <w:r>
        <w:rPr>
          <w:rFonts w:ascii="Times New Roman" w:cs="Times New Roman" w:eastAsia="Times New Roman" w:hAnsi="Times New Roman"/>
          <w:b/>
          <w:bCs/>
          <w:color w:val="154360"/>
          <w:sz w:val="24"/>
          <w:szCs w:val="24"/>
        </w:rPr>
        <w:t xml:space="preserve">3.1.1 Version 1 — Vendor-Managed, Relationship-Based Supply Chain (1962–1983)</w:t>
      </w:r>
    </w:p>
    <w:p>
      <w:pPr>
        <w:spacing w:after="100" w:before="80" w:line="340"/>
        <w:jc w:val="both"/>
      </w:pPr>
      <w:r>
        <w:rPr>
          <w:rFonts w:ascii="Times New Roman" w:cs="Times New Roman" w:eastAsia="Times New Roman" w:hAnsi="Times New Roman"/>
          <w:sz w:val="22"/>
          <w:szCs w:val="22"/>
        </w:rPr>
        <w:t xml:space="preserve">Walmart's early supply chain relied on traditional retail wholesale relationships — the company purchased merchandise from distributors and wholesalers who served as intermediaries between manufacturers and retailers. Purchasing decisions were made by buyers with significant autonomy and limited data support, based primarily on vendor relationships, trade show presentations, and intuition. Inventory was managed through periodic physical counts, and replenishment orders were placed by store managers based on visual inspection of shelf levels. Distribution was handled by third-party trucking companies with no real-time tracking capability. The result was significant supply chain inefficiency — high wholesale margins paid to intermediaries, frequent stockouts and overstock situations, poor vendor accountability, and limited ability to respond to demand fluctuations.</w:t>
      </w:r>
    </w:p>
    <w:p>
      <w:pPr>
        <w:pStyle w:val="Heading3"/>
      </w:pPr>
      <w:r>
        <w:rPr>
          <w:rFonts w:ascii="Times New Roman" w:cs="Times New Roman" w:eastAsia="Times New Roman" w:hAnsi="Times New Roman"/>
          <w:b/>
          <w:bCs/>
          <w:color w:val="154360"/>
          <w:sz w:val="24"/>
          <w:szCs w:val="24"/>
        </w:rPr>
        <w:t xml:space="preserve">3.1.2 Version 2 — Direct Sourcing, Private Satellite Network &amp; EDI (1983–2005)</w:t>
      </w:r>
    </w:p>
    <w:p>
      <w:pPr>
        <w:spacing w:after="100" w:before="80" w:line="340"/>
        <w:jc w:val="both"/>
      </w:pPr>
      <w:r>
        <w:rPr>
          <w:rFonts w:ascii="Times New Roman" w:cs="Times New Roman" w:eastAsia="Times New Roman" w:hAnsi="Times New Roman"/>
          <w:sz w:val="22"/>
          <w:szCs w:val="22"/>
        </w:rPr>
        <w:t xml:space="preserve">Walmart's Version 2 supply chain transformation was driven by two revolutionary investments: the construction of a private satellite communication network (1983) that connected all stores directly to Bentonville headquarters and suppliers, and the elimination of wholesaler intermediaries through direct manufacturer sourcing. Electronic Data Interchange (EDI) allowed real-time sharing of point-of-sale data with key suppliers, enabling them to monitor Walmart shelf levels and initiate replenishment proactively — a practice known as Vendor Managed Inventory (VMI), pioneered through Walmart's landmark partnership with Procter &amp; Gamble. Walmart also built its own network of strategically located distribution centers, each serving a hub-and-spoke cluster of stores within a 150-mile radius, enabling its own truck fleet to make daily replenishment runs that competitors using third-party logistics could not match economically.</w:t>
      </w:r>
    </w:p>
    <w:p>
      <w:pPr>
        <w:pStyle w:val="Heading3"/>
      </w:pPr>
      <w:r>
        <w:rPr>
          <w:rFonts w:ascii="Times New Roman" w:cs="Times New Roman" w:eastAsia="Times New Roman" w:hAnsi="Times New Roman"/>
          <w:b/>
          <w:bCs/>
          <w:color w:val="154360"/>
          <w:sz w:val="24"/>
          <w:szCs w:val="24"/>
        </w:rPr>
        <w:t xml:space="preserve">3.1.3 Version 3 — AI-Powered Omnichannel Supply Network (2005–Present)</w:t>
      </w:r>
    </w:p>
    <w:p>
      <w:pPr>
        <w:spacing w:after="100" w:before="80" w:line="340"/>
        <w:jc w:val="both"/>
      </w:pPr>
      <w:r>
        <w:rPr>
          <w:rFonts w:ascii="Times New Roman" w:cs="Times New Roman" w:eastAsia="Times New Roman" w:hAnsi="Times New Roman"/>
          <w:sz w:val="22"/>
          <w:szCs w:val="22"/>
        </w:rPr>
        <w:t xml:space="preserve">Walmart's contemporary supply chain integrates RFID-based inventory tracking (mandated for all major suppliers since 2005), machine learning demand forecasting that processes weather data, local event calendars, social media trends, and macroeconomic indicators alongside historical sales, blockchain-based food traceability (in partnership with IBM Food Trust, reducing food contamination investigation time from 7 days to 2.2 seconds), and an AI-powered Luminate data platform that gives supplier partners unprecedented visibility into real-time sell-through rates and inventory positions. The acquisition of Jet.com (2016) and massive investment in Walmart.com e-commerce has created a unified physical-digital supply network where stores function simultaneously as retail locations and fulfillment centers for online orders — transforming the physical store footprint from a liability (in the age of e-commerce) into a strategic distribution asset.</w:t>
      </w:r>
    </w:p>
    <w:p>
      <w:pPr>
        <w:spacing w:after="0" w:before="120"/>
      </w:pPr>
    </w:p>
    <w:p>
      <w:pPr>
        <w:spacing w:after="80" w:before="80"/>
        <w:jc w:val="center"/>
      </w:pPr>
      <w:r>
        <w:rPr>
          <w:rFonts w:ascii="Times New Roman" w:cs="Times New Roman" w:eastAsia="Times New Roman" w:hAnsi="Times New Roman"/>
          <w:b/>
          <w:bCs/>
          <w:i/>
          <w:iCs/>
          <w:color w:val="4A235A"/>
          <w:sz w:val="22"/>
          <w:szCs w:val="22"/>
        </w:rPr>
        <w:t xml:space="preserve">Table 3: Walmart Supply Chain Process — Three-Version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7B3F00" w:sz="4"/>
              <w:left w:val="single" w:color="7B3F00" w:sz="4"/>
              <w:bottom w:val="single" w:color="7B3F00" w:sz="4"/>
              <w:right w:val="single" w:color="7B3F00" w:sz="4"/>
            </w:tcBorders>
            <w:shd w:fill="4A235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Dimension</w:t>
            </w:r>
          </w:p>
        </w:tc>
        <w:tc>
          <w:tcPr>
            <w:tcW w:type="dxa" w:w="2400"/>
            <w:tcBorders>
              <w:top w:val="single" w:color="7B3F00" w:sz="4"/>
              <w:left w:val="single" w:color="7B3F00" w:sz="4"/>
              <w:bottom w:val="single" w:color="7B3F00" w:sz="4"/>
              <w:right w:val="single" w:color="7B3F00" w:sz="4"/>
            </w:tcBorders>
            <w:shd w:fill="78281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1 (Initial)</w:t>
            </w:r>
          </w:p>
        </w:tc>
        <w:tc>
          <w:tcPr>
            <w:tcW w:type="dxa" w:w="2400"/>
            <w:tcBorders>
              <w:top w:val="single" w:color="7B3F00" w:sz="4"/>
              <w:left w:val="single" w:color="7B3F00" w:sz="4"/>
              <w:bottom w:val="single" w:color="7B3F00" w:sz="4"/>
              <w:right w:val="single" w:color="7B3F00" w:sz="4"/>
            </w:tcBorders>
            <w:shd w:fill="15436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2 (Enhanced)</w:t>
            </w:r>
          </w:p>
        </w:tc>
        <w:tc>
          <w:tcPr>
            <w:tcW w:type="dxa" w:w="2400"/>
            <w:tcBorders>
              <w:top w:val="single" w:color="7B3F00" w:sz="4"/>
              <w:left w:val="single" w:color="7B3F00" w:sz="4"/>
              <w:bottom w:val="single" w:color="7B3F00" w:sz="4"/>
              <w:right w:val="single" w:color="7B3F00" w:sz="4"/>
            </w:tcBorders>
            <w:shd w:fill="0E6655"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3 (Optimized)</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Sourcing Model</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Wholesaler/distributor reliance</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Direct manufacturer sourcing</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AI-optimized global direct network</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Data Sharing</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Manual, periodic</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EDI + satellite VMI</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Real-time RFID + Luminate AI platform</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Inventory Accuracy</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Low (periodic counts)</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 (EDI-enabled)</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Near-perfect (RFID + AI prediction)</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Replenishment Cycle</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Weekly/manual orders</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(DC hub-and-spoke)</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(AI-triggered automatic)</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Supplier Visibility</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None</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Point-of-sale EDI feeds</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Full shelf-level real-time analytics</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Food Traceability</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 to weeks</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Hours to days</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 seconds (IBM blockchain)</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Channel Integration</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Physical stores only</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Stores + limited web</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Full omnichannel (stores as DCs)</w:t>
            </w:r>
          </w:p>
        </w:tc>
      </w:tr>
    </w:tbl>
    <w:p>
      <w:pPr>
        <w:spacing w:after="0" w:before="160"/>
      </w:pPr>
    </w:p>
    <w:p>
      <w:pPr>
        <w:pStyle w:val="Heading2"/>
      </w:pPr>
      <w:r>
        <w:rPr>
          <w:rFonts w:ascii="Times New Roman" w:cs="Times New Roman" w:eastAsia="Times New Roman" w:hAnsi="Times New Roman"/>
          <w:b/>
          <w:bCs/>
          <w:color w:val="78281F"/>
          <w:sz w:val="26"/>
          <w:szCs w:val="26"/>
        </w:rPr>
        <w:t xml:space="preserve">3.2 Process 2: Point-of-Sale &amp; Payment Process</w:t>
      </w:r>
    </w:p>
    <w:p>
      <w:pPr>
        <w:spacing w:after="100" w:before="80" w:line="340"/>
        <w:jc w:val="both"/>
      </w:pPr>
      <w:r>
        <w:rPr>
          <w:rFonts w:ascii="Times New Roman" w:cs="Times New Roman" w:eastAsia="Times New Roman" w:hAnsi="Times New Roman"/>
          <w:sz w:val="22"/>
          <w:szCs w:val="22"/>
        </w:rPr>
        <w:t xml:space="preserve">Version 1 (1962–1983) used manual cash registers with paper receipts, manual daily cash reconciliation, and no electronic payment capabilities. Price verification required physical shelf checks. Version 2 (1983–2015) introduced electronic POS terminals with barcode scanning — Walmart was among the first retailers to adopt Universal Product Code (UPC) scanning at scale — reducing checkout times by 40%, eliminating manual price entry errors, and feeding real-time sales data into inventory management systems. Electronic Funds Transfer (EFT), credit/debit card processing, and Walmart's own gift card program were progressively integrated. Version 3 (2015–present) encompasses Walmart Pay (mobile contactless payment), self-checkout expansion (now over 50% of transactions in many stores), Walmart+ membership integration, buy-now-pay-later financing through Walmart Financial Services (a joint venture with Ribbit Capital), and the rollout of autonomous self-checkout AI cameras (Missed Scan Detection) that identify unscanned items in real time — reducing shrinkage by an estimated 15-20% while accelerating checkout throughput.</w:t>
      </w:r>
    </w:p>
    <w:p>
      <w:pPr>
        <w:pStyle w:val="Heading2"/>
      </w:pPr>
      <w:r>
        <w:rPr>
          <w:rFonts w:ascii="Times New Roman" w:cs="Times New Roman" w:eastAsia="Times New Roman" w:hAnsi="Times New Roman"/>
          <w:b/>
          <w:bCs/>
          <w:color w:val="78281F"/>
          <w:sz w:val="26"/>
          <w:szCs w:val="26"/>
        </w:rPr>
        <w:t xml:space="preserve">3.3 Process 3: Workforce Scheduling Process</w:t>
      </w:r>
    </w:p>
    <w:p>
      <w:pPr>
        <w:spacing w:after="100" w:before="80" w:line="340"/>
        <w:jc w:val="both"/>
      </w:pPr>
      <w:r>
        <w:rPr>
          <w:rFonts w:ascii="Times New Roman" w:cs="Times New Roman" w:eastAsia="Times New Roman" w:hAnsi="Times New Roman"/>
          <w:sz w:val="22"/>
          <w:szCs w:val="22"/>
        </w:rPr>
        <w:t xml:space="preserve">Version 1 scheduling was managed by store managers using paper schedules and personal knowledge of staff availability, producing frequent over- and under-staffing relative to customer traffic patterns. Version 2 introduced workforce management software (Kronos) that incorporated historical traffic data and generated algorithmically suggested schedules — reducing scheduling effort by approximately 60% and improving staffing alignment to peak hours. Version 3 deploys Me@Walmart — an AI-powered mobile application available to all 1.6 million US associates — that combines real-time store traffic forecasting, associate preference data, legal compliance rules, and predictive absence modeling to generate near-optimal schedules up to four weeks in advance. Associates can swap shifts, view real-time task assignments, and access learning resources through the same platform, reducing manager scheduling time by over 80% while improving associate satisfaction scores.</w:t>
      </w:r>
    </w:p>
    <w:p>
      <w:pPr>
        <w:spacing w:after="0" w:before="120"/>
      </w:pPr>
    </w:p>
    <w:p>
      <w:pPr>
        <w:spacing w:after="80" w:before="80"/>
        <w:jc w:val="center"/>
      </w:pPr>
      <w:r>
        <w:rPr>
          <w:rFonts w:ascii="Times New Roman" w:cs="Times New Roman" w:eastAsia="Times New Roman" w:hAnsi="Times New Roman"/>
          <w:b/>
          <w:bCs/>
          <w:i/>
          <w:iCs/>
          <w:color w:val="4A235A"/>
          <w:sz w:val="22"/>
          <w:szCs w:val="22"/>
        </w:rPr>
        <w:t xml:space="preserve">Table 4: Walmart Workforce Scheduling — Three-Version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7B3F00" w:sz="4"/>
              <w:left w:val="single" w:color="7B3F00" w:sz="4"/>
              <w:bottom w:val="single" w:color="7B3F00" w:sz="4"/>
              <w:right w:val="single" w:color="7B3F00" w:sz="4"/>
            </w:tcBorders>
            <w:shd w:fill="4A235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Dimension</w:t>
            </w:r>
          </w:p>
        </w:tc>
        <w:tc>
          <w:tcPr>
            <w:tcW w:type="dxa" w:w="2400"/>
            <w:tcBorders>
              <w:top w:val="single" w:color="7B3F00" w:sz="4"/>
              <w:left w:val="single" w:color="7B3F00" w:sz="4"/>
              <w:bottom w:val="single" w:color="7B3F00" w:sz="4"/>
              <w:right w:val="single" w:color="7B3F00" w:sz="4"/>
            </w:tcBorders>
            <w:shd w:fill="78281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1 (Initial)</w:t>
            </w:r>
          </w:p>
        </w:tc>
        <w:tc>
          <w:tcPr>
            <w:tcW w:type="dxa" w:w="2400"/>
            <w:tcBorders>
              <w:top w:val="single" w:color="7B3F00" w:sz="4"/>
              <w:left w:val="single" w:color="7B3F00" w:sz="4"/>
              <w:bottom w:val="single" w:color="7B3F00" w:sz="4"/>
              <w:right w:val="single" w:color="7B3F00" w:sz="4"/>
            </w:tcBorders>
            <w:shd w:fill="15436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2 (Enhanced)</w:t>
            </w:r>
          </w:p>
        </w:tc>
        <w:tc>
          <w:tcPr>
            <w:tcW w:type="dxa" w:w="2400"/>
            <w:tcBorders>
              <w:top w:val="single" w:color="7B3F00" w:sz="4"/>
              <w:left w:val="single" w:color="7B3F00" w:sz="4"/>
              <w:bottom w:val="single" w:color="7B3F00" w:sz="4"/>
              <w:right w:val="single" w:color="7B3F00" w:sz="4"/>
            </w:tcBorders>
            <w:shd w:fill="0E6655"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3 (Optimized)</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Scheduling Method</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Manual paper schedules</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Kronos WFM software</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Me@Walmart AI application</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Traffic Forecasting</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Manager intuition</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Historical data-based</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Real-time AI prediction</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Associate Input</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Verbal requests only</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Formal availability forms</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Mobile app preferences + swaps</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Staffing Accuracy</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Poor (frequent mismatches)</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 improvement</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Near-optimal alignment</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Manager Time Spent</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5–8 hrs/week</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 hrs/week (60% saving)</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&lt;1 hr/week (80%+ saving)</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Compliance Risk</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 (manual tracking)</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 (system alerts)</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Low (automated enforcement)</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Advance Notice</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 days</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 weeks</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Up to 4 weeks</w:t>
            </w:r>
          </w:p>
        </w:tc>
      </w:tr>
    </w:tbl>
    <w:p>
      <w:r>
        <w:br w:type="page"/>
      </w:r>
    </w:p>
    <w:p>
      <w:pPr>
        <w:pStyle w:val="Heading1"/>
      </w:pPr>
      <w:r>
        <w:rPr>
          <w:rFonts w:ascii="Times New Roman" w:cs="Times New Roman" w:eastAsia="Times New Roman" w:hAnsi="Times New Roman"/>
          <w:b/>
          <w:bCs/>
          <w:color w:val="4A235A"/>
          <w:sz w:val="30"/>
          <w:szCs w:val="30"/>
        </w:rPr>
        <w:t xml:space="preserve">4. Corporation 3: Tesla, Inc.</w:t>
      </w:r>
    </w:p>
    <w:p>
      <w:pPr>
        <w:spacing w:after="100" w:before="80" w:line="340"/>
        <w:jc w:val="both"/>
      </w:pPr>
      <w:r>
        <w:rPr>
          <w:rFonts w:ascii="Times New Roman" w:cs="Times New Roman" w:eastAsia="Times New Roman" w:hAnsi="Times New Roman"/>
          <w:sz w:val="22"/>
          <w:szCs w:val="22"/>
        </w:rPr>
        <w:t xml:space="preserve">Tesla, incorporated in 2003 by Martin Eberhard and Marc Tarpenning and joined early by Elon Musk, JB Straubel, and Ian Wright, has grown from a Silicon Valley startup into the world's most valuable automotive manufacturer, with a market capitalization that has exceeded $1 trillion and annual deliveries surpassing 1.8 million vehicles. Tesla's distinction lies not merely in its products — electric vehicles and energy storage systems — but in its fundamentally different approach to automobile development, manufacturing, and customer relationships. By treating its cars as software products on wheels, applying Silicon Valley engineering culture to manufacturing, and aggressively internalizing vertical integration, Tesla has compressed the automotive innovation cycle from years to months and established new benchmarks for electric vehicle performance, software capability, and manufacturing efficiency.</w:t>
      </w:r>
    </w:p>
    <w:p>
      <w:pPr>
        <w:pStyle w:val="Heading2"/>
      </w:pPr>
      <w:r>
        <w:rPr>
          <w:rFonts w:ascii="Times New Roman" w:cs="Times New Roman" w:eastAsia="Times New Roman" w:hAnsi="Times New Roman"/>
          <w:b/>
          <w:bCs/>
          <w:color w:val="78281F"/>
          <w:sz w:val="26"/>
          <w:szCs w:val="26"/>
        </w:rPr>
        <w:t xml:space="preserve">4.1 Process 1: Vehicle Design &amp; Engineering Process</w:t>
      </w:r>
    </w:p>
    <w:p>
      <w:pPr>
        <w:pStyle w:val="Heading3"/>
      </w:pPr>
      <w:r>
        <w:rPr>
          <w:rFonts w:ascii="Times New Roman" w:cs="Times New Roman" w:eastAsia="Times New Roman" w:hAnsi="Times New Roman"/>
          <w:b/>
          <w:bCs/>
          <w:color w:val="154360"/>
          <w:sz w:val="24"/>
          <w:szCs w:val="24"/>
        </w:rPr>
        <w:t xml:space="preserve">4.1.1 Version 1 — Adapted EV Conversion Design (2003–2009)</w:t>
      </w:r>
    </w:p>
    <w:p>
      <w:pPr>
        <w:spacing w:after="100" w:before="80" w:line="340"/>
        <w:jc w:val="both"/>
      </w:pPr>
      <w:r>
        <w:rPr>
          <w:rFonts w:ascii="Times New Roman" w:cs="Times New Roman" w:eastAsia="Times New Roman" w:hAnsi="Times New Roman"/>
          <w:sz w:val="22"/>
          <w:szCs w:val="22"/>
        </w:rPr>
        <w:t xml:space="preserve">Tesla's first vehicle design process, which produced the original Roadster (2008), was heavily dependent on adapted components from existing vehicles — the chassis was derived from the Lotus Elise, and many mechanical components were sourced from traditional automotive suppliers. The engineering team was small, processes were informal, and design-to-production handoffs were poorly managed. The Roadster's development was plagued by cost overruns (final cost exceeded $140,000 versus an initial target below $90,000), schedule delays, and engineering rework caused by inadequate systems integration between the electric powertrain and adapted mechanical components. Despite producing a genuinely impressive first EV, the design process was unsustainable for mass production ambitions.</w:t>
      </w:r>
    </w:p>
    <w:p>
      <w:pPr>
        <w:pStyle w:val="ListParagraph"/>
        <w:numPr>
          <w:ilvl w:val="0"/>
          <w:numId w:val="6"/>
        </w:numPr>
        <w:spacing w:after="55" w:before="55" w:line="300"/>
      </w:pPr>
      <w:r>
        <w:rPr>
          <w:rFonts w:ascii="Times New Roman" w:cs="Times New Roman" w:eastAsia="Times New Roman" w:hAnsi="Times New Roman"/>
          <w:b/>
          <w:bCs/>
          <w:sz w:val="22"/>
          <w:szCs w:val="22"/>
        </w:rPr>
        <w:t xml:space="preserve">Key Limitations: </w:t>
      </w:r>
      <w:r>
        <w:rPr>
          <w:rFonts w:ascii="Times New Roman" w:cs="Times New Roman" w:eastAsia="Times New Roman" w:hAnsi="Times New Roman"/>
          <w:sz w:val="22"/>
          <w:szCs w:val="22"/>
        </w:rPr>
        <w:t xml:space="preserve">Adapted legacy platform, informal design governance, poor cost control, component dependency on traditional automotive suppliers, insufficient systems integration.</w:t>
      </w:r>
    </w:p>
    <w:p>
      <w:pPr>
        <w:pStyle w:val="Heading3"/>
      </w:pPr>
      <w:r>
        <w:rPr>
          <w:rFonts w:ascii="Times New Roman" w:cs="Times New Roman" w:eastAsia="Times New Roman" w:hAnsi="Times New Roman"/>
          <w:b/>
          <w:bCs/>
          <w:color w:val="154360"/>
          <w:sz w:val="24"/>
          <w:szCs w:val="24"/>
        </w:rPr>
        <w:t xml:space="preserve">4.1.2 Version 2 — Ground-Up Platform Design with Digital Engineering (2009–2017)</w:t>
      </w:r>
    </w:p>
    <w:p>
      <w:pPr>
        <w:spacing w:after="100" w:before="80" w:line="340"/>
        <w:jc w:val="both"/>
      </w:pPr>
      <w:r>
        <w:rPr>
          <w:rFonts w:ascii="Times New Roman" w:cs="Times New Roman" w:eastAsia="Times New Roman" w:hAnsi="Times New Roman"/>
          <w:sz w:val="22"/>
          <w:szCs w:val="22"/>
        </w:rPr>
        <w:t xml:space="preserve">The Model S (2012) represented Tesla's first ground-up vehicle design — a clean-sheet platform conceived specifically for electric powertrain architecture rather than adapted from an internal combustion vehicle. Tesla adopted advanced digital engineering tools including Catia CAD/CAM and finite element analysis (FEA) simulation, enabling virtual validation of structural, thermal, and aerodynamic performance before physical prototyping. The skateboard battery platform became the foundation for multiple body styles (sedan, SUV), generating economies of scale in battery and powertrain development. Over-the-Air (OTA) software updates — a process borrowed from smartphone development — were integrated from the outset, enabling post-delivery feature additions and performance improvements that were previously impossible in automotive engineering.</w:t>
      </w:r>
    </w:p>
    <w:p>
      <w:pPr>
        <w:pStyle w:val="Heading3"/>
      </w:pPr>
      <w:r>
        <w:rPr>
          <w:rFonts w:ascii="Times New Roman" w:cs="Times New Roman" w:eastAsia="Times New Roman" w:hAnsi="Times New Roman"/>
          <w:b/>
          <w:bCs/>
          <w:color w:val="154360"/>
          <w:sz w:val="24"/>
          <w:szCs w:val="24"/>
        </w:rPr>
        <w:t xml:space="preserve">4.1.3 Version 3 — AI-Accelerated Design with Unboxed Architecture (2017–Present)</w:t>
      </w:r>
    </w:p>
    <w:p>
      <w:pPr>
        <w:spacing w:after="100" w:before="80" w:line="340"/>
        <w:jc w:val="both"/>
      </w:pPr>
      <w:r>
        <w:rPr>
          <w:rFonts w:ascii="Times New Roman" w:cs="Times New Roman" w:eastAsia="Times New Roman" w:hAnsi="Times New Roman"/>
          <w:sz w:val="22"/>
          <w:szCs w:val="22"/>
        </w:rPr>
        <w:t xml:space="preserve">Tesla's current vehicle design process is characterized by three transformative innovations. First, generative AI and topology optimization algorithms design structural components by specifying performance requirements and allowing algorithms to determine optimal geometry — producing components that are simultaneously lighter, stronger, and more manufacturable than human-designed equivalents. Second, Tesla's proprietary Dojo supercomputer processes Fleet Learning data from millions of real-world driving miles to continuously improve Autopilot and Full Self-Driving software — effectively treating the entire Tesla fleet as a distributed real-world testing apparatus that provides continuous design feedback. Third, the "Unboxed" manufacturing architecture announced for the Model 2 platform reduces the number of unique parts by approximately 75% through integrated casting and modular assembly, fundamentally reimagining vehicle architecture to maximize manufacturing efficiency.</w:t>
      </w:r>
    </w:p>
    <w:p>
      <w:pPr>
        <w:spacing w:after="0" w:before="120"/>
      </w:pPr>
    </w:p>
    <w:p>
      <w:pPr>
        <w:spacing w:after="80" w:before="80"/>
        <w:jc w:val="center"/>
      </w:pPr>
      <w:r>
        <w:rPr>
          <w:rFonts w:ascii="Times New Roman" w:cs="Times New Roman" w:eastAsia="Times New Roman" w:hAnsi="Times New Roman"/>
          <w:b/>
          <w:bCs/>
          <w:i/>
          <w:iCs/>
          <w:color w:val="4A235A"/>
          <w:sz w:val="22"/>
          <w:szCs w:val="22"/>
        </w:rPr>
        <w:t xml:space="preserve">Table 5: Tesla Vehicle Design Process — Three-Version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7B3F00" w:sz="4"/>
              <w:left w:val="single" w:color="7B3F00" w:sz="4"/>
              <w:bottom w:val="single" w:color="7B3F00" w:sz="4"/>
              <w:right w:val="single" w:color="7B3F00" w:sz="4"/>
            </w:tcBorders>
            <w:shd w:fill="4A235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Dimension</w:t>
            </w:r>
          </w:p>
        </w:tc>
        <w:tc>
          <w:tcPr>
            <w:tcW w:type="dxa" w:w="2400"/>
            <w:tcBorders>
              <w:top w:val="single" w:color="7B3F00" w:sz="4"/>
              <w:left w:val="single" w:color="7B3F00" w:sz="4"/>
              <w:bottom w:val="single" w:color="7B3F00" w:sz="4"/>
              <w:right w:val="single" w:color="7B3F00" w:sz="4"/>
            </w:tcBorders>
            <w:shd w:fill="78281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1 (Initial)</w:t>
            </w:r>
          </w:p>
        </w:tc>
        <w:tc>
          <w:tcPr>
            <w:tcW w:type="dxa" w:w="2400"/>
            <w:tcBorders>
              <w:top w:val="single" w:color="7B3F00" w:sz="4"/>
              <w:left w:val="single" w:color="7B3F00" w:sz="4"/>
              <w:bottom w:val="single" w:color="7B3F00" w:sz="4"/>
              <w:right w:val="single" w:color="7B3F00" w:sz="4"/>
            </w:tcBorders>
            <w:shd w:fill="15436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2 (Enhanced)</w:t>
            </w:r>
          </w:p>
        </w:tc>
        <w:tc>
          <w:tcPr>
            <w:tcW w:type="dxa" w:w="2400"/>
            <w:tcBorders>
              <w:top w:val="single" w:color="7B3F00" w:sz="4"/>
              <w:left w:val="single" w:color="7B3F00" w:sz="4"/>
              <w:bottom w:val="single" w:color="7B3F00" w:sz="4"/>
              <w:right w:val="single" w:color="7B3F00" w:sz="4"/>
            </w:tcBorders>
            <w:shd w:fill="0E6655"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3 (Optimized)</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Design Foundation</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Adapted Lotus platform</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Ground-up EV architecture</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AI-optimized Unboxed platform</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Engineering Tools</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Basic CAD (outsourced)</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Catia CAD + FEA simulation</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AI generative design + Dojo</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Cost Control</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Poor (140% over budget)</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Improved (structured platform)</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Optimized (75% fewer parts)</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Software Integration</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Minimal, fixed at delivery</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OTA updates introduced</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OTA AI updates</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Development Cycle</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 years</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3–4 years</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18–24 months (parallel streams)</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Real-World Testing</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Physical prototypes only</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Physical + digital simulation</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Fleet Learning (millions of miles)</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Platform Reuse</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None (one-off)</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Skateboard (2–3 models)</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Unboxed (multiple derivatives)</w:t>
            </w:r>
          </w:p>
        </w:tc>
      </w:tr>
    </w:tbl>
    <w:p>
      <w:pPr>
        <w:spacing w:after="0" w:before="160"/>
      </w:pPr>
    </w:p>
    <w:p>
      <w:pPr>
        <w:pStyle w:val="Heading2"/>
      </w:pPr>
      <w:r>
        <w:rPr>
          <w:rFonts w:ascii="Times New Roman" w:cs="Times New Roman" w:eastAsia="Times New Roman" w:hAnsi="Times New Roman"/>
          <w:b/>
          <w:bCs/>
          <w:color w:val="78281F"/>
          <w:sz w:val="26"/>
          <w:szCs w:val="26"/>
        </w:rPr>
        <w:t xml:space="preserve">4.2 Process 2: Battery &amp; Powertrain Manufacturing Process</w:t>
      </w:r>
    </w:p>
    <w:p>
      <w:pPr>
        <w:pStyle w:val="Heading3"/>
      </w:pPr>
      <w:r>
        <w:rPr>
          <w:rFonts w:ascii="Times New Roman" w:cs="Times New Roman" w:eastAsia="Times New Roman" w:hAnsi="Times New Roman"/>
          <w:b/>
          <w:bCs/>
          <w:color w:val="154360"/>
          <w:sz w:val="24"/>
          <w:szCs w:val="24"/>
        </w:rPr>
        <w:t xml:space="preserve">4.2.1 Version 1 — Outsourced Cell Procurement &amp; Manual Assembly (2008–2014)</w:t>
      </w:r>
    </w:p>
    <w:p>
      <w:pPr>
        <w:spacing w:after="100" w:before="80" w:line="340"/>
        <w:jc w:val="both"/>
      </w:pPr>
      <w:r>
        <w:rPr>
          <w:rFonts w:ascii="Times New Roman" w:cs="Times New Roman" w:eastAsia="Times New Roman" w:hAnsi="Times New Roman"/>
          <w:sz w:val="22"/>
          <w:szCs w:val="22"/>
        </w:rPr>
        <w:t xml:space="preserve">Tesla's original battery strategy relied entirely on commodity cylindrical lithium-ion cells (18650 format) sourced from Panasonic and assembled into battery packs using largely manual processes at Tesla's Fremont facility. Cell chemistry improvements were outside Tesla's control — the company was dependent on Panasonic's product roadmap. Pack assembly was labor-intensive with significant manual wiring, connector installation, and quality inspection requirements. Production throughput was severely constrained, limiting Tesla to producing fewer than 3,000 Model S vehicles in its first full production year (2013).</w:t>
      </w:r>
    </w:p>
    <w:p>
      <w:pPr>
        <w:pStyle w:val="Heading3"/>
      </w:pPr>
      <w:r>
        <w:rPr>
          <w:rFonts w:ascii="Times New Roman" w:cs="Times New Roman" w:eastAsia="Times New Roman" w:hAnsi="Times New Roman"/>
          <w:b/>
          <w:bCs/>
          <w:color w:val="154360"/>
          <w:sz w:val="24"/>
          <w:szCs w:val="24"/>
        </w:rPr>
        <w:t xml:space="preserve">4.2.2 Version 2 — Gigafactory Model with Panasonic Partnership (2014–2020)</w:t>
      </w:r>
    </w:p>
    <w:p>
      <w:pPr>
        <w:spacing w:after="100" w:before="80" w:line="340"/>
        <w:jc w:val="both"/>
      </w:pPr>
      <w:r>
        <w:rPr>
          <w:rFonts w:ascii="Times New Roman" w:cs="Times New Roman" w:eastAsia="Times New Roman" w:hAnsi="Times New Roman"/>
          <w:sz w:val="22"/>
          <w:szCs w:val="22"/>
        </w:rPr>
        <w:t xml:space="preserve">The Gigafactory Nevada (opened 2016), developed in partnership with Panasonic, brought battery cell production and pack assembly under one roof for the first time, eliminating the logistics cost and complexity of shipping cells from Japan. The Gigafactory model enabled vertical integration of the battery production process, dramatically reducing per-kWh costs through manufacturing scale. By 2019, Tesla had achieved battery costs below $150/kWh — approaching the widely cited $100/kWh threshold considered necessary for EVs to achieve price parity with internal combustion vehicles without subsidies. Production throughput scaled from 3,000 vehicles in 2013 to over 360,000 in 2019.</w:t>
      </w:r>
    </w:p>
    <w:p>
      <w:pPr>
        <w:pStyle w:val="Heading3"/>
      </w:pPr>
      <w:r>
        <w:rPr>
          <w:rFonts w:ascii="Times New Roman" w:cs="Times New Roman" w:eastAsia="Times New Roman" w:hAnsi="Times New Roman"/>
          <w:b/>
          <w:bCs/>
          <w:color w:val="154360"/>
          <w:sz w:val="24"/>
          <w:szCs w:val="24"/>
        </w:rPr>
        <w:t xml:space="preserve">4.2.3 Version 3 — 4680 Structural Battery with In-House Cell Manufacturing (2020–Present)</w:t>
      </w:r>
    </w:p>
    <w:p>
      <w:pPr>
        <w:spacing w:after="100" w:before="80" w:line="340"/>
        <w:jc w:val="both"/>
      </w:pPr>
      <w:r>
        <w:rPr>
          <w:rFonts w:ascii="Times New Roman" w:cs="Times New Roman" w:eastAsia="Times New Roman" w:hAnsi="Times New Roman"/>
          <w:sz w:val="22"/>
          <w:szCs w:val="22"/>
        </w:rPr>
        <w:t xml:space="preserve">Tesla's 4680 tabless cylindrical cell, revealed at Battery Day 2020, represents a fundamental redesign of battery cell architecture. The tabless design — eliminating internal tabs through a novel electrode geometry — reduces internal resistance, improves heat management, and dramatically simplifies high-speed manufacturing. Combined with a dry electrode coating process (eliminating toxic solvents and energy-intensive drying ovens), Tesla projects a 56% reduction in $/kWh versus 2170 cells, a 16% increase in range, and a six-fold improvement in power output. The structural battery pack concept integrates the battery directly into the vehicle's floor structure, simultaneously eliminating the separate battery enclosure and reducing overall vehicle weight — a systems engineering insight that no traditional automotive manufacturer had previously implemented.</w:t>
      </w:r>
    </w:p>
    <w:p>
      <w:pPr>
        <w:spacing w:after="0" w:before="120"/>
      </w:pPr>
    </w:p>
    <w:p>
      <w:pPr>
        <w:spacing w:after="80" w:before="80"/>
        <w:jc w:val="center"/>
      </w:pPr>
      <w:r>
        <w:rPr>
          <w:rFonts w:ascii="Times New Roman" w:cs="Times New Roman" w:eastAsia="Times New Roman" w:hAnsi="Times New Roman"/>
          <w:b/>
          <w:bCs/>
          <w:i/>
          <w:iCs/>
          <w:color w:val="4A235A"/>
          <w:sz w:val="22"/>
          <w:szCs w:val="22"/>
        </w:rPr>
        <w:t xml:space="preserve">Table 6: Tesla Battery Manufacturing Process — Three-Version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7B3F00" w:sz="4"/>
              <w:left w:val="single" w:color="7B3F00" w:sz="4"/>
              <w:bottom w:val="single" w:color="7B3F00" w:sz="4"/>
              <w:right w:val="single" w:color="7B3F00" w:sz="4"/>
            </w:tcBorders>
            <w:shd w:fill="4A235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Dimension</w:t>
            </w:r>
          </w:p>
        </w:tc>
        <w:tc>
          <w:tcPr>
            <w:tcW w:type="dxa" w:w="2400"/>
            <w:tcBorders>
              <w:top w:val="single" w:color="7B3F00" w:sz="4"/>
              <w:left w:val="single" w:color="7B3F00" w:sz="4"/>
              <w:bottom w:val="single" w:color="7B3F00" w:sz="4"/>
              <w:right w:val="single" w:color="7B3F00" w:sz="4"/>
            </w:tcBorders>
            <w:shd w:fill="78281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1 (Initial)</w:t>
            </w:r>
          </w:p>
        </w:tc>
        <w:tc>
          <w:tcPr>
            <w:tcW w:type="dxa" w:w="2400"/>
            <w:tcBorders>
              <w:top w:val="single" w:color="7B3F00" w:sz="4"/>
              <w:left w:val="single" w:color="7B3F00" w:sz="4"/>
              <w:bottom w:val="single" w:color="7B3F00" w:sz="4"/>
              <w:right w:val="single" w:color="7B3F00" w:sz="4"/>
            </w:tcBorders>
            <w:shd w:fill="15436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2 (Enhanced)</w:t>
            </w:r>
          </w:p>
        </w:tc>
        <w:tc>
          <w:tcPr>
            <w:tcW w:type="dxa" w:w="2400"/>
            <w:tcBorders>
              <w:top w:val="single" w:color="7B3F00" w:sz="4"/>
              <w:left w:val="single" w:color="7B3F00" w:sz="4"/>
              <w:bottom w:val="single" w:color="7B3F00" w:sz="4"/>
              <w:right w:val="single" w:color="7B3F00" w:sz="4"/>
            </w:tcBorders>
            <w:shd w:fill="0E6655"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3 (Optimized)</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Cell Source</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Outsourced (Panasonic Japan)</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Co-manufactured (Gigafactory NV)</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In-house (4680 proprietary cell)</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Production Volume</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&lt;3,000 vehicles/year</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360,000+ vehicles/year</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1.8M+ vehicles/year target</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Cost per kWh</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~$400+ (2013 estimate)</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~$150 (2019)</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Target &lt;$60 (4680 roadmap)</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Cell Format</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18650 commodity</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2170 (custom Panasonic)</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4680 (tabless, Tesla-designed)</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Manufacturing Process</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Manual assembly</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Semi-automated Gigafactory</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Fully automated dry electrode</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Energy Density</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Baseline</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 vs 18650</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+56% projected vs 2170</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Structural Integration</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Separate battery enclosure</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Integrated skateboard</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Structural battery (body element)</w:t>
            </w:r>
          </w:p>
        </w:tc>
      </w:tr>
    </w:tbl>
    <w:p>
      <w:pPr>
        <w:spacing w:after="0" w:before="160"/>
      </w:pPr>
    </w:p>
    <w:p>
      <w:pPr>
        <w:pStyle w:val="Heading2"/>
      </w:pPr>
      <w:r>
        <w:rPr>
          <w:rFonts w:ascii="Times New Roman" w:cs="Times New Roman" w:eastAsia="Times New Roman" w:hAnsi="Times New Roman"/>
          <w:b/>
          <w:bCs/>
          <w:color w:val="78281F"/>
          <w:sz w:val="26"/>
          <w:szCs w:val="26"/>
        </w:rPr>
        <w:t xml:space="preserve">4.3 Process 3: Direct-to-Consumer Sales Process</w:t>
      </w:r>
    </w:p>
    <w:p>
      <w:pPr>
        <w:spacing w:after="100" w:before="80" w:line="340"/>
        <w:jc w:val="both"/>
      </w:pPr>
      <w:r>
        <w:rPr>
          <w:rFonts w:ascii="Times New Roman" w:cs="Times New Roman" w:eastAsia="Times New Roman" w:hAnsi="Times New Roman"/>
          <w:sz w:val="22"/>
          <w:szCs w:val="22"/>
        </w:rPr>
        <w:t xml:space="preserve">Version 1 (2008–2012) used a conventional automotive dealer model for the Roadster — independent dealers managed customer relationships, pricing was negotiated, and Tesla had limited visibility into end-customer data or purchase experience quality. Version 2 (2012–2018) replaced dealer sales entirely with Tesla-owned showrooms and a direct online sales model — customers configured and ordered vehicles entirely through Tesla's website, with a fixed, no-negotiation price policy. Tesla showrooms in high-traffic retail locations (shopping malls) served as brand experience centers rather than sales pressure environments. Version 3 (2018–present) has evolved into a fully integrated digital-physical customer journey: AI-personalized vehicle configuration tools, real-time delivery scheduling, Tesla app-managed delivery and vehicle control, direct software purchase (Full Self-Driving subscription), and a network of Tesla-operated service centers supplemented by mobile service technicians dispatched directly to customers' locations — eliminating the need for most service center visits and reducing service turnaround time by approximately 60%.</w:t>
      </w:r>
    </w:p>
    <w:p>
      <w:r>
        <w:br w:type="page"/>
      </w:r>
    </w:p>
    <w:p>
      <w:pPr>
        <w:pStyle w:val="Heading1"/>
      </w:pPr>
      <w:r>
        <w:rPr>
          <w:rFonts w:ascii="Times New Roman" w:cs="Times New Roman" w:eastAsia="Times New Roman" w:hAnsi="Times New Roman"/>
          <w:b/>
          <w:bCs/>
          <w:color w:val="4A235A"/>
          <w:sz w:val="30"/>
          <w:szCs w:val="30"/>
        </w:rPr>
        <w:t xml:space="preserve">5. Corporation 4: Netflix, Inc.</w:t>
      </w:r>
    </w:p>
    <w:p>
      <w:pPr>
        <w:spacing w:after="100" w:before="80" w:line="340"/>
        <w:jc w:val="both"/>
      </w:pPr>
      <w:r>
        <w:rPr>
          <w:rFonts w:ascii="Times New Roman" w:cs="Times New Roman" w:eastAsia="Times New Roman" w:hAnsi="Times New Roman"/>
          <w:sz w:val="22"/>
          <w:szCs w:val="22"/>
        </w:rPr>
        <w:t xml:space="preserve">Netflix was founded in 1997 in Scotts Valley, California, by Reed Hastings and Marc Randolph, initially as a DVD rental service delivered by postal mail. The company's strategic journey — from physical DVD logistics to streaming pioneer to global content studio — represents one of the most dramatic business model transformations in corporate history. At every stage, process re-engineering has been central to Netflix's competitive strategy. Today, Netflix serves over 270 million subscribers in 190 countries, generates annual revenues exceeding $35 billion, and has invested over $17 billion in original content production. Netflix's willingness to cannibalize its own profitable business models in anticipation of technological change is perhaps its most distinctive strategic characteristic.</w:t>
      </w:r>
    </w:p>
    <w:p>
      <w:pPr>
        <w:pStyle w:val="Heading2"/>
      </w:pPr>
      <w:r>
        <w:rPr>
          <w:rFonts w:ascii="Times New Roman" w:cs="Times New Roman" w:eastAsia="Times New Roman" w:hAnsi="Times New Roman"/>
          <w:b/>
          <w:bCs/>
          <w:color w:val="78281F"/>
          <w:sz w:val="26"/>
          <w:szCs w:val="26"/>
        </w:rPr>
        <w:t xml:space="preserve">5.1 Process 1: Content Acquisition &amp; Production Process</w:t>
      </w:r>
    </w:p>
    <w:p>
      <w:pPr>
        <w:pStyle w:val="Heading3"/>
      </w:pPr>
      <w:r>
        <w:rPr>
          <w:rFonts w:ascii="Times New Roman" w:cs="Times New Roman" w:eastAsia="Times New Roman" w:hAnsi="Times New Roman"/>
          <w:b/>
          <w:bCs/>
          <w:color w:val="154360"/>
          <w:sz w:val="24"/>
          <w:szCs w:val="24"/>
        </w:rPr>
        <w:t xml:space="preserve">5.1.1 Version 1 — Physical DVD Library Curation (1997–2007)</w:t>
      </w:r>
    </w:p>
    <w:p>
      <w:pPr>
        <w:spacing w:after="100" w:before="80" w:line="340"/>
        <w:jc w:val="both"/>
      </w:pPr>
      <w:r>
        <w:rPr>
          <w:rFonts w:ascii="Times New Roman" w:cs="Times New Roman" w:eastAsia="Times New Roman" w:hAnsi="Times New Roman"/>
          <w:sz w:val="22"/>
          <w:szCs w:val="22"/>
        </w:rPr>
        <w:t xml:space="preserve">Netflix's original content process was entirely a curation and logistics function — the company licensed DVDs from studios and distributors, maintained physical inventory in regional warehouses, and shipped discs to subscribers via postal mail. Content strategy was driven by title availability, studio licensing terms, and subscriber demand signals from rental history data. The company had no role in content creation, and its competitive advantage lay entirely in catalog breadth, shipping speed, and pricing compared to retail video rental chains like Blockbuster. The fundamental constraint of this model was its physical nature — shipping times of 1–3 days meant no content was truly instant, and the warehouse network required significant fixed infrastructure investment that scaled linearly with subscriber growth.</w:t>
      </w:r>
    </w:p>
    <w:p>
      <w:pPr>
        <w:pStyle w:val="Heading3"/>
      </w:pPr>
      <w:r>
        <w:rPr>
          <w:rFonts w:ascii="Times New Roman" w:cs="Times New Roman" w:eastAsia="Times New Roman" w:hAnsi="Times New Roman"/>
          <w:b/>
          <w:bCs/>
          <w:color w:val="154360"/>
          <w:sz w:val="24"/>
          <w:szCs w:val="24"/>
        </w:rPr>
        <w:t xml:space="preserve">5.1.2 Version 2 — Licensed Streaming Library (2007–2013)</w:t>
      </w:r>
    </w:p>
    <w:p>
      <w:pPr>
        <w:spacing w:after="100" w:before="80" w:line="340"/>
        <w:jc w:val="both"/>
      </w:pPr>
      <w:r>
        <w:rPr>
          <w:rFonts w:ascii="Times New Roman" w:cs="Times New Roman" w:eastAsia="Times New Roman" w:hAnsi="Times New Roman"/>
          <w:sz w:val="22"/>
          <w:szCs w:val="22"/>
        </w:rPr>
        <w:t xml:space="preserve">Netflix launched its streaming service in 2007, initially as a free add-on to DVD subscribers, then as a standalone digital offering. Content acquisition shifted from physical disc licensing to digital streaming rights — a fundamentally different contractual and economic model. Early streaming libraries were limited by studio reluctance to license premium content for on-demand streaming, resulting in catalogs weighted toward older or lower-tier titles. The landmark $100 million deal for House of Cards (2011) — Netflix's first major original production commitment — marked the beginning of the content production strategy. Licensing costs escalated as studios recognized the value of streaming rights, and Netflix's dependence on third-party content created strategic vulnerability as studios began launching competing streaming services and withdrawing their content from Netflix.</w:t>
      </w:r>
    </w:p>
    <w:p>
      <w:pPr>
        <w:pStyle w:val="Heading3"/>
      </w:pPr>
      <w:r>
        <w:rPr>
          <w:rFonts w:ascii="Times New Roman" w:cs="Times New Roman" w:eastAsia="Times New Roman" w:hAnsi="Times New Roman"/>
          <w:b/>
          <w:bCs/>
          <w:color w:val="154360"/>
          <w:sz w:val="24"/>
          <w:szCs w:val="24"/>
        </w:rPr>
        <w:t xml:space="preserve">5.1.3 Version 3 — Data-Driven Original Content Studio (2013–Present)</w:t>
      </w:r>
    </w:p>
    <w:p>
      <w:pPr>
        <w:spacing w:after="100" w:before="80" w:line="340"/>
        <w:jc w:val="both"/>
      </w:pPr>
      <w:r>
        <w:rPr>
          <w:rFonts w:ascii="Times New Roman" w:cs="Times New Roman" w:eastAsia="Times New Roman" w:hAnsi="Times New Roman"/>
          <w:sz w:val="22"/>
          <w:szCs w:val="22"/>
        </w:rPr>
        <w:t xml:space="preserve">Netflix's current content strategy is fundamentally distinguished by its application of viewing data analytics to content investment decisions. Unlike traditional studios that rely primarily on creative intuition, talent relationships, and genre conventions to greenlight projects, Netflix analyzes granular viewer behavior data — what subscribers watch, when they pause, what they rewatch, what they abandon and at what point — to identify unmet content preferences and predict which new productions will attract and retain specific audience segments. This data advantage enabled Netflix to confidently commit to House of Cards before a single episode was produced, based on the demonstrated overlap of subscriber interest in David Fincher, Kevin Spacey, and British political dramas. Netflix now produces over 500 original titles annually across 50+ countries in 30+ languages, with a localization and dubbing process supported by AI translation and voice synthesis tools that dramatically reduce post-production costs.</w:t>
      </w:r>
    </w:p>
    <w:p>
      <w:pPr>
        <w:spacing w:after="0" w:before="120"/>
      </w:pPr>
    </w:p>
    <w:p>
      <w:pPr>
        <w:spacing w:after="80" w:before="80"/>
        <w:jc w:val="center"/>
      </w:pPr>
      <w:r>
        <w:rPr>
          <w:rFonts w:ascii="Times New Roman" w:cs="Times New Roman" w:eastAsia="Times New Roman" w:hAnsi="Times New Roman"/>
          <w:b/>
          <w:bCs/>
          <w:i/>
          <w:iCs/>
          <w:color w:val="4A235A"/>
          <w:sz w:val="22"/>
          <w:szCs w:val="22"/>
        </w:rPr>
        <w:t xml:space="preserve">Table 7: Netflix Content Process — Three-Version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7B3F00" w:sz="4"/>
              <w:left w:val="single" w:color="7B3F00" w:sz="4"/>
              <w:bottom w:val="single" w:color="7B3F00" w:sz="4"/>
              <w:right w:val="single" w:color="7B3F00" w:sz="4"/>
            </w:tcBorders>
            <w:shd w:fill="4A235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Dimension</w:t>
            </w:r>
          </w:p>
        </w:tc>
        <w:tc>
          <w:tcPr>
            <w:tcW w:type="dxa" w:w="2400"/>
            <w:tcBorders>
              <w:top w:val="single" w:color="7B3F00" w:sz="4"/>
              <w:left w:val="single" w:color="7B3F00" w:sz="4"/>
              <w:bottom w:val="single" w:color="7B3F00" w:sz="4"/>
              <w:right w:val="single" w:color="7B3F00" w:sz="4"/>
            </w:tcBorders>
            <w:shd w:fill="78281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1 (Initial)</w:t>
            </w:r>
          </w:p>
        </w:tc>
        <w:tc>
          <w:tcPr>
            <w:tcW w:type="dxa" w:w="2400"/>
            <w:tcBorders>
              <w:top w:val="single" w:color="7B3F00" w:sz="4"/>
              <w:left w:val="single" w:color="7B3F00" w:sz="4"/>
              <w:bottom w:val="single" w:color="7B3F00" w:sz="4"/>
              <w:right w:val="single" w:color="7B3F00" w:sz="4"/>
            </w:tcBorders>
            <w:shd w:fill="15436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2 (Enhanced)</w:t>
            </w:r>
          </w:p>
        </w:tc>
        <w:tc>
          <w:tcPr>
            <w:tcW w:type="dxa" w:w="2400"/>
            <w:tcBorders>
              <w:top w:val="single" w:color="7B3F00" w:sz="4"/>
              <w:left w:val="single" w:color="7B3F00" w:sz="4"/>
              <w:bottom w:val="single" w:color="7B3F00" w:sz="4"/>
              <w:right w:val="single" w:color="7B3F00" w:sz="4"/>
            </w:tcBorders>
            <w:shd w:fill="0E6655"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3 (Optimized)</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Content Source</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Physical DVD licensing</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Digital streaming licensing</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Own studio (500+ originals/year)</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Content Decision</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Catalog availability-based</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Licensing negotiation-based</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 analytics + algorithm-driven</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Production Involvement</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None</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Minimal (first originals)</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Full studio (writing to post-prod)</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Geographic Scope</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US-only (physical logistics)</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US + select international</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190 countries, 30+ languages</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Personalization</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None</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Basic genre recommendations</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AI-driven hyper-personalization</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Content Investment</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Disc purchase costs only</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Licensing fees (~$3B/year)</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$17B+ original content annually</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Strategic Risk</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Physical logistics dependency</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Studio licensing withdrawal</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Own IP, no third-party reliance</w:t>
            </w:r>
          </w:p>
        </w:tc>
      </w:tr>
    </w:tbl>
    <w:p>
      <w:pPr>
        <w:spacing w:after="0" w:before="160"/>
      </w:pPr>
    </w:p>
    <w:p>
      <w:pPr>
        <w:pStyle w:val="Heading2"/>
      </w:pPr>
      <w:r>
        <w:rPr>
          <w:rFonts w:ascii="Times New Roman" w:cs="Times New Roman" w:eastAsia="Times New Roman" w:hAnsi="Times New Roman"/>
          <w:b/>
          <w:bCs/>
          <w:color w:val="78281F"/>
          <w:sz w:val="26"/>
          <w:szCs w:val="26"/>
        </w:rPr>
        <w:t xml:space="preserve">5.2 Process 2: Content Delivery &amp; Streaming Process</w:t>
      </w:r>
    </w:p>
    <w:p>
      <w:pPr>
        <w:spacing w:after="100" w:before="80" w:line="340"/>
        <w:jc w:val="both"/>
      </w:pPr>
      <w:r>
        <w:rPr>
          <w:rFonts w:ascii="Times New Roman" w:cs="Times New Roman" w:eastAsia="Times New Roman" w:hAnsi="Times New Roman"/>
          <w:sz w:val="22"/>
          <w:szCs w:val="22"/>
        </w:rPr>
        <w:t xml:space="preserve">Version 1 (1997–2007) was entirely physical delivery — DVD discs shipped via USPS, with 1–3 day delivery times and no instant availability. Version 2 (2007–2016) launched streaming via third-party content delivery networks (CDNs) with significant buffering problems, inconsistent quality, and limited device compatibility. Streaming consumed enormous bandwidth and Netflix's rapid growth created internet congestion challenges that generated friction with internet service providers (ISPs). Version 3 (2016–present) is characterized by Netflix's Open Connect CDN — a proprietary global content delivery network with over 17,000 server locations embedded directly in ISP networks worldwide. By pre-positioning popular content on servers physically located within subscribers' ISPs, Netflix eliminates transcontinental data transfer for the vast majority of streams. Adaptive bitrate streaming algorithms intelligently adjust video quality in real time based on available bandwidth, and AV1 codec compression reduces bandwidth consumption by 20–30% versus H.264, enabling high-quality streaming on constrained connections. Netflix now delivers over 700 million hours of content daily with a buffering rate below 0.1%.</w:t>
      </w:r>
    </w:p>
    <w:p>
      <w:pPr>
        <w:spacing w:after="0" w:before="120"/>
      </w:pPr>
    </w:p>
    <w:p>
      <w:pPr>
        <w:spacing w:after="80" w:before="80"/>
        <w:jc w:val="center"/>
      </w:pPr>
      <w:r>
        <w:rPr>
          <w:rFonts w:ascii="Times New Roman" w:cs="Times New Roman" w:eastAsia="Times New Roman" w:hAnsi="Times New Roman"/>
          <w:b/>
          <w:bCs/>
          <w:i/>
          <w:iCs/>
          <w:color w:val="4A235A"/>
          <w:sz w:val="22"/>
          <w:szCs w:val="22"/>
        </w:rPr>
        <w:t xml:space="preserve">Table 8: Netflix Content Delivery — Three-Version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7B3F00" w:sz="4"/>
              <w:left w:val="single" w:color="7B3F00" w:sz="4"/>
              <w:bottom w:val="single" w:color="7B3F00" w:sz="4"/>
              <w:right w:val="single" w:color="7B3F00" w:sz="4"/>
            </w:tcBorders>
            <w:shd w:fill="4A235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Dimension</w:t>
            </w:r>
          </w:p>
        </w:tc>
        <w:tc>
          <w:tcPr>
            <w:tcW w:type="dxa" w:w="2400"/>
            <w:tcBorders>
              <w:top w:val="single" w:color="7B3F00" w:sz="4"/>
              <w:left w:val="single" w:color="7B3F00" w:sz="4"/>
              <w:bottom w:val="single" w:color="7B3F00" w:sz="4"/>
              <w:right w:val="single" w:color="7B3F00" w:sz="4"/>
            </w:tcBorders>
            <w:shd w:fill="78281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1 (Initial)</w:t>
            </w:r>
          </w:p>
        </w:tc>
        <w:tc>
          <w:tcPr>
            <w:tcW w:type="dxa" w:w="2400"/>
            <w:tcBorders>
              <w:top w:val="single" w:color="7B3F00" w:sz="4"/>
              <w:left w:val="single" w:color="7B3F00" w:sz="4"/>
              <w:bottom w:val="single" w:color="7B3F00" w:sz="4"/>
              <w:right w:val="single" w:color="7B3F00" w:sz="4"/>
            </w:tcBorders>
            <w:shd w:fill="15436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2 (Enhanced)</w:t>
            </w:r>
          </w:p>
        </w:tc>
        <w:tc>
          <w:tcPr>
            <w:tcW w:type="dxa" w:w="2400"/>
            <w:tcBorders>
              <w:top w:val="single" w:color="7B3F00" w:sz="4"/>
              <w:left w:val="single" w:color="7B3F00" w:sz="4"/>
              <w:bottom w:val="single" w:color="7B3F00" w:sz="4"/>
              <w:right w:val="single" w:color="7B3F00" w:sz="4"/>
            </w:tcBorders>
            <w:shd w:fill="0E6655"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3 (Optimized)</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Delivery Method</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Physical USPS mail</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Third-party CDN streaming</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Open Connect proprietary CDN</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Delivery Speed</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 days</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Instant (buffering frequent)</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Instant (buffering &lt;0.1%)</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Video Quality</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DVD (fixed)</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SD/HD (variable quality)</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4K HDR (adaptive bitrate)</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Bandwidth Efficiency</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 (physical)</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H.264 baseline</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AV1 (-30% vs H.264)</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Device Support</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DVD player only</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PC + limited devices</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2,000+ device types</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ISP Relations</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Contentious (bandwidth costs)</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Partnership (embedded servers)</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Daily Hours Streamed</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 (physical)</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~100M hours (2012)</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700M+ hours daily</w:t>
            </w:r>
          </w:p>
        </w:tc>
      </w:tr>
    </w:tbl>
    <w:p>
      <w:r>
        <w:br w:type="page"/>
      </w:r>
    </w:p>
    <w:p>
      <w:pPr>
        <w:pStyle w:val="Heading1"/>
      </w:pPr>
      <w:r>
        <w:rPr>
          <w:rFonts w:ascii="Times New Roman" w:cs="Times New Roman" w:eastAsia="Times New Roman" w:hAnsi="Times New Roman"/>
          <w:b/>
          <w:bCs/>
          <w:color w:val="4A235A"/>
          <w:sz w:val="30"/>
          <w:szCs w:val="30"/>
        </w:rPr>
        <w:t xml:space="preserve">6. Corporation 5: Alibaba Group Holding Limited</w:t>
      </w:r>
    </w:p>
    <w:p>
      <w:pPr>
        <w:spacing w:after="100" w:before="80" w:line="340"/>
        <w:jc w:val="both"/>
      </w:pPr>
      <w:r>
        <w:rPr>
          <w:rFonts w:ascii="Times New Roman" w:cs="Times New Roman" w:eastAsia="Times New Roman" w:hAnsi="Times New Roman"/>
          <w:sz w:val="22"/>
          <w:szCs w:val="22"/>
        </w:rPr>
        <w:t xml:space="preserve">Alibaba Group was founded in 1999 in Hangzhou, China, by Jack Ma and 17 co-founders, with the mission of making it easy to do business anywhere. The company has evolved into the world's largest retail commerce platform (surpassing Walmart in global merchandise volume), the leading cloud computing provider in Asia, and the owner of Alipay — one of the world's largest digital payment platforms. Alibaba's business process evolution is particularly instructive for the scale of the challenges it has addressed: building e-commerce infrastructure for a market of 1.4 billion people, many of whom lacked reliable logistics networks, banking relationships, or digital trust frameworks when Alibaba began operations. The company's process innovations were therefore not merely operational improvements but foundational infrastructure construction for an entirely new digital economy.</w:t>
      </w:r>
    </w:p>
    <w:p>
      <w:pPr>
        <w:pStyle w:val="Heading2"/>
      </w:pPr>
      <w:r>
        <w:rPr>
          <w:rFonts w:ascii="Times New Roman" w:cs="Times New Roman" w:eastAsia="Times New Roman" w:hAnsi="Times New Roman"/>
          <w:b/>
          <w:bCs/>
          <w:color w:val="78281F"/>
          <w:sz w:val="26"/>
          <w:szCs w:val="26"/>
        </w:rPr>
        <w:t xml:space="preserve">6.1 Process 1: E-Commerce Transaction Process</w:t>
      </w:r>
    </w:p>
    <w:p>
      <w:pPr>
        <w:pStyle w:val="Heading3"/>
      </w:pPr>
      <w:r>
        <w:rPr>
          <w:rFonts w:ascii="Times New Roman" w:cs="Times New Roman" w:eastAsia="Times New Roman" w:hAnsi="Times New Roman"/>
          <w:b/>
          <w:bCs/>
          <w:color w:val="154360"/>
          <w:sz w:val="24"/>
          <w:szCs w:val="24"/>
        </w:rPr>
        <w:t xml:space="preserve">6.1.1 Version 1 — B2B Directory Matching (1999–2003)</w:t>
      </w:r>
    </w:p>
    <w:p>
      <w:pPr>
        <w:spacing w:after="100" w:before="80" w:line="340"/>
        <w:jc w:val="both"/>
      </w:pPr>
      <w:r>
        <w:rPr>
          <w:rFonts w:ascii="Times New Roman" w:cs="Times New Roman" w:eastAsia="Times New Roman" w:hAnsi="Times New Roman"/>
          <w:sz w:val="22"/>
          <w:szCs w:val="22"/>
        </w:rPr>
        <w:t xml:space="preserve">Alibaba's original transaction process on Alibaba.com was a B2B directory service — manufacturers and wholesalers listed their products and contact information, and international buyers used the platform to identify potential suppliers, then conducted all negotiation, payment, and fulfillment entirely offline. The platform itself did not facilitate transactions; it was a digital equivalent of a trade directory. Trust was a profound challenge — buyers and sellers who had never met were asked to enter potentially large commercial transactions with no platform-mediated assurance mechanism. Fraud was common, limiting the platform's utility to transactions small enough that buyers were willing to absorb potential losses.</w:t>
      </w:r>
    </w:p>
    <w:p>
      <w:pPr>
        <w:pStyle w:val="Heading3"/>
      </w:pPr>
      <w:r>
        <w:rPr>
          <w:rFonts w:ascii="Times New Roman" w:cs="Times New Roman" w:eastAsia="Times New Roman" w:hAnsi="Times New Roman"/>
          <w:b/>
          <w:bCs/>
          <w:color w:val="154360"/>
          <w:sz w:val="24"/>
          <w:szCs w:val="24"/>
        </w:rPr>
        <w:t xml:space="preserve">6.1.2 Version 2 — Taobao Marketplace with Trust Infrastructure (2003–2013)</w:t>
      </w:r>
    </w:p>
    <w:p>
      <w:pPr>
        <w:spacing w:after="100" w:before="80" w:line="340"/>
        <w:jc w:val="both"/>
      </w:pPr>
      <w:r>
        <w:rPr>
          <w:rFonts w:ascii="Times New Roman" w:cs="Times New Roman" w:eastAsia="Times New Roman" w:hAnsi="Times New Roman"/>
          <w:sz w:val="22"/>
          <w:szCs w:val="22"/>
        </w:rPr>
        <w:t xml:space="preserve">The launch of Taobao (2003) — a consumer-to-consumer marketplace directly targeting eBay China — required Alibaba to build comprehensive transaction infrastructure rather than simply provide a listing service. Alipay (2004) was created specifically to solve the trust problem: an escrow-based payment system where buyers' funds were held by Alipay and only released to sellers upon buyer confirmation of receipt — a mechanism that made online transactions safe for both parties without requiring prior relationship or reputation. Alibaba's seller rating system, product authenticity verification for premium brands, and dispute resolution processes further built the trust infrastructure necessary for mass consumer adoption. Taobao surpassed eBay China in market share within two years of launch and effectively eliminated eBay from the Chinese consumer market.</w:t>
      </w:r>
    </w:p>
    <w:p>
      <w:pPr>
        <w:pStyle w:val="Heading3"/>
      </w:pPr>
      <w:r>
        <w:rPr>
          <w:rFonts w:ascii="Times New Roman" w:cs="Times New Roman" w:eastAsia="Times New Roman" w:hAnsi="Times New Roman"/>
          <w:b/>
          <w:bCs/>
          <w:color w:val="154360"/>
          <w:sz w:val="24"/>
          <w:szCs w:val="24"/>
        </w:rPr>
        <w:t xml:space="preserve">6.1.3 Version 3 — AI-Powered New Retail Ecosystem (2013–Present)</w:t>
      </w:r>
    </w:p>
    <w:p>
      <w:pPr>
        <w:spacing w:after="100" w:before="80" w:line="340"/>
        <w:jc w:val="both"/>
      </w:pPr>
      <w:r>
        <w:rPr>
          <w:rFonts w:ascii="Times New Roman" w:cs="Times New Roman" w:eastAsia="Times New Roman" w:hAnsi="Times New Roman"/>
          <w:sz w:val="22"/>
          <w:szCs w:val="22"/>
        </w:rPr>
        <w:t xml:space="preserve">Alibaba's current transaction process is built on a comprehensive AI ecosystem encompassing every dimension of commerce. The recommendation engine — powered by deep learning models processing billions of behavioral signals — personalizes every aspect of the shopping experience for each user's individual preferences, time of day, device type, and purchase history. During the annual Singles Day (11.11) shopping festival, Alibaba's systems process peak transaction volumes exceeding 580,000 orders per second — a systems engineering challenge of extraordinary complexity that has required continuous architectural innovation. DAMO Academy's AI research drives advances in natural language product search, visual search (photographing a product to find it on Tmall), and automated customer service chatbots (Alime) that handle over 3.5 million customer inquiries per day without human intervention. The "New Retail" strategy integrates Alibaba's digital commerce infrastructure with physical retail (Hema supermarkets, Intime department stores), blurring the boundary between online and offline shopping.</w:t>
      </w:r>
    </w:p>
    <w:p>
      <w:pPr>
        <w:spacing w:after="0" w:before="120"/>
      </w:pPr>
    </w:p>
    <w:p>
      <w:pPr>
        <w:spacing w:after="80" w:before="80"/>
        <w:jc w:val="center"/>
      </w:pPr>
      <w:r>
        <w:rPr>
          <w:rFonts w:ascii="Times New Roman" w:cs="Times New Roman" w:eastAsia="Times New Roman" w:hAnsi="Times New Roman"/>
          <w:b/>
          <w:bCs/>
          <w:i/>
          <w:iCs/>
          <w:color w:val="4A235A"/>
          <w:sz w:val="22"/>
          <w:szCs w:val="22"/>
        </w:rPr>
        <w:t xml:space="preserve">Table 9: Alibaba E-Commerce Transaction Process — Three-Version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7B3F00" w:sz="4"/>
              <w:left w:val="single" w:color="7B3F00" w:sz="4"/>
              <w:bottom w:val="single" w:color="7B3F00" w:sz="4"/>
              <w:right w:val="single" w:color="7B3F00" w:sz="4"/>
            </w:tcBorders>
            <w:shd w:fill="4A235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Dimension</w:t>
            </w:r>
          </w:p>
        </w:tc>
        <w:tc>
          <w:tcPr>
            <w:tcW w:type="dxa" w:w="2400"/>
            <w:tcBorders>
              <w:top w:val="single" w:color="7B3F00" w:sz="4"/>
              <w:left w:val="single" w:color="7B3F00" w:sz="4"/>
              <w:bottom w:val="single" w:color="7B3F00" w:sz="4"/>
              <w:right w:val="single" w:color="7B3F00" w:sz="4"/>
            </w:tcBorders>
            <w:shd w:fill="78281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1 (Initial)</w:t>
            </w:r>
          </w:p>
        </w:tc>
        <w:tc>
          <w:tcPr>
            <w:tcW w:type="dxa" w:w="2400"/>
            <w:tcBorders>
              <w:top w:val="single" w:color="7B3F00" w:sz="4"/>
              <w:left w:val="single" w:color="7B3F00" w:sz="4"/>
              <w:bottom w:val="single" w:color="7B3F00" w:sz="4"/>
              <w:right w:val="single" w:color="7B3F00" w:sz="4"/>
            </w:tcBorders>
            <w:shd w:fill="15436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2 (Enhanced)</w:t>
            </w:r>
          </w:p>
        </w:tc>
        <w:tc>
          <w:tcPr>
            <w:tcW w:type="dxa" w:w="2400"/>
            <w:tcBorders>
              <w:top w:val="single" w:color="7B3F00" w:sz="4"/>
              <w:left w:val="single" w:color="7B3F00" w:sz="4"/>
              <w:bottom w:val="single" w:color="7B3F00" w:sz="4"/>
              <w:right w:val="single" w:color="7B3F00" w:sz="4"/>
            </w:tcBorders>
            <w:shd w:fill="0E6655"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3 (Optimized)</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Transaction Model</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Offline (directory only)</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Online escrow (Alipay)</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AI-powered full ecosystem</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Trust Mechanism</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None (buyer risk)</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Alipay escrow + ratings</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AI fraud detection + guarantees</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Personalization</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None</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Basic category browsing</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Deep learning individual feeds</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Customer Service</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None (offline)</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Human agents + FAQs</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Alime AI (3.5M queries/day)</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Peak Order Capacity</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~100K orders/sec (2013)</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580,000 orders/sec (11.11 peak)</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Channel</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B2B directory</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B2C + C2C marketplace</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Omnichannel (online + New Retail)</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Geographic Reach</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China-domestic focus</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China + select Asia</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190+ markets (AliExpress global)</w:t>
            </w:r>
          </w:p>
        </w:tc>
      </w:tr>
    </w:tbl>
    <w:p>
      <w:pPr>
        <w:spacing w:after="0" w:before="160"/>
      </w:pPr>
    </w:p>
    <w:p>
      <w:pPr>
        <w:pStyle w:val="Heading2"/>
      </w:pPr>
      <w:r>
        <w:rPr>
          <w:rFonts w:ascii="Times New Roman" w:cs="Times New Roman" w:eastAsia="Times New Roman" w:hAnsi="Times New Roman"/>
          <w:b/>
          <w:bCs/>
          <w:color w:val="78281F"/>
          <w:sz w:val="26"/>
          <w:szCs w:val="26"/>
        </w:rPr>
        <w:t xml:space="preserve">6.2 Process 2: Payment &amp; Financial Services Process</w:t>
      </w:r>
    </w:p>
    <w:p>
      <w:pPr>
        <w:spacing w:after="100" w:before="80" w:line="340"/>
        <w:jc w:val="both"/>
      </w:pPr>
      <w:r>
        <w:rPr>
          <w:rFonts w:ascii="Times New Roman" w:cs="Times New Roman" w:eastAsia="Times New Roman" w:hAnsi="Times New Roman"/>
          <w:sz w:val="22"/>
          <w:szCs w:val="22"/>
        </w:rPr>
        <w:t xml:space="preserve">Version 1 (pre-2004) required buyers and sellers to arrange payment independently — bank transfers, cash on delivery, or third-party escrow services — all of which were slow, risky, and inaccessible to the large proportion of Chinese consumers who lacked formal bank accounts. Version 2 (2004–2014) established Alipay as a universal digital wallet integrated with all Chinese banks, enabling seamless e-commerce payment with the escrow protection described above. QR code-based mobile payments were added in 2011, rapidly becoming the dominant payment method in China and displacing cash in retail, restaurants, and street vendors — a cashless payment transformation that China achieved before most developed economies. Version 3 (2014–present) evolved Alipay into Ant Financial / Ant Group — a comprehensive financial services platform offering consumer credit (Huabei), micro-SME lending (Jiebei based on Alibaba transaction data as credit scoring input), wealth management (Yu'ebao money market fund), insurance products, and international payment services (Alipay+ covering 90+ markets). Ant Group's AI-powered credit scoring model has extended financial services to over 500 million previously unbanked individuals — a financial inclusion achievement of historic proportions.</w:t>
      </w:r>
    </w:p>
    <w:p>
      <w:pPr>
        <w:spacing w:after="0" w:before="120"/>
      </w:pPr>
    </w:p>
    <w:p>
      <w:pPr>
        <w:spacing w:after="80" w:before="80"/>
        <w:jc w:val="center"/>
      </w:pPr>
      <w:r>
        <w:rPr>
          <w:rFonts w:ascii="Times New Roman" w:cs="Times New Roman" w:eastAsia="Times New Roman" w:hAnsi="Times New Roman"/>
          <w:b/>
          <w:bCs/>
          <w:i/>
          <w:iCs/>
          <w:color w:val="4A235A"/>
          <w:sz w:val="22"/>
          <w:szCs w:val="22"/>
        </w:rPr>
        <w:t xml:space="preserve">Table 10: Alibaba Payment Process — Three-Version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7B3F00" w:sz="4"/>
              <w:left w:val="single" w:color="7B3F00" w:sz="4"/>
              <w:bottom w:val="single" w:color="7B3F00" w:sz="4"/>
              <w:right w:val="single" w:color="7B3F00" w:sz="4"/>
            </w:tcBorders>
            <w:shd w:fill="4A235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Dimension</w:t>
            </w:r>
          </w:p>
        </w:tc>
        <w:tc>
          <w:tcPr>
            <w:tcW w:type="dxa" w:w="2400"/>
            <w:tcBorders>
              <w:top w:val="single" w:color="7B3F00" w:sz="4"/>
              <w:left w:val="single" w:color="7B3F00" w:sz="4"/>
              <w:bottom w:val="single" w:color="7B3F00" w:sz="4"/>
              <w:right w:val="single" w:color="7B3F00" w:sz="4"/>
            </w:tcBorders>
            <w:shd w:fill="78281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1 (Initial)</w:t>
            </w:r>
          </w:p>
        </w:tc>
        <w:tc>
          <w:tcPr>
            <w:tcW w:type="dxa" w:w="2400"/>
            <w:tcBorders>
              <w:top w:val="single" w:color="7B3F00" w:sz="4"/>
              <w:left w:val="single" w:color="7B3F00" w:sz="4"/>
              <w:bottom w:val="single" w:color="7B3F00" w:sz="4"/>
              <w:right w:val="single" w:color="7B3F00" w:sz="4"/>
            </w:tcBorders>
            <w:shd w:fill="15436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2 (Enhanced)</w:t>
            </w:r>
          </w:p>
        </w:tc>
        <w:tc>
          <w:tcPr>
            <w:tcW w:type="dxa" w:w="2400"/>
            <w:tcBorders>
              <w:top w:val="single" w:color="7B3F00" w:sz="4"/>
              <w:left w:val="single" w:color="7B3F00" w:sz="4"/>
              <w:bottom w:val="single" w:color="7B3F00" w:sz="4"/>
              <w:right w:val="single" w:color="7B3F00" w:sz="4"/>
            </w:tcBorders>
            <w:shd w:fill="0E6655"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3 (Optimized)</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Payment Method</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Offline bank transfer / COD</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Alipay escrow + mobile QR</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Ant Group full fintech platform</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Speed</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 (bank transfer)</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Seconds (digital wallet)</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Instant + pre-approved credit</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Trust Assurance</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None</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Escrow (buyer protection)</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AI fraud detection + insurance</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Credit Access</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Traditional bank only</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Basic Alipay balance</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AI credit scoring (500M unbanked)</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Services Offered</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Payment only (offline)</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Payment + basic savings</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Credit, insurance, investment, FX</w:t>
            </w:r>
          </w:p>
        </w:tc>
      </w:tr>
      <w:tr>
        <w:tc>
          <w:tcPr>
            <w:tcW w:type="dxa" w:w="2160"/>
            <w:tcBorders>
              <w:top w:val="single" w:color="BBBBBB" w:sz="2"/>
              <w:left w:val="single" w:color="BBBBBB" w:sz="2"/>
              <w:bottom w:val="single" w:color="BBBBBB" w:sz="2"/>
              <w:right w:val="single" w:color="BBBBBB" w:sz="2"/>
            </w:tcBorders>
            <w:shd w:fill="E8EA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Mobile Integration</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None</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QR code (2011)</w:t>
            </w:r>
          </w:p>
        </w:tc>
        <w:tc>
          <w:tcPr>
            <w:tcW w:type="dxa" w:w="2400"/>
            <w:tcBorders>
              <w:top w:val="single" w:color="BBBBBB" w:sz="2"/>
              <w:left w:val="single" w:color="BBBBBB" w:sz="2"/>
              <w:bottom w:val="single" w:color="BBBBBB" w:sz="2"/>
              <w:right w:val="single" w:color="BBBBBB" w:sz="2"/>
            </w:tcBorders>
            <w:shd w:fill="FAFAFA"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Super-app (everything in Alipay)</w:t>
            </w:r>
          </w:p>
        </w:tc>
      </w:tr>
      <w:tr>
        <w:tc>
          <w:tcPr>
            <w:tcW w:type="dxa" w:w="2160"/>
            <w:tcBorders>
              <w:top w:val="single" w:color="BBBBBB" w:sz="2"/>
              <w:left w:val="single" w:color="BBBBBB" w:sz="2"/>
              <w:bottom w:val="single" w:color="BBBBBB" w:sz="2"/>
              <w:right w:val="single" w:color="BBBBBB" w:sz="2"/>
            </w:tcBorders>
            <w:shd w:fill="EDE7F6"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International Reach</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None</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China domestic primarily</w:t>
            </w:r>
          </w:p>
        </w:tc>
        <w:tc>
          <w:tcPr>
            <w:tcW w:type="dxa" w:w="2400"/>
            <w:tcBorders>
              <w:top w:val="single" w:color="BBBBBB" w:sz="2"/>
              <w:left w:val="single" w:color="BBBBBB" w:sz="2"/>
              <w:bottom w:val="single" w:color="BBBBBB" w:sz="2"/>
              <w:right w:val="single" w:color="BBBBBB" w:sz="2"/>
            </w:tcBorders>
            <w:shd w:fill="FDF9F0"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90+ markets (Alipay+)</w:t>
            </w:r>
          </w:p>
        </w:tc>
      </w:tr>
    </w:tbl>
    <w:p>
      <w:r>
        <w:br w:type="page"/>
      </w:r>
    </w:p>
    <w:p>
      <w:pPr>
        <w:pStyle w:val="Heading1"/>
      </w:pPr>
      <w:r>
        <w:rPr>
          <w:rFonts w:ascii="Times New Roman" w:cs="Times New Roman" w:eastAsia="Times New Roman" w:hAnsi="Times New Roman"/>
          <w:b/>
          <w:bCs/>
          <w:color w:val="4A235A"/>
          <w:sz w:val="30"/>
          <w:szCs w:val="30"/>
        </w:rPr>
        <w:t xml:space="preserve">7. Multi-Dimensional Comparative Analysis</w:t>
      </w:r>
    </w:p>
    <w:p>
      <w:pPr>
        <w:spacing w:after="100" w:before="80" w:line="340"/>
        <w:jc w:val="both"/>
      </w:pPr>
      <w:r>
        <w:rPr>
          <w:rFonts w:ascii="Times New Roman" w:cs="Times New Roman" w:eastAsia="Times New Roman" w:hAnsi="Times New Roman"/>
          <w:sz w:val="22"/>
          <w:szCs w:val="22"/>
        </w:rPr>
        <w:t xml:space="preserve">The following table synthesizes the Version 1 to Version 3 evolution of all five corporations across the key performance dimensions specified in the study's analytical framework. This cross-company view reveals both the universality of certain process evolution patterns and the industry-specific ways in which they manifest.</w:t>
      </w:r>
    </w:p>
    <w:p>
      <w:pPr>
        <w:spacing w:after="0" w:before="100"/>
      </w:pPr>
    </w:p>
    <w:p>
      <w:pPr>
        <w:spacing w:after="80" w:before="80"/>
        <w:jc w:val="center"/>
      </w:pPr>
      <w:r>
        <w:rPr>
          <w:rFonts w:ascii="Times New Roman" w:cs="Times New Roman" w:eastAsia="Times New Roman" w:hAnsi="Times New Roman"/>
          <w:b/>
          <w:bCs/>
          <w:i/>
          <w:iCs/>
          <w:color w:val="4A235A"/>
          <w:sz w:val="22"/>
          <w:szCs w:val="22"/>
        </w:rPr>
        <w:t xml:space="preserve">Table 11: Cross-Company Process Evolution — Aggregate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584"/>
        <w:gridCol w:w="1584"/>
        <w:gridCol w:w="1584"/>
        <w:gridCol w:w="1584"/>
        <w:gridCol w:w="1584"/>
      </w:tblGrid>
      <w:tr>
        <w:trPr>
          <w:tblHeader/>
        </w:trPr>
        <w:tc>
          <w:tcPr>
            <w:tcW w:type="dxa" w:w="1440"/>
            <w:tcBorders>
              <w:top w:val="single" w:color="7B3F00" w:sz="4"/>
              <w:left w:val="single" w:color="7B3F00" w:sz="4"/>
              <w:bottom w:val="single" w:color="7B3F00" w:sz="4"/>
              <w:right w:val="single" w:color="7B3F00" w:sz="4"/>
            </w:tcBorders>
            <w:shd w:fill="4A235A"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Metric</w:t>
            </w:r>
          </w:p>
        </w:tc>
        <w:tc>
          <w:tcPr>
            <w:tcW w:type="dxa" w:w="1584"/>
            <w:tcBorders>
              <w:top w:val="single" w:color="7B3F00" w:sz="4"/>
              <w:left w:val="single" w:color="7B3F00" w:sz="4"/>
              <w:bottom w:val="single" w:color="7B3F00" w:sz="4"/>
              <w:right w:val="single" w:color="7B3F00" w:sz="4"/>
            </w:tcBorders>
            <w:shd w:fill="4A235A"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Microsoft</w:t>
            </w:r>
          </w:p>
        </w:tc>
        <w:tc>
          <w:tcPr>
            <w:tcW w:type="dxa" w:w="1584"/>
            <w:tcBorders>
              <w:top w:val="single" w:color="7B3F00" w:sz="4"/>
              <w:left w:val="single" w:color="7B3F00" w:sz="4"/>
              <w:bottom w:val="single" w:color="7B3F00" w:sz="4"/>
              <w:right w:val="single" w:color="7B3F00" w:sz="4"/>
            </w:tcBorders>
            <w:shd w:fill="4A235A"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Walmart</w:t>
            </w:r>
          </w:p>
        </w:tc>
        <w:tc>
          <w:tcPr>
            <w:tcW w:type="dxa" w:w="1584"/>
            <w:tcBorders>
              <w:top w:val="single" w:color="7B3F00" w:sz="4"/>
              <w:left w:val="single" w:color="7B3F00" w:sz="4"/>
              <w:bottom w:val="single" w:color="7B3F00" w:sz="4"/>
              <w:right w:val="single" w:color="7B3F00" w:sz="4"/>
            </w:tcBorders>
            <w:shd w:fill="4A235A"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Tesla</w:t>
            </w:r>
          </w:p>
        </w:tc>
        <w:tc>
          <w:tcPr>
            <w:tcW w:type="dxa" w:w="1584"/>
            <w:tcBorders>
              <w:top w:val="single" w:color="7B3F00" w:sz="4"/>
              <w:left w:val="single" w:color="7B3F00" w:sz="4"/>
              <w:bottom w:val="single" w:color="7B3F00" w:sz="4"/>
              <w:right w:val="single" w:color="7B3F00" w:sz="4"/>
            </w:tcBorders>
            <w:shd w:fill="4A235A"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Netflix</w:t>
            </w:r>
          </w:p>
        </w:tc>
        <w:tc>
          <w:tcPr>
            <w:tcW w:type="dxa" w:w="1584"/>
            <w:tcBorders>
              <w:top w:val="single" w:color="7B3F00" w:sz="4"/>
              <w:left w:val="single" w:color="7B3F00" w:sz="4"/>
              <w:bottom w:val="single" w:color="7B3F00" w:sz="4"/>
              <w:right w:val="single" w:color="7B3F00" w:sz="4"/>
            </w:tcBorders>
            <w:shd w:fill="4A235A"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Alibaba</w:t>
            </w:r>
          </w:p>
        </w:tc>
      </w:tr>
      <w:tr>
        <w:tc>
          <w:tcPr>
            <w:tcW w:type="dxa" w:w="1440"/>
            <w:tcBorders>
              <w:top w:val="single" w:color="BBBBBB" w:sz="2"/>
              <w:left w:val="single" w:color="BBBBBB" w:sz="2"/>
              <w:bottom w:val="single" w:color="BBBBBB" w:sz="2"/>
              <w:right w:val="single" w:color="BBBBBB" w:sz="2"/>
            </w:tcBorders>
            <w:shd w:fill="EDE7F6" w:val="clear"/>
            <w:tcMar>
              <w:top w:type="dxa" w:w="80"/>
              <w:left w:type="dxa" w:w="100"/>
              <w:bottom w:type="dxa" w:w="80"/>
              <w:right w:type="dxa" w:w="100"/>
            </w:tcMar>
          </w:tcPr>
          <w:p>
            <w:r>
              <w:rPr>
                <w:rFonts w:ascii="Times New Roman" w:cs="Times New Roman" w:eastAsia="Times New Roman" w:hAnsi="Times New Roman"/>
                <w:b/>
                <w:bCs/>
                <w:sz w:val="18"/>
                <w:szCs w:val="18"/>
              </w:rPr>
              <w:t xml:space="preserve">Speed Gain (V1→V3)</w:t>
            </w:r>
          </w:p>
        </w:tc>
        <w:tc>
          <w:tcPr>
            <w:tcW w:type="dxa" w:w="1584"/>
            <w:tcBorders>
              <w:top w:val="single" w:color="BBBBBB" w:sz="2"/>
              <w:left w:val="single" w:color="BBBBBB" w:sz="2"/>
              <w:bottom w:val="single" w:color="BBBBBB" w:sz="2"/>
              <w:right w:val="single" w:color="BBBBBB" w:sz="2"/>
            </w:tcBorders>
            <w:shd w:fill="F9F5FF"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Weeks→Hours (releases)</w:t>
            </w:r>
          </w:p>
        </w:tc>
        <w:tc>
          <w:tcPr>
            <w:tcW w:type="dxa" w:w="1584"/>
            <w:tcBorders>
              <w:top w:val="single" w:color="BBBBBB" w:sz="2"/>
              <w:left w:val="single" w:color="BBBBBB" w:sz="2"/>
              <w:bottom w:val="single" w:color="BBBBBB" w:sz="2"/>
              <w:right w:val="single" w:color="BBBBBB" w:sz="2"/>
            </w:tcBorders>
            <w:shd w:fill="F9F5FF"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Days→Seconds (replenishment)</w:t>
            </w:r>
          </w:p>
        </w:tc>
        <w:tc>
          <w:tcPr>
            <w:tcW w:type="dxa" w:w="1584"/>
            <w:tcBorders>
              <w:top w:val="single" w:color="BBBBBB" w:sz="2"/>
              <w:left w:val="single" w:color="BBBBBB" w:sz="2"/>
              <w:bottom w:val="single" w:color="BBBBBB" w:sz="2"/>
              <w:right w:val="single" w:color="BBBBBB" w:sz="2"/>
            </w:tcBorders>
            <w:shd w:fill="F9F5FF"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5yrs→18mo (development)</w:t>
            </w:r>
          </w:p>
        </w:tc>
        <w:tc>
          <w:tcPr>
            <w:tcW w:type="dxa" w:w="1584"/>
            <w:tcBorders>
              <w:top w:val="single" w:color="BBBBBB" w:sz="2"/>
              <w:left w:val="single" w:color="BBBBBB" w:sz="2"/>
              <w:bottom w:val="single" w:color="BBBBBB" w:sz="2"/>
              <w:right w:val="single" w:color="BBBBBB" w:sz="2"/>
            </w:tcBorders>
            <w:shd w:fill="F9F5FF"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3 days→instant (delivery)</w:t>
            </w:r>
          </w:p>
        </w:tc>
        <w:tc>
          <w:tcPr>
            <w:tcW w:type="dxa" w:w="1584"/>
            <w:tcBorders>
              <w:top w:val="single" w:color="BBBBBB" w:sz="2"/>
              <w:left w:val="single" w:color="BBBBBB" w:sz="2"/>
              <w:bottom w:val="single" w:color="BBBBBB" w:sz="2"/>
              <w:right w:val="single" w:color="BBBBBB" w:sz="2"/>
            </w:tcBorders>
            <w:shd w:fill="F9F5FF"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Days→instant (payment)</w:t>
            </w:r>
          </w:p>
        </w:tc>
      </w:tr>
      <w:tr>
        <w:tc>
          <w:tcPr>
            <w:tcW w:type="dxa" w:w="1440"/>
            <w:tcBorders>
              <w:top w:val="single" w:color="BBBBBB" w:sz="2"/>
              <w:left w:val="single" w:color="BBBBBB" w:sz="2"/>
              <w:bottom w:val="single" w:color="BBBBBB" w:sz="2"/>
              <w:right w:val="single" w:color="BBBBBB" w:sz="2"/>
            </w:tcBorders>
            <w:shd w:fill="D7BDE2" w:val="clear"/>
            <w:tcMar>
              <w:top w:type="dxa" w:w="80"/>
              <w:left w:type="dxa" w:w="100"/>
              <w:bottom w:type="dxa" w:w="80"/>
              <w:right w:type="dxa" w:w="100"/>
            </w:tcMar>
          </w:tcPr>
          <w:p>
            <w:r>
              <w:rPr>
                <w:rFonts w:ascii="Times New Roman" w:cs="Times New Roman" w:eastAsia="Times New Roman" w:hAnsi="Times New Roman"/>
                <w:b/>
                <w:bCs/>
                <w:sz w:val="18"/>
                <w:szCs w:val="18"/>
              </w:rPr>
              <w:t xml:space="preserve">Cost Reduction</w:t>
            </w:r>
          </w:p>
        </w:tc>
        <w:tc>
          <w:tcPr>
            <w:tcW w:type="dxa" w:w="1584"/>
            <w:tcBorders>
              <w:top w:val="single" w:color="BBBBBB" w:sz="2"/>
              <w:left w:val="single" w:color="BBBBBB" w:sz="2"/>
              <w:bottom w:val="single" w:color="BBBBBB" w:sz="2"/>
              <w:right w:val="single" w:color="BBBBBB" w:sz="2"/>
            </w:tcBorders>
            <w:shd w:fill="FFF8F0"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~40% per software unit</w:t>
            </w:r>
          </w:p>
        </w:tc>
        <w:tc>
          <w:tcPr>
            <w:tcW w:type="dxa" w:w="1584"/>
            <w:tcBorders>
              <w:top w:val="single" w:color="BBBBBB" w:sz="2"/>
              <w:left w:val="single" w:color="BBBBBB" w:sz="2"/>
              <w:bottom w:val="single" w:color="BBBBBB" w:sz="2"/>
              <w:right w:val="single" w:color="BBBBBB" w:sz="2"/>
            </w:tcBorders>
            <w:shd w:fill="FFF8F0"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~30% supply chain saving</w:t>
            </w:r>
          </w:p>
        </w:tc>
        <w:tc>
          <w:tcPr>
            <w:tcW w:type="dxa" w:w="1584"/>
            <w:tcBorders>
              <w:top w:val="single" w:color="BBBBBB" w:sz="2"/>
              <w:left w:val="single" w:color="BBBBBB" w:sz="2"/>
              <w:bottom w:val="single" w:color="BBBBBB" w:sz="2"/>
              <w:right w:val="single" w:color="BBBBBB" w:sz="2"/>
            </w:tcBorders>
            <w:shd w:fill="FFF8F0"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~56% projected per kWh</w:t>
            </w:r>
          </w:p>
        </w:tc>
        <w:tc>
          <w:tcPr>
            <w:tcW w:type="dxa" w:w="1584"/>
            <w:tcBorders>
              <w:top w:val="single" w:color="BBBBBB" w:sz="2"/>
              <w:left w:val="single" w:color="BBBBBB" w:sz="2"/>
              <w:bottom w:val="single" w:color="BBBBBB" w:sz="2"/>
              <w:right w:val="single" w:color="BBBBBB" w:sz="2"/>
            </w:tcBorders>
            <w:shd w:fill="FFF8F0"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~35% CDN vs 3rd-party</w:t>
            </w:r>
          </w:p>
        </w:tc>
        <w:tc>
          <w:tcPr>
            <w:tcW w:type="dxa" w:w="1584"/>
            <w:tcBorders>
              <w:top w:val="single" w:color="BBBBBB" w:sz="2"/>
              <w:left w:val="single" w:color="BBBBBB" w:sz="2"/>
              <w:bottom w:val="single" w:color="BBBBBB" w:sz="2"/>
              <w:right w:val="single" w:color="BBBBBB" w:sz="2"/>
            </w:tcBorders>
            <w:shd w:fill="FFF8F0"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~60% fewer bad debts (AI)</w:t>
            </w:r>
          </w:p>
        </w:tc>
      </w:tr>
      <w:tr>
        <w:tc>
          <w:tcPr>
            <w:tcW w:type="dxa" w:w="1440"/>
            <w:tcBorders>
              <w:top w:val="single" w:color="BBBBBB" w:sz="2"/>
              <w:left w:val="single" w:color="BBBBBB" w:sz="2"/>
              <w:bottom w:val="single" w:color="BBBBBB" w:sz="2"/>
              <w:right w:val="single" w:color="BBBBBB" w:sz="2"/>
            </w:tcBorders>
            <w:shd w:fill="EDE7F6" w:val="clear"/>
            <w:tcMar>
              <w:top w:type="dxa" w:w="80"/>
              <w:left w:type="dxa" w:w="100"/>
              <w:bottom w:type="dxa" w:w="80"/>
              <w:right w:type="dxa" w:w="100"/>
            </w:tcMar>
          </w:tcPr>
          <w:p>
            <w:r>
              <w:rPr>
                <w:rFonts w:ascii="Times New Roman" w:cs="Times New Roman" w:eastAsia="Times New Roman" w:hAnsi="Times New Roman"/>
                <w:b/>
                <w:bCs/>
                <w:sz w:val="18"/>
                <w:szCs w:val="18"/>
              </w:rPr>
              <w:t xml:space="preserve">Automation Level</w:t>
            </w:r>
          </w:p>
        </w:tc>
        <w:tc>
          <w:tcPr>
            <w:tcW w:type="dxa" w:w="1584"/>
            <w:tcBorders>
              <w:top w:val="single" w:color="BBBBBB" w:sz="2"/>
              <w:left w:val="single" w:color="BBBBBB" w:sz="2"/>
              <w:bottom w:val="single" w:color="BBBBBB" w:sz="2"/>
              <w:right w:val="single" w:color="BBBBBB" w:sz="2"/>
            </w:tcBorders>
            <w:shd w:fill="F9F5FF"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Full CI/CD + AI coding</w:t>
            </w:r>
          </w:p>
        </w:tc>
        <w:tc>
          <w:tcPr>
            <w:tcW w:type="dxa" w:w="1584"/>
            <w:tcBorders>
              <w:top w:val="single" w:color="BBBBBB" w:sz="2"/>
              <w:left w:val="single" w:color="BBBBBB" w:sz="2"/>
              <w:bottom w:val="single" w:color="BBBBBB" w:sz="2"/>
              <w:right w:val="single" w:color="BBBBBB" w:sz="2"/>
            </w:tcBorders>
            <w:shd w:fill="F9F5FF"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RFID + AI scheduling</w:t>
            </w:r>
          </w:p>
        </w:tc>
        <w:tc>
          <w:tcPr>
            <w:tcW w:type="dxa" w:w="1584"/>
            <w:tcBorders>
              <w:top w:val="single" w:color="BBBBBB" w:sz="2"/>
              <w:left w:val="single" w:color="BBBBBB" w:sz="2"/>
              <w:bottom w:val="single" w:color="BBBBBB" w:sz="2"/>
              <w:right w:val="single" w:color="BBBBBB" w:sz="2"/>
            </w:tcBorders>
            <w:shd w:fill="F9F5FF"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Generative design + 4680</w:t>
            </w:r>
          </w:p>
        </w:tc>
        <w:tc>
          <w:tcPr>
            <w:tcW w:type="dxa" w:w="1584"/>
            <w:tcBorders>
              <w:top w:val="single" w:color="BBBBBB" w:sz="2"/>
              <w:left w:val="single" w:color="BBBBBB" w:sz="2"/>
              <w:bottom w:val="single" w:color="BBBBBB" w:sz="2"/>
              <w:right w:val="single" w:color="BBBBBB" w:sz="2"/>
            </w:tcBorders>
            <w:shd w:fill="F9F5FF"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Open Connect + AV1 AI</w:t>
            </w:r>
          </w:p>
        </w:tc>
        <w:tc>
          <w:tcPr>
            <w:tcW w:type="dxa" w:w="1584"/>
            <w:tcBorders>
              <w:top w:val="single" w:color="BBBBBB" w:sz="2"/>
              <w:left w:val="single" w:color="BBBBBB" w:sz="2"/>
              <w:bottom w:val="single" w:color="BBBBBB" w:sz="2"/>
              <w:right w:val="single" w:color="BBBBBB" w:sz="2"/>
            </w:tcBorders>
            <w:shd w:fill="F9F5FF"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Alime AI + smart lending</w:t>
            </w:r>
          </w:p>
        </w:tc>
      </w:tr>
      <w:tr>
        <w:tc>
          <w:tcPr>
            <w:tcW w:type="dxa" w:w="1440"/>
            <w:tcBorders>
              <w:top w:val="single" w:color="BBBBBB" w:sz="2"/>
              <w:left w:val="single" w:color="BBBBBB" w:sz="2"/>
              <w:bottom w:val="single" w:color="BBBBBB" w:sz="2"/>
              <w:right w:val="single" w:color="BBBBBB" w:sz="2"/>
            </w:tcBorders>
            <w:shd w:fill="D7BDE2" w:val="clear"/>
            <w:tcMar>
              <w:top w:type="dxa" w:w="80"/>
              <w:left w:type="dxa" w:w="100"/>
              <w:bottom w:type="dxa" w:w="80"/>
              <w:right w:type="dxa" w:w="100"/>
            </w:tcMar>
          </w:tcPr>
          <w:p>
            <w:r>
              <w:rPr>
                <w:rFonts w:ascii="Times New Roman" w:cs="Times New Roman" w:eastAsia="Times New Roman" w:hAnsi="Times New Roman"/>
                <w:b/>
                <w:bCs/>
                <w:sz w:val="18"/>
                <w:szCs w:val="18"/>
              </w:rPr>
              <w:t xml:space="preserve">Customer Impact</w:t>
            </w:r>
          </w:p>
        </w:tc>
        <w:tc>
          <w:tcPr>
            <w:tcW w:type="dxa" w:w="1584"/>
            <w:tcBorders>
              <w:top w:val="single" w:color="BBBBBB" w:sz="2"/>
              <w:left w:val="single" w:color="BBBBBB" w:sz="2"/>
              <w:bottom w:val="single" w:color="BBBBBB" w:sz="2"/>
              <w:right w:val="single" w:color="BBBBBB" w:sz="2"/>
            </w:tcBorders>
            <w:shd w:fill="FFF8F0"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NPS: &lt;30 → &gt;60</w:t>
            </w:r>
          </w:p>
        </w:tc>
        <w:tc>
          <w:tcPr>
            <w:tcW w:type="dxa" w:w="1584"/>
            <w:tcBorders>
              <w:top w:val="single" w:color="BBBBBB" w:sz="2"/>
              <w:left w:val="single" w:color="BBBBBB" w:sz="2"/>
              <w:bottom w:val="single" w:color="BBBBBB" w:sz="2"/>
              <w:right w:val="single" w:color="BBBBBB" w:sz="2"/>
            </w:tcBorders>
            <w:shd w:fill="FFF8F0"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Highest retail revenue/sqft</w:t>
            </w:r>
          </w:p>
        </w:tc>
        <w:tc>
          <w:tcPr>
            <w:tcW w:type="dxa" w:w="1584"/>
            <w:tcBorders>
              <w:top w:val="single" w:color="BBBBBB" w:sz="2"/>
              <w:left w:val="single" w:color="BBBBBB" w:sz="2"/>
              <w:bottom w:val="single" w:color="BBBBBB" w:sz="2"/>
              <w:right w:val="single" w:color="BBBBBB" w:sz="2"/>
            </w:tcBorders>
            <w:shd w:fill="FFF8F0"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Zero direct sales friction</w:t>
            </w:r>
          </w:p>
        </w:tc>
        <w:tc>
          <w:tcPr>
            <w:tcW w:type="dxa" w:w="1584"/>
            <w:tcBorders>
              <w:top w:val="single" w:color="BBBBBB" w:sz="2"/>
              <w:left w:val="single" w:color="BBBBBB" w:sz="2"/>
              <w:bottom w:val="single" w:color="BBBBBB" w:sz="2"/>
              <w:right w:val="single" w:color="BBBBBB" w:sz="2"/>
            </w:tcBorders>
            <w:shd w:fill="FFF8F0"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270M subscribers globally</w:t>
            </w:r>
          </w:p>
        </w:tc>
        <w:tc>
          <w:tcPr>
            <w:tcW w:type="dxa" w:w="1584"/>
            <w:tcBorders>
              <w:top w:val="single" w:color="BBBBBB" w:sz="2"/>
              <w:left w:val="single" w:color="BBBBBB" w:sz="2"/>
              <w:bottom w:val="single" w:color="BBBBBB" w:sz="2"/>
              <w:right w:val="single" w:color="BBBBBB" w:sz="2"/>
            </w:tcBorders>
            <w:shd w:fill="FFF8F0"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500M new financial access</w:t>
            </w:r>
          </w:p>
        </w:tc>
      </w:tr>
      <w:tr>
        <w:tc>
          <w:tcPr>
            <w:tcW w:type="dxa" w:w="1440"/>
            <w:tcBorders>
              <w:top w:val="single" w:color="BBBBBB" w:sz="2"/>
              <w:left w:val="single" w:color="BBBBBB" w:sz="2"/>
              <w:bottom w:val="single" w:color="BBBBBB" w:sz="2"/>
              <w:right w:val="single" w:color="BBBBBB" w:sz="2"/>
            </w:tcBorders>
            <w:shd w:fill="EDE7F6" w:val="clear"/>
            <w:tcMar>
              <w:top w:type="dxa" w:w="80"/>
              <w:left w:type="dxa" w:w="100"/>
              <w:bottom w:type="dxa" w:w="80"/>
              <w:right w:type="dxa" w:w="100"/>
            </w:tcMar>
          </w:tcPr>
          <w:p>
            <w:r>
              <w:rPr>
                <w:rFonts w:ascii="Times New Roman" w:cs="Times New Roman" w:eastAsia="Times New Roman" w:hAnsi="Times New Roman"/>
                <w:b/>
                <w:bCs/>
                <w:sz w:val="18"/>
                <w:szCs w:val="18"/>
              </w:rPr>
              <w:t xml:space="preserve">Data Sophistication</w:t>
            </w:r>
          </w:p>
        </w:tc>
        <w:tc>
          <w:tcPr>
            <w:tcW w:type="dxa" w:w="1584"/>
            <w:tcBorders>
              <w:top w:val="single" w:color="BBBBBB" w:sz="2"/>
              <w:left w:val="single" w:color="BBBBBB" w:sz="2"/>
              <w:bottom w:val="single" w:color="BBBBBB" w:sz="2"/>
              <w:right w:val="single" w:color="BBBBBB" w:sz="2"/>
            </w:tcBorders>
            <w:shd w:fill="F9F5FF"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Real-time telemetry + A/B</w:t>
            </w:r>
          </w:p>
        </w:tc>
        <w:tc>
          <w:tcPr>
            <w:tcW w:type="dxa" w:w="1584"/>
            <w:tcBorders>
              <w:top w:val="single" w:color="BBBBBB" w:sz="2"/>
              <w:left w:val="single" w:color="BBBBBB" w:sz="2"/>
              <w:bottom w:val="single" w:color="BBBBBB" w:sz="2"/>
              <w:right w:val="single" w:color="BBBBBB" w:sz="2"/>
            </w:tcBorders>
            <w:shd w:fill="F9F5FF"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Luminate real-time platform</w:t>
            </w:r>
          </w:p>
        </w:tc>
        <w:tc>
          <w:tcPr>
            <w:tcW w:type="dxa" w:w="1584"/>
            <w:tcBorders>
              <w:top w:val="single" w:color="BBBBBB" w:sz="2"/>
              <w:left w:val="single" w:color="BBBBBB" w:sz="2"/>
              <w:bottom w:val="single" w:color="BBBBBB" w:sz="2"/>
              <w:right w:val="single" w:color="BBBBBB" w:sz="2"/>
            </w:tcBorders>
            <w:shd w:fill="F9F5FF"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Fleet Learning (1B+ miles)</w:t>
            </w:r>
          </w:p>
        </w:tc>
        <w:tc>
          <w:tcPr>
            <w:tcW w:type="dxa" w:w="1584"/>
            <w:tcBorders>
              <w:top w:val="single" w:color="BBBBBB" w:sz="2"/>
              <w:left w:val="single" w:color="BBBBBB" w:sz="2"/>
              <w:bottom w:val="single" w:color="BBBBBB" w:sz="2"/>
              <w:right w:val="single" w:color="BBBBBB" w:sz="2"/>
            </w:tcBorders>
            <w:shd w:fill="F9F5FF"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Granular viewing analytics</w:t>
            </w:r>
          </w:p>
        </w:tc>
        <w:tc>
          <w:tcPr>
            <w:tcW w:type="dxa" w:w="1584"/>
            <w:tcBorders>
              <w:top w:val="single" w:color="BBBBBB" w:sz="2"/>
              <w:left w:val="single" w:color="BBBBBB" w:sz="2"/>
              <w:bottom w:val="single" w:color="BBBBBB" w:sz="2"/>
              <w:right w:val="single" w:color="BBBBBB" w:sz="2"/>
            </w:tcBorders>
            <w:shd w:fill="F9F5FF"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Alternative credit scoring AI</w:t>
            </w:r>
          </w:p>
        </w:tc>
      </w:tr>
      <w:tr>
        <w:tc>
          <w:tcPr>
            <w:tcW w:type="dxa" w:w="1440"/>
            <w:tcBorders>
              <w:top w:val="single" w:color="BBBBBB" w:sz="2"/>
              <w:left w:val="single" w:color="BBBBBB" w:sz="2"/>
              <w:bottom w:val="single" w:color="BBBBBB" w:sz="2"/>
              <w:right w:val="single" w:color="BBBBBB" w:sz="2"/>
            </w:tcBorders>
            <w:shd w:fill="D7BDE2" w:val="clear"/>
            <w:tcMar>
              <w:top w:type="dxa" w:w="80"/>
              <w:left w:type="dxa" w:w="100"/>
              <w:bottom w:type="dxa" w:w="80"/>
              <w:right w:type="dxa" w:w="100"/>
            </w:tcMar>
          </w:tcPr>
          <w:p>
            <w:r>
              <w:rPr>
                <w:rFonts w:ascii="Times New Roman" w:cs="Times New Roman" w:eastAsia="Times New Roman" w:hAnsi="Times New Roman"/>
                <w:b/>
                <w:bCs/>
                <w:sz w:val="18"/>
                <w:szCs w:val="18"/>
              </w:rPr>
              <w:t xml:space="preserve">Scalability</w:t>
            </w:r>
          </w:p>
        </w:tc>
        <w:tc>
          <w:tcPr>
            <w:tcW w:type="dxa" w:w="1584"/>
            <w:tcBorders>
              <w:top w:val="single" w:color="BBBBBB" w:sz="2"/>
              <w:left w:val="single" w:color="BBBBBB" w:sz="2"/>
              <w:bottom w:val="single" w:color="BBBBBB" w:sz="2"/>
              <w:right w:val="single" w:color="BBBBBB" w:sz="2"/>
            </w:tcBorders>
            <w:shd w:fill="FFF8F0"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Global cloud (unlimited)</w:t>
            </w:r>
          </w:p>
        </w:tc>
        <w:tc>
          <w:tcPr>
            <w:tcW w:type="dxa" w:w="1584"/>
            <w:tcBorders>
              <w:top w:val="single" w:color="BBBBBB" w:sz="2"/>
              <w:left w:val="single" w:color="BBBBBB" w:sz="2"/>
              <w:bottom w:val="single" w:color="BBBBBB" w:sz="2"/>
              <w:right w:val="single" w:color="BBBBBB" w:sz="2"/>
            </w:tcBorders>
            <w:shd w:fill="FFF8F0"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10,500 stores + e-comm</w:t>
            </w:r>
          </w:p>
        </w:tc>
        <w:tc>
          <w:tcPr>
            <w:tcW w:type="dxa" w:w="1584"/>
            <w:tcBorders>
              <w:top w:val="single" w:color="BBBBBB" w:sz="2"/>
              <w:left w:val="single" w:color="BBBBBB" w:sz="2"/>
              <w:bottom w:val="single" w:color="BBBBBB" w:sz="2"/>
              <w:right w:val="single" w:color="BBBBBB" w:sz="2"/>
            </w:tcBorders>
            <w:shd w:fill="FFF8F0"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Gigafactories (multi-continent)</w:t>
            </w:r>
          </w:p>
        </w:tc>
        <w:tc>
          <w:tcPr>
            <w:tcW w:type="dxa" w:w="1584"/>
            <w:tcBorders>
              <w:top w:val="single" w:color="BBBBBB" w:sz="2"/>
              <w:left w:val="single" w:color="BBBBBB" w:sz="2"/>
              <w:bottom w:val="single" w:color="BBBBBB" w:sz="2"/>
              <w:right w:val="single" w:color="BBBBBB" w:sz="2"/>
            </w:tcBorders>
            <w:shd w:fill="FFF8F0"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190 countries one platform</w:t>
            </w:r>
          </w:p>
        </w:tc>
        <w:tc>
          <w:tcPr>
            <w:tcW w:type="dxa" w:w="1584"/>
            <w:tcBorders>
              <w:top w:val="single" w:color="BBBBBB" w:sz="2"/>
              <w:left w:val="single" w:color="BBBBBB" w:sz="2"/>
              <w:bottom w:val="single" w:color="BBBBBB" w:sz="2"/>
              <w:right w:val="single" w:color="BBBBBB" w:sz="2"/>
            </w:tcBorders>
            <w:shd w:fill="FFF8F0"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580K orders/sec capacity</w:t>
            </w:r>
          </w:p>
        </w:tc>
      </w:tr>
      <w:tr>
        <w:tc>
          <w:tcPr>
            <w:tcW w:type="dxa" w:w="1440"/>
            <w:tcBorders>
              <w:top w:val="single" w:color="BBBBBB" w:sz="2"/>
              <w:left w:val="single" w:color="BBBBBB" w:sz="2"/>
              <w:bottom w:val="single" w:color="BBBBBB" w:sz="2"/>
              <w:right w:val="single" w:color="BBBBBB" w:sz="2"/>
            </w:tcBorders>
            <w:shd w:fill="EDE7F6" w:val="clear"/>
            <w:tcMar>
              <w:top w:type="dxa" w:w="80"/>
              <w:left w:type="dxa" w:w="100"/>
              <w:bottom w:type="dxa" w:w="80"/>
              <w:right w:type="dxa" w:w="100"/>
            </w:tcMar>
          </w:tcPr>
          <w:p>
            <w:r>
              <w:rPr>
                <w:rFonts w:ascii="Times New Roman" w:cs="Times New Roman" w:eastAsia="Times New Roman" w:hAnsi="Times New Roman"/>
                <w:b/>
                <w:bCs/>
                <w:sz w:val="18"/>
                <w:szCs w:val="18"/>
              </w:rPr>
              <w:t xml:space="preserve">AI Integration</w:t>
            </w:r>
          </w:p>
        </w:tc>
        <w:tc>
          <w:tcPr>
            <w:tcW w:type="dxa" w:w="1584"/>
            <w:tcBorders>
              <w:top w:val="single" w:color="BBBBBB" w:sz="2"/>
              <w:left w:val="single" w:color="BBBBBB" w:sz="2"/>
              <w:bottom w:val="single" w:color="BBBBBB" w:sz="2"/>
              <w:right w:val="single" w:color="BBBBBB" w:sz="2"/>
            </w:tcBorders>
            <w:shd w:fill="F9F5FF"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GitHub Copilot + Azure AI</w:t>
            </w:r>
          </w:p>
        </w:tc>
        <w:tc>
          <w:tcPr>
            <w:tcW w:type="dxa" w:w="1584"/>
            <w:tcBorders>
              <w:top w:val="single" w:color="BBBBBB" w:sz="2"/>
              <w:left w:val="single" w:color="BBBBBB" w:sz="2"/>
              <w:bottom w:val="single" w:color="BBBBBB" w:sz="2"/>
              <w:right w:val="single" w:color="BBBBBB" w:sz="2"/>
            </w:tcBorders>
            <w:shd w:fill="F9F5FF"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Demand sensing + Missed Scan</w:t>
            </w:r>
          </w:p>
        </w:tc>
        <w:tc>
          <w:tcPr>
            <w:tcW w:type="dxa" w:w="1584"/>
            <w:tcBorders>
              <w:top w:val="single" w:color="BBBBBB" w:sz="2"/>
              <w:left w:val="single" w:color="BBBBBB" w:sz="2"/>
              <w:bottom w:val="single" w:color="BBBBBB" w:sz="2"/>
              <w:right w:val="single" w:color="BBBBBB" w:sz="2"/>
            </w:tcBorders>
            <w:shd w:fill="F9F5FF"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Dojo + generative design</w:t>
            </w:r>
          </w:p>
        </w:tc>
        <w:tc>
          <w:tcPr>
            <w:tcW w:type="dxa" w:w="1584"/>
            <w:tcBorders>
              <w:top w:val="single" w:color="BBBBBB" w:sz="2"/>
              <w:left w:val="single" w:color="BBBBBB" w:sz="2"/>
              <w:bottom w:val="single" w:color="BBBBBB" w:sz="2"/>
              <w:right w:val="single" w:color="BBBBBB" w:sz="2"/>
            </w:tcBorders>
            <w:shd w:fill="F9F5FF"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Recommendation engine + AV1</w:t>
            </w:r>
          </w:p>
        </w:tc>
        <w:tc>
          <w:tcPr>
            <w:tcW w:type="dxa" w:w="1584"/>
            <w:tcBorders>
              <w:top w:val="single" w:color="BBBBBB" w:sz="2"/>
              <w:left w:val="single" w:color="BBBBBB" w:sz="2"/>
              <w:bottom w:val="single" w:color="BBBBBB" w:sz="2"/>
              <w:right w:val="single" w:color="BBBBBB" w:sz="2"/>
            </w:tcBorders>
            <w:shd w:fill="F9F5FF" w:val="clear"/>
            <w:tcMar>
              <w:top w:type="dxa" w:w="80"/>
              <w:left w:type="dxa" w:w="100"/>
              <w:bottom w:type="dxa" w:w="80"/>
              <w:right w:type="dxa" w:w="100"/>
            </w:tcMar>
          </w:tcPr>
          <w:p>
            <w:r>
              <w:rPr>
                <w:rFonts w:ascii="Times New Roman" w:cs="Times New Roman" w:eastAsia="Times New Roman" w:hAnsi="Times New Roman"/>
                <w:b w:val="false"/>
                <w:bCs w:val="false"/>
                <w:sz w:val="18"/>
                <w:szCs w:val="18"/>
              </w:rPr>
              <w:t xml:space="preserve">Deep learning commerce + Ant</w:t>
            </w:r>
          </w:p>
        </w:tc>
      </w:tr>
    </w:tbl>
    <w:p>
      <w:pPr>
        <w:spacing w:after="0" w:before="200"/>
      </w:pPr>
    </w:p>
    <w:p>
      <w:r>
        <w:br w:type="page"/>
      </w:r>
    </w:p>
    <w:p>
      <w:pPr>
        <w:pStyle w:val="Heading1"/>
      </w:pPr>
      <w:r>
        <w:rPr>
          <w:rFonts w:ascii="Times New Roman" w:cs="Times New Roman" w:eastAsia="Times New Roman" w:hAnsi="Times New Roman"/>
          <w:b/>
          <w:bCs/>
          <w:color w:val="4A235A"/>
          <w:sz w:val="30"/>
          <w:szCs w:val="30"/>
        </w:rPr>
        <w:t xml:space="preserve">8. Discussion: Strategic Patterns in Process Evolution</w:t>
      </w:r>
    </w:p>
    <w:p>
      <w:pPr>
        <w:pStyle w:val="Heading2"/>
      </w:pPr>
      <w:r>
        <w:rPr>
          <w:rFonts w:ascii="Times New Roman" w:cs="Times New Roman" w:eastAsia="Times New Roman" w:hAnsi="Times New Roman"/>
          <w:b/>
          <w:bCs/>
          <w:color w:val="78281F"/>
          <w:sz w:val="26"/>
          <w:szCs w:val="26"/>
        </w:rPr>
        <w:t xml:space="preserve">8.1 The Three-Stage Maturity Model</w:t>
      </w:r>
    </w:p>
    <w:p>
      <w:pPr>
        <w:spacing w:after="100" w:before="80" w:line="340"/>
        <w:jc w:val="both"/>
      </w:pPr>
      <w:r>
        <w:rPr>
          <w:rFonts w:ascii="Times New Roman" w:cs="Times New Roman" w:eastAsia="Times New Roman" w:hAnsi="Times New Roman"/>
          <w:sz w:val="22"/>
          <w:szCs w:val="22"/>
        </w:rPr>
        <w:t xml:space="preserve">Across all five corporations and fifteen processes examined, a consistent three-stage maturity pattern emerges. Version 1 processes are characterized by human-dependency, information scarcity, sequential execution, and limited scalability — not because organizations chose inefficiency, but because the enabling technologies for more efficient alternatives did not yet exist or were prohibitively expensive. Version 2 processes introduce systematic management, digital information flows, and organizational process discipline — using technology to codify and scale what was previously ad hoc. Version 3 processes introduce intelligence — the capacity for systems to learn, predict, adapt, and self-optimize based on data — moving from codified efficiency to dynamic optimization.</w:t>
      </w:r>
    </w:p>
    <w:p>
      <w:pPr>
        <w:spacing w:after="100" w:before="80" w:line="340"/>
        <w:jc w:val="both"/>
      </w:pPr>
      <w:r>
        <w:rPr>
          <w:rFonts w:ascii="Times New Roman" w:cs="Times New Roman" w:eastAsia="Times New Roman" w:hAnsi="Times New Roman"/>
          <w:sz w:val="22"/>
          <w:szCs w:val="22"/>
        </w:rPr>
        <w:t xml:space="preserve">This three-stage progression aligns with Davenport's (1993) distinction between process automation (doing the same thing faster), process rationalization (redesigning what is done), and process transformation (redefining what the process is for). All five companies have progressed through all three stages, though at different speeds, through different technological pathways, and with different organizational enablers.</w:t>
      </w:r>
    </w:p>
    <w:p>
      <w:pPr>
        <w:pStyle w:val="Heading2"/>
      </w:pPr>
      <w:r>
        <w:rPr>
          <w:rFonts w:ascii="Times New Roman" w:cs="Times New Roman" w:eastAsia="Times New Roman" w:hAnsi="Times New Roman"/>
          <w:b/>
          <w:bCs/>
          <w:color w:val="78281F"/>
          <w:sz w:val="26"/>
          <w:szCs w:val="26"/>
        </w:rPr>
        <w:t xml:space="preserve">8.2 Artificial Intelligence as the Defining V3 Technology</w:t>
      </w:r>
    </w:p>
    <w:p>
      <w:pPr>
        <w:spacing w:after="100" w:before="80" w:line="340"/>
        <w:jc w:val="both"/>
      </w:pPr>
      <w:r>
        <w:rPr>
          <w:rFonts w:ascii="Times New Roman" w:cs="Times New Roman" w:eastAsia="Times New Roman" w:hAnsi="Times New Roman"/>
          <w:sz w:val="22"/>
          <w:szCs w:val="22"/>
        </w:rPr>
        <w:t xml:space="preserve">A striking observation across all fifteen processes is the centrality of artificial intelligence to Version 3 optimization. Whether it is Netflix's content recommendation engine, Walmart's Luminate demand platform, Tesla's Fleet Learning system, Microsoft's GitHub Copilot, or Alibaba's alternative credit scoring model, machine learning is the technology that distinguishes Version 3 from Version 2 more than any other single factor. This is not coincidental — AI's distinctive capability is pattern recognition and prediction at scales and speeds that exceed human cognitive capacity, which is precisely what Version 3 process optimization requires: predicting demand before it materializes, detecting quality defects at production speed, personalizing experiences for hundreds of millions of individuals simultaneously, and continuously improving based on new data without human reprogramming.</w:t>
      </w:r>
    </w:p>
    <w:p>
      <w:pPr>
        <w:pStyle w:val="Heading2"/>
      </w:pPr>
      <w:r>
        <w:rPr>
          <w:rFonts w:ascii="Times New Roman" w:cs="Times New Roman" w:eastAsia="Times New Roman" w:hAnsi="Times New Roman"/>
          <w:b/>
          <w:bCs/>
          <w:color w:val="78281F"/>
          <w:sz w:val="26"/>
          <w:szCs w:val="26"/>
        </w:rPr>
        <w:t xml:space="preserve">8.3 Proprietary Infrastructure as Competitive Moat</w:t>
      </w:r>
    </w:p>
    <w:p>
      <w:pPr>
        <w:spacing w:after="100" w:before="80" w:line="340"/>
        <w:jc w:val="both"/>
      </w:pPr>
      <w:r>
        <w:rPr>
          <w:rFonts w:ascii="Times New Roman" w:cs="Times New Roman" w:eastAsia="Times New Roman" w:hAnsi="Times New Roman"/>
          <w:sz w:val="22"/>
          <w:szCs w:val="22"/>
        </w:rPr>
        <w:t xml:space="preserve">A second common pattern across the five corporations is the progressive internalization of critical infrastructure that was initially outsourced or relied on shared external systems. Walmart built its own satellite network and truck fleet when competitors used third-party telecommunications and logistics. Netflix built its own CDN when competitors rely on shared CDN providers. Tesla built its own Gigafactories and battery cell production when all competitors outsource cells. Microsoft built its own cloud infrastructure rather than hosting on third-party services. Alibaba built its own payment system when banks refused to support online escrow transactions. In each case, the proprietary infrastructure investment was initially expensive and operationally risky, but ultimately generated a durable competitive advantage that external providers could not replicate or that competitors using shared infrastructure could not match.</w:t>
      </w:r>
    </w:p>
    <w:p>
      <w:pPr>
        <w:pStyle w:val="Heading2"/>
      </w:pPr>
      <w:r>
        <w:rPr>
          <w:rFonts w:ascii="Times New Roman" w:cs="Times New Roman" w:eastAsia="Times New Roman" w:hAnsi="Times New Roman"/>
          <w:b/>
          <w:bCs/>
          <w:color w:val="78281F"/>
          <w:sz w:val="26"/>
          <w:szCs w:val="26"/>
        </w:rPr>
        <w:t xml:space="preserve">8.4 Data as the Strategic Raw Material of V3 Processes</w:t>
      </w:r>
    </w:p>
    <w:p>
      <w:pPr>
        <w:spacing w:after="100" w:before="80" w:line="340"/>
        <w:jc w:val="both"/>
      </w:pPr>
      <w:r>
        <w:rPr>
          <w:rFonts w:ascii="Times New Roman" w:cs="Times New Roman" w:eastAsia="Times New Roman" w:hAnsi="Times New Roman"/>
          <w:sz w:val="22"/>
          <w:szCs w:val="22"/>
        </w:rPr>
        <w:t xml:space="preserve">Each Version 3 process analyzed in this study is fundamentally dependent on data that the company itself has generated through its own operations and customer interactions. Walmart's demand forecasting uses its own point-of-sale data. Netflix's recommendation engine uses its own viewing behavioral data. Tesla's Fleet Learning uses driving data from its own vehicles. Alibaba's credit scoring uses its own transaction history. Microsoft's product telemetry uses behavioral data from its own software users. This creates a compounding advantage: as these companies grow, they generate more data; more data improves their AI models; better AI models improve their processes; improved processes attract more customers who generate more data. This self-reinforcing cycle — sometimes called the AI flywheel — represents perhaps the most durable source of competitive advantage in the modern economy.</w:t>
      </w:r>
    </w:p>
    <w:p>
      <w:r>
        <w:br w:type="page"/>
      </w:r>
    </w:p>
    <w:p>
      <w:pPr>
        <w:pStyle w:val="Heading1"/>
      </w:pPr>
      <w:r>
        <w:rPr>
          <w:rFonts w:ascii="Times New Roman" w:cs="Times New Roman" w:eastAsia="Times New Roman" w:hAnsi="Times New Roman"/>
          <w:b/>
          <w:bCs/>
          <w:color w:val="4A235A"/>
          <w:sz w:val="30"/>
          <w:szCs w:val="30"/>
        </w:rPr>
        <w:t xml:space="preserve">9. Conclusion</w:t>
      </w:r>
    </w:p>
    <w:p>
      <w:pPr>
        <w:spacing w:after="100" w:before="80" w:line="340"/>
        <w:jc w:val="both"/>
      </w:pPr>
      <w:r>
        <w:rPr>
          <w:rFonts w:ascii="Times New Roman" w:cs="Times New Roman" w:eastAsia="Times New Roman" w:hAnsi="Times New Roman"/>
          <w:sz w:val="22"/>
          <w:szCs w:val="22"/>
        </w:rPr>
        <w:t xml:space="preserve">This study has systematically analyzed the business process evolution of five globally significant corporations — Microsoft, Walmart, Tesla, Netflix, and Alibaba — across a three-version framework encompassing fifteen major business processes. The analysis yields five principal conclusions.</w:t>
      </w:r>
    </w:p>
    <w:p>
      <w:pPr>
        <w:spacing w:after="100" w:before="80" w:line="340"/>
        <w:jc w:val="both"/>
      </w:pPr>
      <w:r>
        <w:rPr>
          <w:rFonts w:ascii="Times New Roman" w:cs="Times New Roman" w:eastAsia="Times New Roman" w:hAnsi="Times New Roman"/>
          <w:sz w:val="22"/>
          <w:szCs w:val="22"/>
        </w:rPr>
        <w:t xml:space="preserve">First, business process engineering is not a discrete project but a continuous strategic imperative. Every organization studied has maintained an unbroken commitment to process improvement across multiple decades, technology generations, and competitive environments. The organizations that have achieved the greatest operational efficiency gains are precisely those that have treated process optimization as a permanent organizational capability rather than a periodic initiative.</w:t>
      </w:r>
    </w:p>
    <w:p>
      <w:pPr>
        <w:spacing w:after="100" w:before="80" w:line="340"/>
        <w:jc w:val="both"/>
      </w:pPr>
      <w:r>
        <w:rPr>
          <w:rFonts w:ascii="Times New Roman" w:cs="Times New Roman" w:eastAsia="Times New Roman" w:hAnsi="Times New Roman"/>
          <w:sz w:val="22"/>
          <w:szCs w:val="22"/>
        </w:rPr>
        <w:t xml:space="preserve">Second, technological capability and organizational readiness must co-evolve. The most sophisticated process innovations examined — AI-driven demand sensing, generative vehicle design, blockchain food traceability — were only achievable because these organizations had spent years building the digital infrastructure, data management capabilities, and process discipline necessary to support advanced technology deployment. Organizations that attempt to skip the Version 2 systematization phase and deploy AI on top of Version 1 manual processes typically fail.</w:t>
      </w:r>
    </w:p>
    <w:p>
      <w:pPr>
        <w:spacing w:after="100" w:before="80" w:line="340"/>
        <w:jc w:val="both"/>
      </w:pPr>
      <w:r>
        <w:rPr>
          <w:rFonts w:ascii="Times New Roman" w:cs="Times New Roman" w:eastAsia="Times New Roman" w:hAnsi="Times New Roman"/>
          <w:sz w:val="22"/>
          <w:szCs w:val="22"/>
        </w:rPr>
        <w:t xml:space="preserve">Third, the locus of competitive advantage has shifted from physical assets to process capability and data assets. Walmart's competitive moat is no longer its physical store network — it is its supply chain data infrastructure and AI optimization capability. Netflix's advantage is not its content library — it is its behavioral data and recommendation engine. Tesla's advantage is not its vehicle design — it is its manufacturing process innovation and Fleet Learning data. In the modern competitive landscape, superior process capability and the data assets that power it are the primary determinants of sustained competitive advantage.</w:t>
      </w:r>
    </w:p>
    <w:p>
      <w:pPr>
        <w:spacing w:after="100" w:before="80" w:line="340"/>
        <w:jc w:val="both"/>
      </w:pPr>
      <w:r>
        <w:rPr>
          <w:rFonts w:ascii="Times New Roman" w:cs="Times New Roman" w:eastAsia="Times New Roman" w:hAnsi="Times New Roman"/>
          <w:sz w:val="22"/>
          <w:szCs w:val="22"/>
        </w:rPr>
        <w:t xml:space="preserve">Fourth, artificial intelligence is the defining process technology of the current era. Across all fifteen processes analyzed, AI is the technology most consistently associated with Version 3 optimization. Organizations that develop genuine AI capability — not merely purchasing AI tools, but building the data infrastructure, technical talent, and organizational processes to extract value from AI — will continue to widen their efficiency advantage over those that do not.</w:t>
      </w:r>
    </w:p>
    <w:p>
      <w:pPr>
        <w:spacing w:after="100" w:before="80" w:line="340"/>
        <w:jc w:val="both"/>
      </w:pPr>
      <w:r>
        <w:rPr>
          <w:rFonts w:ascii="Times New Roman" w:cs="Times New Roman" w:eastAsia="Times New Roman" w:hAnsi="Times New Roman"/>
          <w:sz w:val="22"/>
          <w:szCs w:val="22"/>
        </w:rPr>
        <w:t xml:space="preserve">Fifth, process evolution serves customers. Ultimately, the business case for every process improvement analyzed in this study — whether it reduced cost, improved quality, accelerated speed, or enhanced reliability — derived from its impact on customer value. The organizations that have most consistently prioritized customer outcomes as the north star of their process engineering decisions have achieved the greatest commercial success. This alignment between process excellence and customer value is not coincidental — it reflects the foundational insight that sustainable competitive advantage is built on genuinely serving customers better than alternatives, and that superior business processes are the mechanism through which this is accomplished at scale.</w:t>
      </w:r>
    </w:p>
    <w:p>
      <w:pPr>
        <w:spacing w:after="0" w:before="200"/>
      </w:pPr>
    </w:p>
    <w:p>
      <w:pPr>
        <w:pStyle w:val="Heading1"/>
      </w:pPr>
      <w:r>
        <w:rPr>
          <w:rFonts w:ascii="Times New Roman" w:cs="Times New Roman" w:eastAsia="Times New Roman" w:hAnsi="Times New Roman"/>
          <w:b/>
          <w:bCs/>
          <w:color w:val="4A235A"/>
          <w:sz w:val="30"/>
          <w:szCs w:val="30"/>
        </w:rPr>
        <w:t xml:space="preserve">10. References</w:t>
      </w:r>
    </w:p>
    <w:p>
      <w:pPr>
        <w:spacing w:after="60" w:before="60" w:line="300"/>
        <w:ind w:left="720" w:hanging="720"/>
      </w:pPr>
      <w:r>
        <w:rPr>
          <w:rFonts w:ascii="Times New Roman" w:cs="Times New Roman" w:eastAsia="Times New Roman" w:hAnsi="Times New Roman"/>
          <w:sz w:val="20"/>
          <w:szCs w:val="20"/>
        </w:rPr>
        <w:t xml:space="preserve">Davenport, T. H. (1993). Process Innovation: Reengineering Work through Information Technology. Harvard Business School Press, Boston, MA.</w:t>
      </w:r>
    </w:p>
    <w:p>
      <w:pPr>
        <w:spacing w:after="60" w:before="60" w:line="300"/>
        <w:ind w:left="720" w:hanging="720"/>
      </w:pPr>
      <w:r>
        <w:rPr>
          <w:rFonts w:ascii="Times New Roman" w:cs="Times New Roman" w:eastAsia="Times New Roman" w:hAnsi="Times New Roman"/>
          <w:sz w:val="20"/>
          <w:szCs w:val="20"/>
        </w:rPr>
        <w:t xml:space="preserve">Hammer, M., &amp; Champy, J. (1993). Reengineering the Corporation: A Manifesto for Business Revolution. HarperBusiness, New York.</w:t>
      </w:r>
    </w:p>
    <w:p>
      <w:pPr>
        <w:spacing w:after="60" w:before="60" w:line="300"/>
        <w:ind w:left="720" w:hanging="720"/>
      </w:pPr>
      <w:r>
        <w:rPr>
          <w:rFonts w:ascii="Times New Roman" w:cs="Times New Roman" w:eastAsia="Times New Roman" w:hAnsi="Times New Roman"/>
          <w:sz w:val="20"/>
          <w:szCs w:val="20"/>
        </w:rPr>
        <w:t xml:space="preserve">Nadella, S. (2017). Hit Refresh: The Quest to Rediscover Microsoft's Soul and Imagine a Better Future for Everyone. Harper Business.</w:t>
      </w:r>
    </w:p>
    <w:p>
      <w:pPr>
        <w:spacing w:after="60" w:before="60" w:line="300"/>
        <w:ind w:left="720" w:hanging="720"/>
      </w:pPr>
      <w:r>
        <w:rPr>
          <w:rFonts w:ascii="Times New Roman" w:cs="Times New Roman" w:eastAsia="Times New Roman" w:hAnsi="Times New Roman"/>
          <w:sz w:val="20"/>
          <w:szCs w:val="20"/>
        </w:rPr>
        <w:t xml:space="preserve">Walton, S., &amp; Huey, J. (1992). Sam Walton: Made in America. Bantam Books, New York.</w:t>
      </w:r>
    </w:p>
    <w:p>
      <w:pPr>
        <w:spacing w:after="60" w:before="60" w:line="300"/>
        <w:ind w:left="720" w:hanging="720"/>
      </w:pPr>
      <w:r>
        <w:rPr>
          <w:rFonts w:ascii="Times New Roman" w:cs="Times New Roman" w:eastAsia="Times New Roman" w:hAnsi="Times New Roman"/>
          <w:sz w:val="20"/>
          <w:szCs w:val="20"/>
        </w:rPr>
        <w:t xml:space="preserve">Vance, A. (2015). Elon Musk: Tesla, SpaceX, and the Quest for a Fantastic Future. Ecco / HarperCollins.</w:t>
      </w:r>
    </w:p>
    <w:p>
      <w:pPr>
        <w:spacing w:after="60" w:before="60" w:line="300"/>
        <w:ind w:left="720" w:hanging="720"/>
      </w:pPr>
      <w:r>
        <w:rPr>
          <w:rFonts w:ascii="Times New Roman" w:cs="Times New Roman" w:eastAsia="Times New Roman" w:hAnsi="Times New Roman"/>
          <w:sz w:val="20"/>
          <w:szCs w:val="20"/>
        </w:rPr>
        <w:t xml:space="preserve">McCord, P. (2018). Powerful: Building a Culture of Freedom and Responsibility. Silicon Guild (Netflix culture framework).</w:t>
      </w:r>
    </w:p>
    <w:p>
      <w:pPr>
        <w:spacing w:after="60" w:before="60" w:line="300"/>
        <w:ind w:left="720" w:hanging="720"/>
      </w:pPr>
      <w:r>
        <w:rPr>
          <w:rFonts w:ascii="Times New Roman" w:cs="Times New Roman" w:eastAsia="Times New Roman" w:hAnsi="Times New Roman"/>
          <w:sz w:val="20"/>
          <w:szCs w:val="20"/>
        </w:rPr>
        <w:t xml:space="preserve">Clark, D. (2016). Alibaba: The House That Jack Ma Built. Ecco / HarperCollins.</w:t>
      </w:r>
    </w:p>
    <w:p>
      <w:pPr>
        <w:spacing w:after="60" w:before="60" w:line="300"/>
        <w:ind w:left="720" w:hanging="720"/>
      </w:pPr>
      <w:r>
        <w:rPr>
          <w:rFonts w:ascii="Times New Roman" w:cs="Times New Roman" w:eastAsia="Times New Roman" w:hAnsi="Times New Roman"/>
          <w:sz w:val="20"/>
          <w:szCs w:val="20"/>
        </w:rPr>
        <w:t xml:space="preserve">Microsoft Corporation. (2024). Annual Report 2024. Microsoft Investor Relations, Redmond, WA.</w:t>
      </w:r>
    </w:p>
    <w:p>
      <w:pPr>
        <w:spacing w:after="60" w:before="60" w:line="300"/>
        <w:ind w:left="720" w:hanging="720"/>
      </w:pPr>
      <w:r>
        <w:rPr>
          <w:rFonts w:ascii="Times New Roman" w:cs="Times New Roman" w:eastAsia="Times New Roman" w:hAnsi="Times New Roman"/>
          <w:sz w:val="20"/>
          <w:szCs w:val="20"/>
        </w:rPr>
        <w:t xml:space="preserve">Walmart Inc. (2024). Annual Report and Proxy Statement 2024. Walmart Investor Relations, Bentonville, AR.</w:t>
      </w:r>
    </w:p>
    <w:p>
      <w:pPr>
        <w:spacing w:after="60" w:before="60" w:line="300"/>
        <w:ind w:left="720" w:hanging="720"/>
      </w:pPr>
      <w:r>
        <w:rPr>
          <w:rFonts w:ascii="Times New Roman" w:cs="Times New Roman" w:eastAsia="Times New Roman" w:hAnsi="Times New Roman"/>
          <w:sz w:val="20"/>
          <w:szCs w:val="20"/>
        </w:rPr>
        <w:t xml:space="preserve">Tesla, Inc. (2024). Annual Report 2024. Tesla Investor Relations, Austin, TX.</w:t>
      </w:r>
    </w:p>
    <w:p>
      <w:pPr>
        <w:spacing w:after="60" w:before="60" w:line="300"/>
        <w:ind w:left="720" w:hanging="720"/>
      </w:pPr>
      <w:r>
        <w:rPr>
          <w:rFonts w:ascii="Times New Roman" w:cs="Times New Roman" w:eastAsia="Times New Roman" w:hAnsi="Times New Roman"/>
          <w:sz w:val="20"/>
          <w:szCs w:val="20"/>
        </w:rPr>
        <w:t xml:space="preserve">Netflix, Inc. (2024). Annual Report 2024. Netflix Investor Relations, Los Gatos, CA.</w:t>
      </w:r>
    </w:p>
    <w:p>
      <w:pPr>
        <w:spacing w:after="60" w:before="60" w:line="300"/>
        <w:ind w:left="720" w:hanging="720"/>
      </w:pPr>
      <w:r>
        <w:rPr>
          <w:rFonts w:ascii="Times New Roman" w:cs="Times New Roman" w:eastAsia="Times New Roman" w:hAnsi="Times New Roman"/>
          <w:sz w:val="20"/>
          <w:szCs w:val="20"/>
        </w:rPr>
        <w:t xml:space="preserve">Alibaba Group. (2024). Annual Report 2024. Alibaba Group Investor Relations, Hangzhou, China.</w:t>
      </w:r>
    </w:p>
    <w:p>
      <w:pPr>
        <w:spacing w:after="60" w:before="60" w:line="300"/>
        <w:ind w:left="720" w:hanging="720"/>
      </w:pPr>
      <w:r>
        <w:rPr>
          <w:rFonts w:ascii="Times New Roman" w:cs="Times New Roman" w:eastAsia="Times New Roman" w:hAnsi="Times New Roman"/>
          <w:sz w:val="20"/>
          <w:szCs w:val="20"/>
        </w:rPr>
        <w:t xml:space="preserve">Brynjolfsson, E., &amp; McAfee, A. (2014). The Second Machine Age. W. W. Norton &amp; Company, New York.</w:t>
      </w:r>
    </w:p>
    <w:p>
      <w:pPr>
        <w:spacing w:after="60" w:before="60" w:line="300"/>
        <w:ind w:left="720" w:hanging="720"/>
      </w:pPr>
      <w:r>
        <w:rPr>
          <w:rFonts w:ascii="Times New Roman" w:cs="Times New Roman" w:eastAsia="Times New Roman" w:hAnsi="Times New Roman"/>
          <w:sz w:val="20"/>
          <w:szCs w:val="20"/>
        </w:rPr>
        <w:t xml:space="preserve">McKinsey Global Institute. (2023). The Economic Potential of Generative AI. McKinsey &amp; Company.</w:t>
      </w:r>
    </w:p>
    <w:p>
      <w:pPr>
        <w:spacing w:after="60" w:before="60" w:line="300"/>
        <w:ind w:left="720" w:hanging="720"/>
      </w:pPr>
      <w:r>
        <w:rPr>
          <w:rFonts w:ascii="Times New Roman" w:cs="Times New Roman" w:eastAsia="Times New Roman" w:hAnsi="Times New Roman"/>
          <w:sz w:val="20"/>
          <w:szCs w:val="20"/>
        </w:rPr>
        <w:t xml:space="preserve">World Economic Forum. (2024). Future of Jobs Report 2025. World Economic Forum, Geneva.</w:t>
      </w:r>
    </w:p>
    <w:p>
      <w:pPr>
        <w:spacing w:after="60" w:before="60" w:line="300"/>
        <w:ind w:left="720" w:hanging="720"/>
      </w:pPr>
      <w:r>
        <w:rPr>
          <w:rFonts w:ascii="Times New Roman" w:cs="Times New Roman" w:eastAsia="Times New Roman" w:hAnsi="Times New Roman"/>
          <w:sz w:val="20"/>
          <w:szCs w:val="20"/>
        </w:rPr>
        <w:t xml:space="preserve">Iansiti, M., &amp; Lakhani, K. R. (2020). Competing in the Age of AI: Strategy and Leadership When Algorithms and Networks Run the World. Harvard Business Review Press.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8281F" w:sz="4" w:space="1"/>
      </w:pBd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  BPE Comparative Process Study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235A" w:sz="6" w:space="1"/>
      </w:pBdr>
      <w:spacing w:after="0"/>
    </w:pPr>
    <w:r>
      <w:rPr>
        <w:rFonts w:ascii="Times New Roman" w:cs="Times New Roman" w:eastAsia="Times New Roman" w:hAnsi="Times New Roman"/>
        <w:i/>
        <w:iCs/>
        <w:color w:val="666666"/>
        <w:sz w:val="18"/>
        <w:szCs w:val="18"/>
      </w:rPr>
      <w:t xml:space="preserve">Business Process Engineering | Process Optimization &amp; Evolution — Comparative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4A235A"/>
      <w:sz w:val="30"/>
      <w:szCs w:val="30"/>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78281F"/>
      <w:sz w:val="26"/>
      <w:szCs w:val="26"/>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1543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2026-05-24T13:17:35.491Z</dcterms:created>
  <dcterms:modified xsi:type="dcterms:W3CDTF">2026-05-24T13:17:35.505Z</dcterms:modified>
</cp:coreProperties>
</file>

<file path=docProps/custom.xml><?xml version="1.0" encoding="utf-8"?>
<Properties xmlns="http://schemas.openxmlformats.org/officeDocument/2006/custom-properties" xmlns:vt="http://schemas.openxmlformats.org/officeDocument/2006/docPropsVTypes"/>
</file>