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Five-Line Explanation</w:t>
      </w:r>
    </w:p>
    <w:p>
      <w:pPr>
        <w:pStyle w:val="ListNumber"/>
      </w:pPr>
      <w:r>
        <w:t>Removed greetings, conversational filler, and repeated statements of the main task.</w:t>
      </w:r>
    </w:p>
    <w:p>
      <w:pPr>
        <w:pStyle w:val="ListNumber"/>
      </w:pPr>
      <w:r>
        <w:t>Grouped related CSV export requirements under a single Requirements heading.</w:t>
      </w:r>
    </w:p>
    <w:p>
      <w:pPr>
        <w:pStyle w:val="ListNumber"/>
      </w:pPr>
      <w:r>
        <w:t>Preserved filtered rows, sorting order, visible column order, hidden-column exclusion, and ISO 8601 date formatting.</w:t>
      </w:r>
    </w:p>
    <w:p>
      <w:pPr>
        <w:pStyle w:val="ListNumber"/>
      </w:pPr>
      <w:r>
        <w:t>Retained the no-new-dependencies constraint and the inspect-before-change workflow.</w:t>
      </w:r>
    </w:p>
    <w:p>
      <w:pPr>
        <w:pStyle w:val="ListNumber"/>
      </w:pPr>
      <w:r>
        <w:t>Preserved implementation, changed-file reporting, and verification of existing filtering and sorting.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