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r>
        <w:rPr>
          <w:b/>
          <w:bCs/>
        </w:rPr>
        <w:t>Literature Review: Heart Disease Risk Prediction Using EHR Data</w:t>
      </w:r>
    </w:p>
    <w:p>
      <w:pPr>
        <w:pStyle w:val="style0"/>
        <w:jc w:val="both"/>
        <w:rPr/>
      </w:pPr>
      <w:r>
        <w:t>Heart disease remains one of the leading causes of mortality worldwide, necessitating robust predictive models for early intervention. With the digitization of healthcare systems, Electronic Health Records (EHR) have emerged as valuable data sources for developing predictive algorithms. This review synthesizes insights from three key sources in heart disease prediction using machine learning: the Cleveland heart disease dataset (Detrano et al., 1989), a comprehensive study by Shah et al. (2020), and research by Jindal et al. (2021) on comparative algorithm performance.</w:t>
      </w:r>
    </w:p>
    <w:p>
      <w:pPr>
        <w:pStyle w:val="style0"/>
        <w:jc w:val="both"/>
        <w:rPr>
          <w:b/>
          <w:bCs/>
        </w:rPr>
      </w:pPr>
      <w:r>
        <w:rPr>
          <w:b/>
          <w:bCs/>
        </w:rPr>
        <w:t>The Cleveland Heart Disease Dataset (Detrano et al., 1989)</w:t>
      </w:r>
    </w:p>
    <w:p>
      <w:pPr>
        <w:pStyle w:val="style0"/>
        <w:jc w:val="both"/>
        <w:rPr/>
      </w:pPr>
      <w:r>
        <w:t>The Cleveland Clinic Foundation dataset, collected by Detrano et al. (1989), has become one of the most widely used resources for heart disease prediction research. This dataset contains 303 instances with 14 attributes including:</w:t>
      </w:r>
    </w:p>
    <w:p>
      <w:pPr>
        <w:pStyle w:val="style0"/>
        <w:numPr>
          <w:ilvl w:val="0"/>
          <w:numId w:val="1"/>
        </w:numPr>
        <w:jc w:val="both"/>
        <w:rPr/>
      </w:pPr>
      <w:r>
        <w:t>Demographic factors: age, sex</w:t>
      </w:r>
    </w:p>
    <w:p>
      <w:pPr>
        <w:pStyle w:val="style0"/>
        <w:numPr>
          <w:ilvl w:val="0"/>
          <w:numId w:val="1"/>
        </w:numPr>
        <w:jc w:val="both"/>
        <w:rPr/>
      </w:pPr>
      <w:r>
        <w:t>Clinical measurements: resting blood pressure, cholesterol levels</w:t>
      </w:r>
    </w:p>
    <w:p>
      <w:pPr>
        <w:pStyle w:val="style0"/>
        <w:numPr>
          <w:ilvl w:val="0"/>
          <w:numId w:val="1"/>
        </w:numPr>
        <w:jc w:val="both"/>
        <w:rPr/>
      </w:pPr>
      <w:r>
        <w:t>Diagnostic results: resting electrocardiographic results, maximum heart rate, exercise-induced angina</w:t>
      </w:r>
    </w:p>
    <w:p>
      <w:pPr>
        <w:pStyle w:val="style0"/>
        <w:numPr>
          <w:ilvl w:val="0"/>
          <w:numId w:val="1"/>
        </w:numPr>
        <w:jc w:val="both"/>
        <w:rPr/>
      </w:pPr>
      <w:r>
        <w:t>Angiographic findings: number of major vessels colored by fluoroscopy</w:t>
      </w:r>
    </w:p>
    <w:p>
      <w:pPr>
        <w:pStyle w:val="style0"/>
        <w:jc w:val="both"/>
        <w:rPr/>
      </w:pPr>
      <w:r>
        <w:t>The data were collected by Detrano et al. (1989) with the aim of establishing the capability of clinical and noninvasive tests in predicting CAD. Its value is in the fact that the dataset covers nearly all the risk factors in its collection process hence making it suitable for other machine learning studies. The authors also showed that even in this case the results of traditional statistical analysis provided a rather moderate accuracy that was about 77 %; this was indicative of the fact that further improvements might be achieved with the use of more advanced analytical techniques.</w:t>
      </w:r>
    </w:p>
    <w:p>
      <w:pPr>
        <w:pStyle w:val="style0"/>
        <w:jc w:val="both"/>
        <w:rPr>
          <w:b/>
          <w:bCs/>
        </w:rPr>
      </w:pPr>
      <w:r>
        <w:rPr>
          <w:b/>
          <w:bCs/>
        </w:rPr>
        <w:t>Machine Learning Applications (Shah et al., 2020)</w:t>
      </w:r>
    </w:p>
    <w:p>
      <w:pPr>
        <w:pStyle w:val="style0"/>
        <w:jc w:val="both"/>
        <w:rPr/>
      </w:pPr>
      <w:r>
        <w:rPr>
          <w:lang w:val="en-US"/>
        </w:rPr>
        <w:t>Shah et al. (2020) review the various machine learning algorithm for predicting the risk of heart disease. In cases where the results were comparable or better, they used additional external data sources into Cleveland dataset to test the performance of several algorithms such as Logistic Regression, K-Nearest Neighbors (KNN), Support Vector Machine (SVM), Decision Tree, and training several combinations of these models with the use of ensemble tools.</w:t>
      </w:r>
    </w:p>
    <w:p>
      <w:pPr>
        <w:pStyle w:val="style0"/>
        <w:jc w:val="both"/>
        <w:rPr/>
      </w:pPr>
      <w:r>
        <w:t>Key findings from Shah et al. (2020) include:</w:t>
      </w:r>
    </w:p>
    <w:p>
      <w:pPr>
        <w:pStyle w:val="style0"/>
        <w:numPr>
          <w:ilvl w:val="0"/>
          <w:numId w:val="2"/>
        </w:numPr>
        <w:jc w:val="both"/>
        <w:rPr/>
      </w:pPr>
      <w:r>
        <w:rPr>
          <w:b/>
          <w:bCs/>
        </w:rPr>
        <w:t>Algorithm Performance</w:t>
      </w:r>
      <w:r>
        <w:t xml:space="preserve">: </w:t>
      </w:r>
      <w:r>
        <w:rPr>
          <w:lang w:val="en-US"/>
        </w:rPr>
        <w:t>Generally, Random Forest had the highest accuracy of 88.7%, SVM had 87.9% and Logistic Regression 85.1%. This implies that the ensemble methods are better suited to capture interactions between the various risk factors.</w:t>
      </w:r>
    </w:p>
    <w:p>
      <w:pPr>
        <w:pStyle w:val="style0"/>
        <w:numPr>
          <w:ilvl w:val="0"/>
          <w:numId w:val="2"/>
        </w:numPr>
        <w:jc w:val="both"/>
        <w:rPr/>
      </w:pPr>
      <w:r>
        <w:rPr>
          <w:b/>
          <w:bCs/>
        </w:rPr>
        <w:t>Feature Importance</w:t>
      </w:r>
      <w:r>
        <w:t xml:space="preserve">: </w:t>
      </w:r>
      <w:r>
        <w:rPr>
          <w:lang w:val="en-US"/>
        </w:rPr>
        <w:t>Therefore, the most important predictors of mortality across several algorithms were the patients’ age, the type of chest pain, and maximum heart rate. According to the authors, it was established “that chest pain type is 2.5 fold more informative than cholesterol” (Shah et al., 2020, p.348).</w:t>
      </w:r>
    </w:p>
    <w:p>
      <w:pPr>
        <w:pStyle w:val="style0"/>
        <w:numPr>
          <w:ilvl w:val="0"/>
          <w:numId w:val="2"/>
        </w:numPr>
        <w:jc w:val="both"/>
        <w:rPr/>
      </w:pPr>
      <w:r>
        <w:rPr>
          <w:b/>
          <w:bCs/>
        </w:rPr>
        <w:t>Handling Missing Data</w:t>
      </w:r>
      <w:r>
        <w:t xml:space="preserve">: </w:t>
      </w:r>
      <w:r>
        <w:rPr>
          <w:lang w:val="en-US"/>
        </w:rPr>
        <w:t>The researchers used techniques of multiple imputations on the missing values and the results showed that the k-nearest neighbors imputations were more effective in maintaining the predictive accuracies rather than the mean substitution values.</w:t>
      </w:r>
    </w:p>
    <w:p>
      <w:pPr>
        <w:pStyle w:val="style0"/>
        <w:jc w:val="both"/>
        <w:rPr/>
      </w:pPr>
      <w:r>
        <w:rPr>
          <w:lang w:val="en-US"/>
        </w:rPr>
        <w:t>Shah et al. (2020) also encouraged the use of feature selection where the number of selected features was lowered from 14 to 9 and yet the efficiency of the model was enhanced. They also mentioned some of the drawbacks: “These algorithms can work well with the clinical data and structured data, but there are challenges when it comes to incorporating the EHR notes” (Shah et al., 2020, p.351).</w:t>
      </w:r>
    </w:p>
    <w:p>
      <w:pPr>
        <w:pStyle w:val="style0"/>
        <w:jc w:val="both"/>
        <w:rPr>
          <w:b/>
          <w:bCs/>
        </w:rPr>
      </w:pPr>
      <w:r>
        <w:rPr>
          <w:b/>
          <w:bCs/>
        </w:rPr>
        <w:t>Comparative Algorithm Analysis (Jindal et al., 2021)</w:t>
      </w:r>
    </w:p>
    <w:p>
      <w:pPr>
        <w:pStyle w:val="style0"/>
        <w:jc w:val="both"/>
        <w:rPr/>
      </w:pPr>
      <w:r>
        <w:rPr>
          <w:lang w:val="en-US"/>
        </w:rPr>
        <w:t>Jindal et al. (2021) continued from the previous studies by comparing the differences between using the conventional machine learning algorithms and using the neural network models. It therefore employed the Cleveland dataset with additional data from other medical centers to assess external validity.</w:t>
      </w:r>
    </w:p>
    <w:p>
      <w:pPr>
        <w:pStyle w:val="style0"/>
        <w:jc w:val="both"/>
        <w:rPr/>
      </w:pPr>
      <w:r>
        <w:t>Their analysis revealed:</w:t>
      </w:r>
    </w:p>
    <w:p>
      <w:pPr>
        <w:pStyle w:val="style0"/>
        <w:numPr>
          <w:ilvl w:val="0"/>
          <w:numId w:val="3"/>
        </w:numPr>
        <w:jc w:val="both"/>
        <w:rPr/>
      </w:pPr>
      <w:r>
        <w:rPr>
          <w:b/>
          <w:bCs/>
        </w:rPr>
        <w:t>Deep Learning Advantages</w:t>
      </w:r>
      <w:r>
        <w:t>: Artificial Neural Networks (ANNs) achieved superior accuracy (91.2%) compared to conventional methods. The authors noted that "deep learning models demonstrated particular strength in identifying subtle patterns among interdependent cardiovascular risk factors" (Jindal et al., 2021, p.012072-6).</w:t>
      </w:r>
    </w:p>
    <w:p>
      <w:pPr>
        <w:pStyle w:val="style0"/>
        <w:numPr>
          <w:ilvl w:val="0"/>
          <w:numId w:val="3"/>
        </w:numPr>
        <w:jc w:val="both"/>
        <w:rPr/>
      </w:pPr>
      <w:r>
        <w:rPr>
          <w:b/>
          <w:bCs/>
        </w:rPr>
        <w:t>Hyperparameter Optimization</w:t>
      </w:r>
      <w:r>
        <w:t>: Grid search optimization of hyperparameters improved model performance by 3.5-4.8% across algorithms, with neural networks benefiting most significantly.</w:t>
      </w:r>
    </w:p>
    <w:p>
      <w:pPr>
        <w:pStyle w:val="style0"/>
        <w:numPr>
          <w:ilvl w:val="0"/>
          <w:numId w:val="3"/>
        </w:numPr>
        <w:jc w:val="both"/>
        <w:rPr/>
      </w:pPr>
      <w:r>
        <w:rPr>
          <w:b/>
          <w:bCs/>
        </w:rPr>
        <w:t>Feature Engineering</w:t>
      </w:r>
      <w:r>
        <w:t>: Creative feature engineering, particularly the derivation of compound variables (like BMI from height/weight), enhanced predictive power. The authors found that "engineered features capturing the interaction between age, cholesterol, and blood pressure improved AUC by 0.07" (Jindal et al., 2021, p.012072-8).</w:t>
      </w:r>
    </w:p>
    <w:p>
      <w:pPr>
        <w:pStyle w:val="style0"/>
        <w:jc w:val="both"/>
        <w:rPr/>
      </w:pPr>
      <w:r>
        <w:t>Jindal et al. (2021) also addressed the challenge of class imbalance—a common issue in medical datasets where negative cases frequently outnumber positive ones. They implemented Synthetic Minority Over-sampling Technique (SMOTE) to balance classes, reporting that "addressing class imbalance improved sensitivity from 82.3% to 89.7% without significant loss in specificity" (Jindal et al., 2021, p.012072-9).</w:t>
      </w:r>
    </w:p>
    <w:p>
      <w:pPr>
        <w:pStyle w:val="style0"/>
        <w:jc w:val="both"/>
        <w:rPr>
          <w:b/>
          <w:bCs/>
        </w:rPr>
      </w:pPr>
      <w:r>
        <w:rPr>
          <w:b/>
          <w:bCs/>
        </w:rPr>
        <w:t>Comparative Analysis of Findings</w:t>
      </w:r>
    </w:p>
    <w:tbl>
      <w:tblPr>
        <w:tblStyle w:val="style4111"/>
        <w:tblW w:w="0" w:type="auto"/>
        <w:tblLook w:val="04A0" w:firstRow="1" w:lastRow="0" w:firstColumn="1" w:lastColumn="0" w:noHBand="0" w:noVBand="1"/>
      </w:tblPr>
      <w:tblGrid>
        <w:gridCol w:w="1794"/>
        <w:gridCol w:w="2260"/>
        <w:gridCol w:w="2695"/>
        <w:gridCol w:w="2609"/>
      </w:tblGrid>
      <w:tr>
        <w:trPr/>
        <w:tc>
          <w:tcPr>
            <w:tcW w:w="0" w:type="auto"/>
            <w:tcBorders/>
            <w:hideMark/>
          </w:tcPr>
          <w:p>
            <w:pPr>
              <w:pStyle w:val="style0"/>
              <w:spacing w:after="160" w:lineRule="auto" w:line="259"/>
              <w:jc w:val="both"/>
              <w:rPr>
                <w:b/>
                <w:bCs/>
              </w:rPr>
            </w:pPr>
            <w:r>
              <w:rPr>
                <w:b/>
                <w:bCs/>
              </w:rPr>
              <w:t>Aspect</w:t>
            </w:r>
          </w:p>
        </w:tc>
        <w:tc>
          <w:tcPr>
            <w:tcW w:w="0" w:type="auto"/>
            <w:tcBorders/>
            <w:hideMark/>
          </w:tcPr>
          <w:p>
            <w:pPr>
              <w:pStyle w:val="style0"/>
              <w:spacing w:after="160" w:lineRule="auto" w:line="259"/>
              <w:jc w:val="both"/>
              <w:rPr>
                <w:b/>
                <w:bCs/>
              </w:rPr>
            </w:pPr>
            <w:r>
              <w:rPr>
                <w:b/>
                <w:bCs/>
              </w:rPr>
              <w:t>Detrano et al. (1989)</w:t>
            </w:r>
          </w:p>
        </w:tc>
        <w:tc>
          <w:tcPr>
            <w:tcW w:w="0" w:type="auto"/>
            <w:tcBorders/>
            <w:hideMark/>
          </w:tcPr>
          <w:p>
            <w:pPr>
              <w:pStyle w:val="style0"/>
              <w:spacing w:after="160" w:lineRule="auto" w:line="259"/>
              <w:jc w:val="both"/>
              <w:rPr>
                <w:b/>
                <w:bCs/>
              </w:rPr>
            </w:pPr>
            <w:r>
              <w:rPr>
                <w:b/>
                <w:bCs/>
              </w:rPr>
              <w:t>Shah et al. (2020)</w:t>
            </w:r>
          </w:p>
        </w:tc>
        <w:tc>
          <w:tcPr>
            <w:tcW w:w="0" w:type="auto"/>
            <w:tcBorders/>
            <w:hideMark/>
          </w:tcPr>
          <w:p>
            <w:pPr>
              <w:pStyle w:val="style0"/>
              <w:spacing w:after="160" w:lineRule="auto" w:line="259"/>
              <w:jc w:val="both"/>
              <w:rPr>
                <w:b/>
                <w:bCs/>
              </w:rPr>
            </w:pPr>
            <w:r>
              <w:rPr>
                <w:b/>
                <w:bCs/>
              </w:rPr>
              <w:t>Jindal et al. (2021)</w:t>
            </w:r>
          </w:p>
        </w:tc>
      </w:tr>
      <w:tr>
        <w:tblPrEx/>
        <w:trPr/>
        <w:tc>
          <w:tcPr>
            <w:tcW w:w="0" w:type="auto"/>
            <w:tcBorders/>
            <w:hideMark/>
          </w:tcPr>
          <w:p>
            <w:pPr>
              <w:pStyle w:val="style0"/>
              <w:spacing w:after="160" w:lineRule="auto" w:line="259"/>
              <w:jc w:val="both"/>
              <w:rPr/>
            </w:pPr>
            <w:r>
              <w:t>Primary Focus</w:t>
            </w:r>
          </w:p>
        </w:tc>
        <w:tc>
          <w:tcPr>
            <w:tcW w:w="0" w:type="auto"/>
            <w:tcBorders/>
            <w:hideMark/>
          </w:tcPr>
          <w:p>
            <w:pPr>
              <w:pStyle w:val="style0"/>
              <w:spacing w:after="160" w:lineRule="auto" w:line="259"/>
              <w:jc w:val="both"/>
              <w:rPr/>
            </w:pPr>
            <w:r>
              <w:t>Data collection and initial statistical analysis</w:t>
            </w:r>
          </w:p>
        </w:tc>
        <w:tc>
          <w:tcPr>
            <w:tcW w:w="0" w:type="auto"/>
            <w:tcBorders/>
            <w:hideMark/>
          </w:tcPr>
          <w:p>
            <w:pPr>
              <w:pStyle w:val="style0"/>
              <w:spacing w:after="160" w:lineRule="auto" w:line="259"/>
              <w:jc w:val="both"/>
              <w:rPr/>
            </w:pPr>
            <w:r>
              <w:t>Comparative evaluation of traditional ML algorithms</w:t>
            </w:r>
          </w:p>
        </w:tc>
        <w:tc>
          <w:tcPr>
            <w:tcW w:w="0" w:type="auto"/>
            <w:tcBorders/>
            <w:hideMark/>
          </w:tcPr>
          <w:p>
            <w:pPr>
              <w:pStyle w:val="style0"/>
              <w:spacing w:after="160" w:lineRule="auto" w:line="259"/>
              <w:jc w:val="both"/>
              <w:rPr/>
            </w:pPr>
            <w:r>
              <w:t>Neural networks and advanced feature engineering</w:t>
            </w:r>
          </w:p>
        </w:tc>
      </w:tr>
      <w:tr>
        <w:tblPrEx/>
        <w:trPr/>
        <w:tc>
          <w:tcPr>
            <w:tcW w:w="0" w:type="auto"/>
            <w:tcBorders/>
            <w:hideMark/>
          </w:tcPr>
          <w:p>
            <w:pPr>
              <w:pStyle w:val="style0"/>
              <w:spacing w:after="160" w:lineRule="auto" w:line="259"/>
              <w:jc w:val="both"/>
              <w:rPr/>
            </w:pPr>
            <w:r>
              <w:t>Best Performing Method</w:t>
            </w:r>
          </w:p>
        </w:tc>
        <w:tc>
          <w:tcPr>
            <w:tcW w:w="0" w:type="auto"/>
            <w:tcBorders/>
            <w:hideMark/>
          </w:tcPr>
          <w:p>
            <w:pPr>
              <w:pStyle w:val="style0"/>
              <w:spacing w:after="160" w:lineRule="auto" w:line="259"/>
              <w:jc w:val="both"/>
              <w:rPr/>
            </w:pPr>
            <w:r>
              <w:t>Statistical models (77% accuracy)</w:t>
            </w:r>
          </w:p>
        </w:tc>
        <w:tc>
          <w:tcPr>
            <w:tcW w:w="0" w:type="auto"/>
            <w:tcBorders/>
            <w:hideMark/>
          </w:tcPr>
          <w:p>
            <w:pPr>
              <w:pStyle w:val="style0"/>
              <w:spacing w:after="160" w:lineRule="auto" w:line="259"/>
              <w:jc w:val="both"/>
              <w:rPr/>
            </w:pPr>
            <w:r>
              <w:t>Random Forest (88.7% accuracy)</w:t>
            </w:r>
          </w:p>
        </w:tc>
        <w:tc>
          <w:tcPr>
            <w:tcW w:w="0" w:type="auto"/>
            <w:tcBorders/>
            <w:hideMark/>
          </w:tcPr>
          <w:p>
            <w:pPr>
              <w:pStyle w:val="style0"/>
              <w:spacing w:after="160" w:lineRule="auto" w:line="259"/>
              <w:jc w:val="both"/>
              <w:rPr/>
            </w:pPr>
            <w:r>
              <w:t>Deep Neural Networks (91.2% accuracy)</w:t>
            </w:r>
          </w:p>
        </w:tc>
      </w:tr>
      <w:tr>
        <w:tblPrEx/>
        <w:trPr/>
        <w:tc>
          <w:tcPr>
            <w:tcW w:w="0" w:type="auto"/>
            <w:tcBorders/>
            <w:hideMark/>
          </w:tcPr>
          <w:p>
            <w:pPr>
              <w:pStyle w:val="style0"/>
              <w:spacing w:after="160" w:lineRule="auto" w:line="259"/>
              <w:jc w:val="both"/>
              <w:rPr/>
            </w:pPr>
            <w:r>
              <w:t>Key Predictors</w:t>
            </w:r>
          </w:p>
        </w:tc>
        <w:tc>
          <w:tcPr>
            <w:tcW w:w="0" w:type="auto"/>
            <w:tcBorders/>
            <w:hideMark/>
          </w:tcPr>
          <w:p>
            <w:pPr>
              <w:pStyle w:val="style0"/>
              <w:spacing w:after="160" w:lineRule="auto" w:line="259"/>
              <w:jc w:val="both"/>
              <w:rPr/>
            </w:pPr>
            <w:r>
              <w:t>Age, sex, chest pain</w:t>
            </w:r>
          </w:p>
        </w:tc>
        <w:tc>
          <w:tcPr>
            <w:tcW w:w="0" w:type="auto"/>
            <w:tcBorders/>
            <w:hideMark/>
          </w:tcPr>
          <w:p>
            <w:pPr>
              <w:pStyle w:val="style0"/>
              <w:spacing w:after="160" w:lineRule="auto" w:line="259"/>
              <w:jc w:val="both"/>
              <w:rPr/>
            </w:pPr>
            <w:r>
              <w:t>Age, chest pain, max heart rate</w:t>
            </w:r>
          </w:p>
        </w:tc>
        <w:tc>
          <w:tcPr>
            <w:tcW w:w="0" w:type="auto"/>
            <w:tcBorders/>
            <w:hideMark/>
          </w:tcPr>
          <w:p>
            <w:pPr>
              <w:pStyle w:val="style0"/>
              <w:spacing w:after="160" w:lineRule="auto" w:line="259"/>
              <w:jc w:val="both"/>
              <w:rPr/>
            </w:pPr>
            <w:r>
              <w:t>Engineered features combining multiple risk factors</w:t>
            </w:r>
          </w:p>
        </w:tc>
      </w:tr>
      <w:tr>
        <w:tblPrEx/>
        <w:trPr/>
        <w:tc>
          <w:tcPr>
            <w:tcW w:w="0" w:type="auto"/>
            <w:tcBorders/>
            <w:hideMark/>
          </w:tcPr>
          <w:p>
            <w:pPr>
              <w:pStyle w:val="style0"/>
              <w:spacing w:after="160" w:lineRule="auto" w:line="259"/>
              <w:jc w:val="both"/>
              <w:rPr/>
            </w:pPr>
            <w:r>
              <w:t>Limitations</w:t>
            </w:r>
          </w:p>
        </w:tc>
        <w:tc>
          <w:tcPr>
            <w:tcW w:w="0" w:type="auto"/>
            <w:tcBorders/>
            <w:hideMark/>
          </w:tcPr>
          <w:p>
            <w:pPr>
              <w:pStyle w:val="style0"/>
              <w:spacing w:after="160" w:lineRule="auto" w:line="259"/>
              <w:jc w:val="both"/>
              <w:rPr/>
            </w:pPr>
            <w:r>
              <w:t>Limited sample size (303 patients)</w:t>
            </w:r>
          </w:p>
        </w:tc>
        <w:tc>
          <w:tcPr>
            <w:tcW w:w="0" w:type="auto"/>
            <w:tcBorders/>
            <w:hideMark/>
          </w:tcPr>
          <w:p>
            <w:pPr>
              <w:pStyle w:val="style0"/>
              <w:spacing w:after="160" w:lineRule="auto" w:line="259"/>
              <w:jc w:val="both"/>
              <w:rPr/>
            </w:pPr>
            <w:r>
              <w:t>Challenges with unstructured data</w:t>
            </w:r>
          </w:p>
        </w:tc>
        <w:tc>
          <w:tcPr>
            <w:tcW w:w="0" w:type="auto"/>
            <w:tcBorders/>
            <w:hideMark/>
          </w:tcPr>
          <w:p>
            <w:pPr>
              <w:pStyle w:val="style0"/>
              <w:spacing w:after="160" w:lineRule="auto" w:line="259"/>
              <w:jc w:val="both"/>
              <w:rPr/>
            </w:pPr>
            <w:r>
              <w:t>Potential overfitting with complex models</w:t>
            </w:r>
          </w:p>
        </w:tc>
      </w:tr>
      <w:tr>
        <w:tblPrEx/>
        <w:trPr/>
        <w:tc>
          <w:tcPr>
            <w:tcW w:w="0" w:type="auto"/>
            <w:tcBorders/>
            <w:hideMark/>
          </w:tcPr>
          <w:p>
            <w:pPr>
              <w:pStyle w:val="style0"/>
              <w:spacing w:after="160" w:lineRule="auto" w:line="259"/>
              <w:jc w:val="both"/>
              <w:rPr/>
            </w:pPr>
            <w:r>
              <w:t>Validation Approach</w:t>
            </w:r>
          </w:p>
        </w:tc>
        <w:tc>
          <w:tcPr>
            <w:tcW w:w="0" w:type="auto"/>
            <w:tcBorders/>
            <w:hideMark/>
          </w:tcPr>
          <w:p>
            <w:pPr>
              <w:pStyle w:val="style0"/>
              <w:spacing w:after="160" w:lineRule="auto" w:line="259"/>
              <w:jc w:val="both"/>
              <w:rPr/>
            </w:pPr>
            <w:r>
              <w:t>Single institution data</w:t>
            </w:r>
          </w:p>
        </w:tc>
        <w:tc>
          <w:tcPr>
            <w:tcW w:w="0" w:type="auto"/>
            <w:tcBorders/>
            <w:hideMark/>
          </w:tcPr>
          <w:p>
            <w:pPr>
              <w:pStyle w:val="style0"/>
              <w:spacing w:after="160" w:lineRule="auto" w:line="259"/>
              <w:jc w:val="both"/>
              <w:rPr/>
            </w:pPr>
            <w:r>
              <w:t>Cross-validation on Cleveland dataset</w:t>
            </w:r>
          </w:p>
        </w:tc>
        <w:tc>
          <w:tcPr>
            <w:tcW w:w="0" w:type="auto"/>
            <w:tcBorders/>
            <w:hideMark/>
          </w:tcPr>
          <w:p>
            <w:pPr>
              <w:pStyle w:val="style0"/>
              <w:spacing w:after="160" w:lineRule="auto" w:line="259"/>
              <w:jc w:val="both"/>
              <w:rPr/>
            </w:pPr>
            <w:r>
              <w:t>Multi-institutional validation</w:t>
            </w:r>
          </w:p>
        </w:tc>
      </w:tr>
    </w:tbl>
    <w:p>
      <w:pPr>
        <w:pStyle w:val="style0"/>
        <w:jc w:val="both"/>
        <w:rPr>
          <w:b/>
          <w:bCs/>
        </w:rPr>
      </w:pPr>
      <w:r>
        <w:rPr>
          <w:b/>
          <w:bCs/>
        </w:rPr>
        <w:t>Synthesis:</w:t>
      </w:r>
    </w:p>
    <w:p>
      <w:pPr>
        <w:pStyle w:val="style0"/>
        <w:numPr>
          <w:ilvl w:val="0"/>
          <w:numId w:val="4"/>
        </w:numPr>
        <w:jc w:val="both"/>
        <w:rPr/>
      </w:pPr>
      <w:r>
        <w:rPr>
          <w:b/>
          <w:bCs/>
        </w:rPr>
        <w:t>Methodological Evolution</w:t>
      </w:r>
      <w:r>
        <w:t>: There has been clear progression from traditional statistical methods (Detrano et al., 1989) to ensemble learning (Shah et al., 2020) and finally to deep learning approaches (Jindal et al., 2021), with each advancement improving predictive accuracy.</w:t>
      </w:r>
    </w:p>
    <w:p>
      <w:pPr>
        <w:pStyle w:val="style0"/>
        <w:numPr>
          <w:ilvl w:val="0"/>
          <w:numId w:val="4"/>
        </w:numPr>
        <w:jc w:val="both"/>
        <w:rPr/>
      </w:pPr>
      <w:r>
        <w:rPr>
          <w:b/>
          <w:bCs/>
        </w:rPr>
        <w:t>Feature Selection Consensus</w:t>
      </w:r>
      <w:r>
        <w:t>: All three studies identify certain core predictors (age, chest pain characteristics, and ECG findings) as highly significant, though later studies demonstrate the value of feature engineering and interaction effects.</w:t>
      </w:r>
    </w:p>
    <w:p>
      <w:pPr>
        <w:pStyle w:val="style0"/>
        <w:numPr>
          <w:ilvl w:val="0"/>
          <w:numId w:val="4"/>
        </w:numPr>
        <w:jc w:val="both"/>
        <w:rPr/>
      </w:pPr>
      <w:r>
        <w:rPr>
          <w:b/>
          <w:bCs/>
        </w:rPr>
        <w:t>Dataset Utilization</w:t>
      </w:r>
      <w:r>
        <w:t>: While all studies leverage the Cleveland dataset, later research supplements it with additional data sources to improve generalizability and address the original dataset's limitations in sample size and diversity.</w:t>
      </w:r>
    </w:p>
    <w:p>
      <w:pPr>
        <w:pStyle w:val="style0"/>
        <w:numPr>
          <w:ilvl w:val="0"/>
          <w:numId w:val="4"/>
        </w:numPr>
        <w:jc w:val="both"/>
        <w:rPr/>
      </w:pPr>
      <w:r>
        <w:rPr>
          <w:b/>
          <w:bCs/>
        </w:rPr>
        <w:t>Validation Approaches</w:t>
      </w:r>
      <w:r>
        <w:t>: Later studies implement more robust validation methods, evolving from simple train-test splits to k-fold cross-validation (Shah et al., 2020) and external validation on separate institutional data (Jindal et al., 2021).</w:t>
      </w:r>
    </w:p>
    <w:p>
      <w:pPr>
        <w:pStyle w:val="style0"/>
        <w:jc w:val="both"/>
        <w:rPr>
          <w:b/>
          <w:bCs/>
        </w:rPr>
      </w:pPr>
      <w:r>
        <w:rPr>
          <w:b/>
          <w:bCs/>
        </w:rPr>
        <w:t>Conclusion</w:t>
      </w:r>
    </w:p>
    <w:p>
      <w:pPr>
        <w:pStyle w:val="style0"/>
        <w:jc w:val="both"/>
        <w:rPr/>
      </w:pPr>
      <w:r>
        <w:t>This review demonstrates the evolution of heart disease prediction using EHR data, from foundational dataset creation (Detrano et al., 1989) through algorithm optimization (Shah et al., 2020) to advanced neural network implementation (Jindal et al., 2021). Each successive study has built upon previous work, improving predictive accuracy from approximately 77% to over 91%.</w:t>
      </w:r>
    </w:p>
    <w:p>
      <w:pPr>
        <w:pStyle w:val="style0"/>
        <w:jc w:val="both"/>
        <w:rPr/>
      </w:pPr>
      <w:r>
        <w:t>Several key themes emerge across these studies. First, the importance of quality data collection and curation, as exemplified by the enduring value of the Cleveland dataset. Second, the superiority of ensemble and neural network methods for capturing complex relationships among cardiovascular risk factors. Third, the critical role of feature engineering and selection in optimizing model performance.</w:t>
      </w:r>
    </w:p>
    <w:p>
      <w:pPr>
        <w:pStyle w:val="style0"/>
        <w:jc w:val="both"/>
        <w:rPr/>
      </w:pPr>
      <w:r>
        <w:t>Future research directions should focus on:</w:t>
      </w:r>
    </w:p>
    <w:p>
      <w:pPr>
        <w:pStyle w:val="style0"/>
        <w:numPr>
          <w:ilvl w:val="0"/>
          <w:numId w:val="5"/>
        </w:numPr>
        <w:jc w:val="both"/>
        <w:rPr/>
      </w:pPr>
      <w:r>
        <w:t>Integration of unstructured EHR data (clinical notes, imaging reports) with structured measurements</w:t>
      </w:r>
    </w:p>
    <w:p>
      <w:pPr>
        <w:pStyle w:val="style0"/>
        <w:numPr>
          <w:ilvl w:val="0"/>
          <w:numId w:val="5"/>
        </w:numPr>
        <w:jc w:val="both"/>
        <w:rPr/>
      </w:pPr>
      <w:r>
        <w:t>Temporal modeling to capture disease progression patterns</w:t>
      </w:r>
    </w:p>
    <w:p>
      <w:pPr>
        <w:pStyle w:val="style0"/>
        <w:numPr>
          <w:ilvl w:val="0"/>
          <w:numId w:val="5"/>
        </w:numPr>
        <w:jc w:val="both"/>
        <w:rPr/>
      </w:pPr>
      <w:r>
        <w:t>Addressing transferability of models across diverse patient populations</w:t>
      </w:r>
    </w:p>
    <w:p>
      <w:pPr>
        <w:pStyle w:val="style0"/>
        <w:jc w:val="both"/>
        <w:rPr/>
      </w:pPr>
      <w:r>
        <w:t>As Shah et al. (2020, p.352) aptly note, "the ultimate goal remains translating these algorithmic advances into clinical decision support systems that meaningfully impact patient outcomes." This will require not just technical innovation but careful consideration of implementation strategies and clinician acceptance of AI-assisted diagnostic tools.</w:t>
      </w:r>
    </w:p>
    <w:p>
      <w:pPr>
        <w:pStyle w:val="style0"/>
        <w:jc w:val="both"/>
        <w:rPr>
          <w:b/>
          <w:bCs/>
        </w:rPr>
      </w:pPr>
      <w:r>
        <w:rPr>
          <w:b/>
          <w:bCs/>
        </w:rPr>
        <w:t>References</w:t>
      </w:r>
    </w:p>
    <w:p>
      <w:pPr>
        <w:pStyle w:val="style0"/>
        <w:numPr>
          <w:ilvl w:val="0"/>
          <w:numId w:val="6"/>
        </w:numPr>
        <w:jc w:val="both"/>
        <w:rPr/>
      </w:pPr>
      <w:r>
        <w:t xml:space="preserve">Detrano, R., et al. (1989). "The Cleveland heart disease dataset." UCI Machine Learning Repository. Retrieved from </w:t>
      </w:r>
      <w:r>
        <w:rPr/>
        <w:fldChar w:fldCharType="begin"/>
      </w:r>
      <w:r>
        <w:instrText xml:space="preserve"> HYPERLINK "https://archive.ics.uci.edu/dataset/45/heart+disease" </w:instrText>
      </w:r>
      <w:r>
        <w:rPr/>
        <w:fldChar w:fldCharType="separate"/>
      </w:r>
      <w:r>
        <w:rPr>
          <w:rStyle w:val="style85"/>
        </w:rPr>
        <w:t>https://archive.ics.uci.edu/dataset/45/heart+disease</w:t>
      </w:r>
      <w:r>
        <w:rPr/>
        <w:fldChar w:fldCharType="end"/>
      </w:r>
    </w:p>
    <w:p>
      <w:pPr>
        <w:pStyle w:val="style0"/>
        <w:numPr>
          <w:ilvl w:val="0"/>
          <w:numId w:val="6"/>
        </w:numPr>
        <w:jc w:val="both"/>
        <w:rPr/>
      </w:pPr>
      <w:r>
        <w:t xml:space="preserve">Shah, D., Patel, S. and Bharti, S.K. (2020). Heart disease prediction using machine learning techniques. SN Computer Science, 1(6), p.345. </w:t>
      </w:r>
      <w:r>
        <w:rPr/>
        <w:fldChar w:fldCharType="begin"/>
      </w:r>
      <w:r>
        <w:instrText xml:space="preserve"> HYPERLINK "https://doi.org/10.1007/s42979-020-00365-y" </w:instrText>
      </w:r>
      <w:r>
        <w:rPr/>
        <w:fldChar w:fldCharType="separate"/>
      </w:r>
      <w:r>
        <w:rPr>
          <w:rStyle w:val="style85"/>
        </w:rPr>
        <w:t>https://doi.org/10.1007/s42979-020-00365-y</w:t>
      </w:r>
      <w:r>
        <w:rPr/>
        <w:fldChar w:fldCharType="end"/>
      </w:r>
    </w:p>
    <w:p>
      <w:pPr>
        <w:pStyle w:val="style0"/>
        <w:numPr>
          <w:ilvl w:val="0"/>
          <w:numId w:val="6"/>
        </w:numPr>
        <w:jc w:val="both"/>
        <w:rPr/>
      </w:pPr>
      <w:r>
        <w:t xml:space="preserve">Jindal, H., Agrawal, S., Khera, R., Jain, R. and Nagrath, P. (2021). Heart disease prediction using machine learning algorithms. In IOP Conference Series: Materials Science and Engineering (Vol. 1022, No. 1, p. 012072). IOP Publishing. </w:t>
      </w:r>
      <w:r>
        <w:rPr/>
        <w:fldChar w:fldCharType="begin"/>
      </w:r>
      <w:r>
        <w:instrText xml:space="preserve"> HYPERLINK "https://doi.org/10.1088/1757-899X/1022/1/012072" </w:instrText>
      </w:r>
      <w:r>
        <w:rPr/>
        <w:fldChar w:fldCharType="separate"/>
      </w:r>
      <w:r>
        <w:rPr>
          <w:rStyle w:val="style85"/>
        </w:rPr>
        <w:t>https://doi.org/10.1088/1757-899X/1022/1/012072</w:t>
      </w:r>
      <w:r>
        <w:rPr/>
        <w:fldChar w:fldCharType="end"/>
      </w:r>
    </w:p>
    <w:p>
      <w:pPr>
        <w:pStyle w:val="style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DengXian">
    <w:altName w:val="等线"/>
    <w:panose1 w:val="02010600030001010101"/>
    <w:charset w:val="86"/>
    <w:family w:val="auto"/>
    <w:pitch w:val="variable"/>
    <w:sig w:usb0="A00002BF" w:usb1="38CF7CFA" w:usb2="00000016" w:usb3="00000000" w:csb0="0004000F" w:csb1="00000000"/>
  </w:font>
  <w:font w:name="DengXian Light">
    <w:altName w:val="等线 Light"/>
    <w:panose1 w:val="00000000000000000000"/>
    <w:charset w:val="86"/>
    <w:family w:val="auto"/>
    <w:pitch w:val="variable"/>
    <w:sig w:usb0="A00002BF" w:usb1="38CF7CFA" w:usb2="00000016" w:usb3="00000000" w:csb0="0004000F" w:csb1="00000000"/>
  </w:font>
  <w:font w:name="Aptos Display">
    <w:altName w:val="Aptos Display"/>
    <w:panose1 w:val="00000000000000000000"/>
    <w:charset w:val="00"/>
    <w:family w:val="swiss"/>
    <w:pitch w:val="variable"/>
    <w:sig w:usb0="20000287" w:usb1="00000003" w:usb2="00000000" w:usb3="00000000" w:csb0="0000019F" w:csb1="00000000"/>
  </w:font>
  <w:font w:name="等线">
    <w:altName w:val=""/>
    <w:panose1 w:val="00000000000000000000"/>
    <w:charset w:val="00"/>
    <w:family w:val="auto"/>
    <w:pitch w:val="default"/>
    <w:sig w:usb0="E0002AFF" w:usb1="C0007841" w:usb2="00000009" w:usb3="00000000" w:csb0="000001FF" w:csb1="00000000"/>
  </w:font>
  <w:font w:name="等线 Light">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E10C5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1B8D7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602977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6B425E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CC36BB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812AA3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等线" w:hAnsi="Aptos"/>
        <w:kern w:val="2"/>
        <w:sz w:val="22"/>
        <w:szCs w:val="22"/>
        <w:lang w:val="en-US" w:bidi="ar-SA" w:eastAsia="zh-C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Times New Roman" w:hAnsi="Times New Roman"/>
      <w:sz w:val="24"/>
    </w:rPr>
  </w:style>
  <w:style w:type="paragraph" w:styleId="style1">
    <w:name w:val="heading 1"/>
    <w:basedOn w:val="style0"/>
    <w:next w:val="style0"/>
    <w:link w:val="style4097"/>
    <w:qFormat/>
    <w:uiPriority w:val="9"/>
    <w:pPr>
      <w:keepNext/>
      <w:keepLines/>
      <w:spacing w:before="360" w:after="80"/>
      <w:outlineLvl w:val="0"/>
    </w:pPr>
    <w:rPr>
      <w:rFonts w:cs="宋体" w:eastAsia="等线 Light"/>
      <w:b/>
      <w:sz w:val="28"/>
      <w:szCs w:val="40"/>
    </w:rPr>
  </w:style>
  <w:style w:type="paragraph" w:styleId="style2">
    <w:name w:val="heading 2"/>
    <w:basedOn w:val="style0"/>
    <w:next w:val="style0"/>
    <w:link w:val="style4098"/>
    <w:qFormat/>
    <w:uiPriority w:val="9"/>
    <w:pPr>
      <w:keepNext/>
      <w:keepLines/>
      <w:spacing w:before="160" w:after="80"/>
      <w:outlineLvl w:val="1"/>
    </w:pPr>
    <w:rPr>
      <w:rFonts w:cs="宋体" w:eastAsia="等线 Light"/>
      <w:b/>
      <w:szCs w:val="32"/>
    </w:rPr>
  </w:style>
  <w:style w:type="paragraph" w:styleId="style3">
    <w:name w:val="heading 3"/>
    <w:basedOn w:val="style0"/>
    <w:next w:val="style0"/>
    <w:link w:val="style4099"/>
    <w:qFormat/>
    <w:uiPriority w:val="9"/>
    <w:pPr>
      <w:keepNext/>
      <w:keepLines/>
      <w:spacing w:before="160" w:after="80"/>
      <w:outlineLvl w:val="2"/>
    </w:pPr>
    <w:rPr>
      <w:rFonts w:cs="宋体" w:eastAsia="等线 Light"/>
      <w:b/>
      <w:szCs w:val="28"/>
    </w:rPr>
  </w:style>
  <w:style w:type="paragraph" w:styleId="style4">
    <w:name w:val="heading 4"/>
    <w:basedOn w:val="style0"/>
    <w:next w:val="style0"/>
    <w:link w:val="style4100"/>
    <w:qFormat/>
    <w:uiPriority w:val="9"/>
    <w:pPr>
      <w:keepNext/>
      <w:keepLines/>
      <w:spacing w:before="80" w:after="40"/>
      <w:outlineLvl w:val="3"/>
    </w:pPr>
    <w:rPr>
      <w:rFonts w:ascii="Aptos" w:cs="宋体" w:eastAsia="等线 Light" w:hAnsi="Aptos"/>
      <w:i/>
      <w:iCs/>
      <w:color w:val="0f4761"/>
    </w:rPr>
  </w:style>
  <w:style w:type="paragraph" w:styleId="style5">
    <w:name w:val="heading 5"/>
    <w:basedOn w:val="style0"/>
    <w:next w:val="style0"/>
    <w:link w:val="style4101"/>
    <w:qFormat/>
    <w:uiPriority w:val="9"/>
    <w:pPr>
      <w:keepNext/>
      <w:keepLines/>
      <w:spacing w:before="80" w:after="40"/>
      <w:outlineLvl w:val="4"/>
    </w:pPr>
    <w:rPr>
      <w:rFonts w:ascii="Aptos" w:cs="宋体" w:eastAsia="等线 Light" w:hAnsi="Aptos"/>
      <w:color w:val="0f4761"/>
    </w:rPr>
  </w:style>
  <w:style w:type="paragraph" w:styleId="style6">
    <w:name w:val="heading 6"/>
    <w:basedOn w:val="style0"/>
    <w:next w:val="style0"/>
    <w:link w:val="style4102"/>
    <w:qFormat/>
    <w:uiPriority w:val="9"/>
    <w:pPr>
      <w:keepNext/>
      <w:keepLines/>
      <w:spacing w:before="40" w:after="0"/>
      <w:outlineLvl w:val="5"/>
    </w:pPr>
    <w:rPr>
      <w:rFonts w:ascii="Aptos" w:cs="宋体" w:eastAsia="等线 Light" w:hAnsi="Aptos"/>
      <w:i/>
      <w:iCs/>
      <w:color w:val="595959"/>
    </w:rPr>
  </w:style>
  <w:style w:type="paragraph" w:styleId="style7">
    <w:name w:val="heading 7"/>
    <w:basedOn w:val="style0"/>
    <w:next w:val="style0"/>
    <w:link w:val="style4103"/>
    <w:qFormat/>
    <w:uiPriority w:val="9"/>
    <w:pPr>
      <w:keepNext/>
      <w:keepLines/>
      <w:spacing w:before="40" w:after="0"/>
      <w:outlineLvl w:val="6"/>
    </w:pPr>
    <w:rPr>
      <w:rFonts w:ascii="Aptos" w:cs="宋体" w:eastAsia="等线 Light" w:hAnsi="Aptos"/>
      <w:color w:val="595959"/>
    </w:rPr>
  </w:style>
  <w:style w:type="paragraph" w:styleId="style8">
    <w:name w:val="heading 8"/>
    <w:basedOn w:val="style0"/>
    <w:next w:val="style0"/>
    <w:link w:val="style4104"/>
    <w:qFormat/>
    <w:uiPriority w:val="9"/>
    <w:pPr>
      <w:keepNext/>
      <w:keepLines/>
      <w:spacing w:after="0"/>
      <w:outlineLvl w:val="7"/>
    </w:pPr>
    <w:rPr>
      <w:rFonts w:ascii="Aptos" w:cs="宋体" w:eastAsia="等线 Light" w:hAnsi="Aptos"/>
      <w:i/>
      <w:iCs/>
      <w:color w:val="272727"/>
    </w:rPr>
  </w:style>
  <w:style w:type="paragraph" w:styleId="style9">
    <w:name w:val="heading 9"/>
    <w:basedOn w:val="style0"/>
    <w:next w:val="style0"/>
    <w:link w:val="style4105"/>
    <w:qFormat/>
    <w:uiPriority w:val="9"/>
    <w:pPr>
      <w:keepNext/>
      <w:keepLines/>
      <w:spacing w:after="0"/>
      <w:outlineLvl w:val="8"/>
    </w:pPr>
    <w:rPr>
      <w:rFonts w:ascii="Aptos" w:cs="宋体" w:eastAsia="等线 Light" w:hAnsi="Aptos"/>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dec709b-7464-4ab8-97f9-4937e3a2bb4d"/>
    <w:basedOn w:val="style65"/>
    <w:next w:val="style4097"/>
    <w:link w:val="style1"/>
    <w:uiPriority w:val="9"/>
    <w:rPr>
      <w:rFonts w:ascii="Times New Roman" w:cs="宋体" w:eastAsia="等线 Light" w:hAnsi="Times New Roman"/>
      <w:b/>
      <w:sz w:val="28"/>
      <w:szCs w:val="40"/>
    </w:rPr>
  </w:style>
  <w:style w:type="character" w:customStyle="1" w:styleId="style4098">
    <w:name w:val="Heading 2 Char_1fcb5d75-197e-4058-b7e6-0fafb01317b1"/>
    <w:basedOn w:val="style65"/>
    <w:next w:val="style4098"/>
    <w:link w:val="style2"/>
    <w:uiPriority w:val="9"/>
    <w:rPr>
      <w:rFonts w:ascii="Times New Roman" w:cs="宋体" w:eastAsia="等线 Light" w:hAnsi="Times New Roman"/>
      <w:b/>
      <w:sz w:val="24"/>
      <w:szCs w:val="32"/>
    </w:rPr>
  </w:style>
  <w:style w:type="character" w:customStyle="1" w:styleId="style4099">
    <w:name w:val="Heading 3 Char_e458bfce-d60c-45ab-bd73-2d0dbd19181b"/>
    <w:basedOn w:val="style65"/>
    <w:next w:val="style4099"/>
    <w:link w:val="style3"/>
    <w:uiPriority w:val="9"/>
    <w:rPr>
      <w:rFonts w:ascii="Times New Roman" w:cs="宋体" w:eastAsia="等线 Light" w:hAnsi="Times New Roman"/>
      <w:b/>
      <w:sz w:val="24"/>
      <w:szCs w:val="28"/>
    </w:rPr>
  </w:style>
  <w:style w:type="character" w:customStyle="1" w:styleId="style4100">
    <w:name w:val="Heading 4 Char_b340b2ef-6f15-45f0-a0ae-2d139cf99535"/>
    <w:basedOn w:val="style65"/>
    <w:next w:val="style4100"/>
    <w:link w:val="style4"/>
    <w:uiPriority w:val="9"/>
    <w:rPr>
      <w:rFonts w:cs="宋体" w:eastAsia="等线 Light"/>
      <w:i/>
      <w:iCs/>
      <w:color w:val="0f4761"/>
      <w:sz w:val="24"/>
    </w:rPr>
  </w:style>
  <w:style w:type="character" w:customStyle="1" w:styleId="style4101">
    <w:name w:val="Heading 5 Char_bed4d84f-4440-46ff-bb6c-dda7df215fea"/>
    <w:basedOn w:val="style65"/>
    <w:next w:val="style4101"/>
    <w:link w:val="style5"/>
    <w:uiPriority w:val="9"/>
    <w:rPr>
      <w:rFonts w:cs="宋体" w:eastAsia="等线 Light"/>
      <w:color w:val="0f4761"/>
      <w:sz w:val="24"/>
    </w:rPr>
  </w:style>
  <w:style w:type="character" w:customStyle="1" w:styleId="style4102">
    <w:name w:val="Heading 6 Char_e560028c-d869-4b5d-ac74-63dbb71d3bef"/>
    <w:basedOn w:val="style65"/>
    <w:next w:val="style4102"/>
    <w:link w:val="style6"/>
    <w:uiPriority w:val="9"/>
    <w:rPr>
      <w:rFonts w:cs="宋体" w:eastAsia="等线 Light"/>
      <w:i/>
      <w:iCs/>
      <w:color w:val="595959"/>
      <w:sz w:val="24"/>
    </w:rPr>
  </w:style>
  <w:style w:type="character" w:customStyle="1" w:styleId="style4103">
    <w:name w:val="Heading 7 Char_947c07b9-e134-44ca-8974-90eea29a0455"/>
    <w:basedOn w:val="style65"/>
    <w:next w:val="style4103"/>
    <w:link w:val="style7"/>
    <w:uiPriority w:val="9"/>
    <w:rPr>
      <w:rFonts w:cs="宋体" w:eastAsia="等线 Light"/>
      <w:color w:val="595959"/>
      <w:sz w:val="24"/>
    </w:rPr>
  </w:style>
  <w:style w:type="character" w:customStyle="1" w:styleId="style4104">
    <w:name w:val="Heading 8 Char_9cd11bec-1996-4a0a-86f9-ae2725d7e3ff"/>
    <w:basedOn w:val="style65"/>
    <w:next w:val="style4104"/>
    <w:link w:val="style8"/>
    <w:uiPriority w:val="9"/>
    <w:rPr>
      <w:rFonts w:cs="宋体" w:eastAsia="等线 Light"/>
      <w:i/>
      <w:iCs/>
      <w:color w:val="272727"/>
      <w:sz w:val="24"/>
    </w:rPr>
  </w:style>
  <w:style w:type="character" w:customStyle="1" w:styleId="style4105">
    <w:name w:val="Heading 9 Char_90804e8d-f32e-46b0-a13b-2a623b193f99"/>
    <w:basedOn w:val="style65"/>
    <w:next w:val="style4105"/>
    <w:link w:val="style9"/>
    <w:uiPriority w:val="9"/>
    <w:rPr>
      <w:rFonts w:cs="宋体" w:eastAsia="等线 Light"/>
      <w:color w:val="272727"/>
      <w:sz w:val="24"/>
    </w:rPr>
  </w:style>
  <w:style w:type="paragraph" w:styleId="style62">
    <w:name w:val="Title"/>
    <w:basedOn w:val="style0"/>
    <w:next w:val="style0"/>
    <w:link w:val="style4106"/>
    <w:qFormat/>
    <w:uiPriority w:val="10"/>
    <w:pPr>
      <w:spacing w:after="80" w:lineRule="auto" w:line="240"/>
      <w:contextualSpacing/>
    </w:pPr>
    <w:rPr>
      <w:rFonts w:ascii="Aptos Display" w:cs="宋体" w:eastAsia="等线 Light" w:hAnsi="Aptos Display"/>
      <w:spacing w:val="-10"/>
      <w:kern w:val="28"/>
      <w:sz w:val="56"/>
      <w:szCs w:val="56"/>
    </w:rPr>
  </w:style>
  <w:style w:type="character" w:customStyle="1" w:styleId="style4106">
    <w:name w:val="Title Char_2a81ca8c-47bb-4fc6-9596-77aba2177510"/>
    <w:basedOn w:val="style65"/>
    <w:next w:val="style4106"/>
    <w:link w:val="style62"/>
    <w:uiPriority w:val="10"/>
    <w:rPr>
      <w:rFonts w:ascii="Aptos Display" w:cs="宋体" w:eastAsia="等线 Light"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ascii="Aptos" w:cs="宋体" w:eastAsia="等线 Light" w:hAnsi="Aptos"/>
      <w:color w:val="595959"/>
      <w:spacing w:val="15"/>
      <w:sz w:val="28"/>
      <w:szCs w:val="28"/>
    </w:rPr>
  </w:style>
  <w:style w:type="character" w:customStyle="1" w:styleId="style4107">
    <w:name w:val="Subtitle Char"/>
    <w:basedOn w:val="style65"/>
    <w:next w:val="style4107"/>
    <w:link w:val="style74"/>
    <w:uiPriority w:val="11"/>
    <w:rPr>
      <w:rFonts w:cs="宋体" w:eastAsia="等线 Light"/>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929218a-987f-45c1-8308-5e1ce4367c31"/>
    <w:basedOn w:val="style65"/>
    <w:next w:val="style4108"/>
    <w:link w:val="style180"/>
    <w:uiPriority w:val="29"/>
    <w:rPr>
      <w:rFonts w:ascii="Times New Roman" w:hAnsi="Times New Roman"/>
      <w:i/>
      <w:iCs/>
      <w:color w:val="404040"/>
      <w:sz w:val="24"/>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173b6426-3734-4155-9ad1-1cd93a10cbfd"/>
    <w:basedOn w:val="style65"/>
    <w:next w:val="style4109"/>
    <w:link w:val="style181"/>
    <w:uiPriority w:val="30"/>
    <w:rPr>
      <w:rFonts w:ascii="Times New Roman" w:hAnsi="Times New Roman"/>
      <w:i/>
      <w:iCs/>
      <w:color w:val="0f4761"/>
      <w:sz w:val="24"/>
    </w:rPr>
  </w:style>
  <w:style w:type="character" w:styleId="style263">
    <w:name w:val="Intense Reference"/>
    <w:basedOn w:val="style65"/>
    <w:next w:val="style263"/>
    <w:qFormat/>
    <w:uiPriority w:val="32"/>
    <w:rPr>
      <w:b/>
      <w:bCs/>
      <w:smallCaps/>
      <w:color w:val="0f4761"/>
      <w:spacing w:val="5"/>
    </w:rPr>
  </w:style>
  <w:style w:type="character" w:styleId="style85">
    <w:name w:val="Hyperlink"/>
    <w:basedOn w:val="style65"/>
    <w:next w:val="style85"/>
    <w:uiPriority w:val="99"/>
    <w:rPr>
      <w:color w:val="467886"/>
      <w:u w:val="single"/>
    </w:rPr>
  </w:style>
  <w:style w:type="character" w:customStyle="1" w:styleId="style4110">
    <w:name w:val="Unresolved Mention"/>
    <w:basedOn w:val="style65"/>
    <w:next w:val="style4110"/>
    <w:uiPriority w:val="99"/>
    <w:rPr>
      <w:color w:val="605e5c"/>
      <w:shd w:val="clear" w:color="auto" w:fill="e1dfdd"/>
    </w:rPr>
  </w:style>
  <w:style w:type="table" w:customStyle="1" w:styleId="style4111">
    <w:name w:val="Plain Table 5"/>
    <w:basedOn w:val="style105"/>
    <w:next w:val="style4111"/>
    <w:uiPriority w:val="45"/>
    <w:pPr>
      <w:spacing w:after="0" w:lineRule="auto" w:line="240"/>
    </w:pPr>
    <w:rPr/>
    <w:tblPr>
      <w:tblStyleRowBandSize w:val="1"/>
      <w:tblStyleColBandSize w:val="1"/>
    </w:tblPr>
    <w:tblStylePr w:type="firstRow">
      <w:pPr/>
      <w:rPr>
        <w:rFonts w:ascii="Aptos Display" w:cs="宋体" w:eastAsia="等线 Light" w:hAnsi="Aptos Display"/>
        <w:i/>
        <w:iCs/>
        <w:sz w:val="26"/>
      </w:rPr>
      <w:tblPr/>
      <w:tcPr>
        <w:tcBorders>
          <w:bottom w:val="single" w:sz="4" w:space="0" w:color="7f7f7f"/>
        </w:tcBorders>
        <w:shd w:val="clear" w:color="auto" w:fill="ffffff"/>
      </w:tcPr>
    </w:tblStylePr>
    <w:tblStylePr w:type="lastRow">
      <w:pPr/>
      <w:rPr>
        <w:rFonts w:ascii="Aptos Display" w:cs="宋体" w:eastAsia="等线 Light" w:hAnsi="Aptos Display"/>
        <w:i/>
        <w:iCs/>
        <w:sz w:val="26"/>
      </w:rPr>
      <w:tblPr/>
      <w:tcPr>
        <w:tcBorders>
          <w:top w:val="single" w:sz="4" w:space="0" w:color="7f7f7f"/>
        </w:tcBorders>
        <w:shd w:val="clear" w:color="auto" w:fill="ffffff"/>
      </w:tcPr>
    </w:tblStylePr>
    <w:tblStylePr w:type="band1Horz">
      <w:pPr/>
      <w:tblPr/>
      <w:tcPr>
        <w:tcBorders/>
        <w:shd w:val="clear" w:color="auto" w:fill="f2f2f2"/>
      </w:tcPr>
    </w:tblStylePr>
    <w:tblStylePr w:type="firstCol">
      <w:pPr>
        <w:jc w:val="right"/>
      </w:pPr>
      <w:rPr>
        <w:rFonts w:ascii="Aptos Display" w:cs="宋体" w:eastAsia="等线 Light" w:hAnsi="Aptos Display"/>
        <w:i/>
        <w:iCs/>
        <w:sz w:val="26"/>
      </w:rPr>
      <w:tblPr/>
      <w:tcPr>
        <w:tcBorders>
          <w:right w:val="single" w:sz="4" w:space="0" w:color="7f7f7f"/>
        </w:tcBorders>
        <w:shd w:val="clear" w:color="auto" w:fill="ffffff"/>
      </w:tcPr>
    </w:tblStylePr>
    <w:tblStylePr w:type="lastCol">
      <w:pPr/>
      <w:rPr>
        <w:rFonts w:ascii="Aptos Display" w:cs="宋体" w:eastAsia="等线 Light" w:hAnsi="Aptos Display"/>
        <w:i/>
        <w:iCs/>
        <w:sz w:val="26"/>
      </w:rPr>
      <w:tblPr/>
      <w:tcPr>
        <w:tcBorders>
          <w:left w:val="single" w:sz="4" w:space="0" w:color="7f7f7f"/>
        </w:tcBorders>
        <w:shd w:val="clear" w:color="auto" w:fill="ffffff"/>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1235</Words>
  <Pages>4</Pages>
  <Characters>7772</Characters>
  <Application>WPS Office</Application>
  <DocSecurity>0</DocSecurity>
  <Paragraphs>72</Paragraphs>
  <ScaleCrop>false</ScaleCrop>
  <LinksUpToDate>false</LinksUpToDate>
  <CharactersWithSpaces>8941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2025-02-18T13:53:00Z</dcterms:created>
  <dc:creator>Muhammad Adnan</dc:creator>
  <lastModifiedBy>Infinix X670</lastModifiedBy>
  <dcterms:modified xsi:type="dcterms:W3CDTF">2025-02-18T19:28:41Z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9033a5b77b1e4e30b8ad51af5755b37d</vt:lpwstr>
  </property>
</Properties>
</file>