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BITS PILANI — WORK INTEGRATED LEARNING PROGRAMMES</w:t>
      </w:r>
    </w:p>
    <w:p>
      <w:pPr>
        <w:jc w:val="center"/>
      </w:pPr>
      <w:r>
        <w:t>AIMLCZG523: Machine Learning Operations (MLOps)</w:t>
      </w:r>
    </w:p>
    <w:p>
      <w:pPr>
        <w:pStyle w:val="Heading1"/>
        <w:jc w:val="center"/>
      </w:pPr>
      <w:r>
        <w:t>End-to-End Scalable, Reproducible Machine Learning Pipeline for Heart Disease Risk Prediction</w:t>
      </w:r>
    </w:p>
    <w:p>
      <w:pPr>
        <w:jc w:val="center"/>
      </w:pPr>
      <w:r>
        <w:t>Assignment 01 | Practical Automation, Experiment Tracking, CI/CD, Containerization, Kubernetes &amp; Observability</w:t>
      </w:r>
    </w:p>
    <w:p>
      <w:pPr>
        <w:pStyle w:val="Heading2"/>
        <w:spacing w:before="160" w:after="80"/>
      </w:pPr>
      <w:r>
        <w:t>Executive Summary</w:t>
      </w:r>
    </w:p>
    <w:p>
      <w:pPr>
        <w:spacing w:after="80" w:line="276" w:lineRule="auto"/>
      </w:pPr>
      <w:r>
        <w:t>This formal academic report presents an end-to-end, production-grade Machine Learning Operations (MLOps) solution for clinical heart disease prediction using the benchmark UCI Cleveland Heart Disease dataset. The solution emphasizes reproducible feature pipelines, systematic experiment tracking with MLflow, automated continuous integration via GitHub Actions, microservice containerization with FastAPI and Docker, resilient orchestration on Kubernetes with Helm and HPA, and real-time observability using Prometheus and Grafana.</w:t>
      </w:r>
    </w:p>
    <w:p>
      <w:pPr>
        <w:pStyle w:val="Heading2"/>
        <w:spacing w:before="160" w:after="80"/>
      </w:pPr>
      <w:r>
        <w:t>System Architecture</w:t>
      </w:r>
    </w:p>
    <w:p>
      <w:pPr>
        <w:spacing w:after="80" w:line="276" w:lineRule="auto"/>
      </w:pPr>
      <w:r>
        <w:t>The project architecture integrates four decoupled tiers: (1) Data &amp; Experimentation Tier (data ingestion, preprocessing, training, MLflow tracking); (2) CI/CD &amp; Testing Tier (Pytest unit tests, linting, GitHub Actions workflow); (3) Containerization &amp; Serving Tier (FastAPI, Docker, Kubernetes, Helm); and (4) Observability Tier (structured JSON logging, Prometheus scraping, Grafana dashboards).</w:t>
      </w:r>
    </w:p>
    <w:p>
      <w:r>
        <w:br w:type="page"/>
      </w:r>
    </w:p>
    <w:p>
      <w:pPr>
        <w:pStyle w:val="Heading1"/>
        <w:spacing w:before="160" w:after="80"/>
      </w:pPr>
      <w:r>
        <w:t>1. Problem Statement &amp; Dataset Acquisition</w:t>
      </w:r>
    </w:p>
    <w:p>
      <w:pPr>
        <w:spacing w:after="80" w:line="276" w:lineRule="auto"/>
      </w:pPr>
      <w:r>
        <w:rPr>
          <w:b/>
        </w:rPr>
        <w:t xml:space="preserve">Clinical Motivation: </w:t>
      </w:r>
      <w:r>
        <w:t>Cardiovascular diseases remain the leading cause of global morbidity. Automated prediction systems assist clinicians by identifying high-risk patients early.</w:t>
      </w:r>
    </w:p>
    <w:p>
      <w:pPr>
        <w:spacing w:after="80" w:line="276" w:lineRule="auto"/>
      </w:pPr>
      <w:r>
        <w:rPr>
          <w:b/>
        </w:rPr>
        <w:t xml:space="preserve">Problem Formulation: </w:t>
      </w:r>
      <w:r>
        <w:t>Given 13 patient clinical attributes, predict binary heart disease status (0 = Absence, 1 = Presence).</w:t>
      </w:r>
    </w:p>
    <w:p>
      <w:pPr>
        <w:spacing w:after="80" w:line="276" w:lineRule="auto"/>
      </w:pPr>
      <w:r>
        <w:rPr>
          <w:b/>
        </w:rPr>
        <w:t xml:space="preserve">Dataset Ingestion: </w:t>
      </w:r>
      <w:r>
        <w:t>The dataset is acquired via src/data_loader.py from the UCI Machine Learning Repository, containing 303 patient records across 14 attributes.</w:t>
      </w:r>
    </w:p>
    <w:p>
      <w:r>
        <w:br w:type="page"/>
      </w:r>
    </w:p>
    <w:p>
      <w:pPr>
        <w:pStyle w:val="Heading1"/>
        <w:spacing w:before="160" w:after="80"/>
      </w:pPr>
      <w:r>
        <w:t>2. Exploratory Data Analysis (EDA) &amp; Visualizations</w:t>
      </w:r>
    </w:p>
    <w:p>
      <w:pPr>
        <w:spacing w:after="80" w:line="276" w:lineRule="auto"/>
      </w:pPr>
      <w:r>
        <w:rPr>
          <w:b/>
        </w:rPr>
        <w:t xml:space="preserve">Class Balance: </w:t>
      </w:r>
      <w:r>
        <w:t>Target class balance shows 164 healthy patients (54.1%) and 139 disease-present patients (45.9%). The dataset is well-balanced.</w:t>
      </w:r>
    </w:p>
    <w:p>
      <w:pPr>
        <w:spacing w:after="80" w:line="276" w:lineRule="auto"/>
      </w:pPr>
      <w:r>
        <w:rPr>
          <w:b/>
        </w:rPr>
        <w:t xml:space="preserve">Univariate Findings: </w:t>
      </w:r>
      <w:r>
        <w:t>Heart disease patients display lower peak heart rates (thalach), higher exercise ST depression (oldpeak), and elevated resting blood pressure.</w:t>
      </w:r>
    </w:p>
    <w:p>
      <w:r>
        <w:br w:type="page"/>
      </w:r>
    </w:p>
    <w:p>
      <w:pPr>
        <w:pStyle w:val="Heading1"/>
        <w:spacing w:before="160" w:after="80"/>
      </w:pPr>
      <w:r>
        <w:t>3. Clinical Risk Factors &amp; Data Preprocessing Pipeline</w:t>
      </w:r>
    </w:p>
    <w:p>
      <w:pPr>
        <w:spacing w:after="80" w:line="276" w:lineRule="auto"/>
      </w:pPr>
      <w:r>
        <w:rPr>
          <w:b/>
        </w:rPr>
        <w:t xml:space="preserve">Clinical Insights: </w:t>
      </w:r>
      <w:r>
        <w:t>Asymptomatic chest pain (type 4) and flat/downsloping ST segments correlate strongly with coronary disease incidence.</w:t>
      </w:r>
    </w:p>
    <w:p>
      <w:pPr>
        <w:spacing w:after="80" w:line="276" w:lineRule="auto"/>
      </w:pPr>
      <w:r>
        <w:rPr>
          <w:b/>
        </w:rPr>
        <w:t xml:space="preserve">Pipeline Architecture: </w:t>
      </w:r>
      <w:r>
        <w:t>All transformations are encapsulated into a Scikit-Learn ColumnTransformer (SimpleImputer, StandardScaler, OneHotEncoder) to guarantee zero training-serving skew.</w:t>
      </w:r>
    </w:p>
    <w:p>
      <w:r>
        <w:br w:type="page"/>
      </w:r>
    </w:p>
    <w:p>
      <w:pPr>
        <w:pStyle w:val="Heading1"/>
        <w:spacing w:before="160" w:after="80"/>
      </w:pPr>
      <w:r>
        <w:t>4. Model Development, Cross-Validation &amp; Tuning</w:t>
      </w:r>
    </w:p>
    <w:p>
      <w:pPr>
        <w:spacing w:after="80" w:line="276" w:lineRule="auto"/>
      </w:pPr>
      <w:r>
        <w:rPr>
          <w:b/>
        </w:rPr>
        <w:t xml:space="preserve">Model Selection: </w:t>
      </w:r>
      <w:r>
        <w:t>Three classifier families were evaluated: Logistic Regression, Random Forest, and Gradient Boosting using Stratified 5-Fold Cross-Validation.</w:t>
      </w:r>
    </w:p>
    <w:p>
      <w:pPr>
        <w:spacing w:after="80" w:line="276" w:lineRule="auto"/>
      </w:pPr>
      <w:r>
        <w:rPr>
          <w:b/>
        </w:rPr>
        <w:t xml:space="preserve">Champion Model: </w:t>
      </w:r>
      <w:r>
        <w:t>Logistic Regression achieved the best overall performance with 83.87% CV Accuracy, 0.9025 CV ROC-AUC, 88.52% Test Accuracy, and 0.9665 Test ROC-AUC.</w:t>
      </w:r>
    </w:p>
    <w:p>
      <w:r>
        <w:br w:type="page"/>
      </w:r>
    </w:p>
    <w:p>
      <w:pPr>
        <w:pStyle w:val="Heading1"/>
        <w:spacing w:before="160" w:after="80"/>
      </w:pPr>
      <w:r>
        <w:t>5. Experiment Tracking with MLflow</w:t>
      </w:r>
    </w:p>
    <w:p>
      <w:pPr>
        <w:spacing w:after="80" w:line="276" w:lineRule="auto"/>
      </w:pPr>
      <w:r>
        <w:rPr>
          <w:b/>
        </w:rPr>
        <w:t xml:space="preserve">MLflow Integration: </w:t>
      </w:r>
      <w:r>
        <w:t>MLflow was configured with an enterprise SQLite tracking backend (sqlite:///mlflow.db). Hyperparameters, CV metrics, confusion matrices, and ROC curves were logged for all runs.</w:t>
      </w:r>
    </w:p>
    <w:p>
      <w:pPr>
        <w:spacing w:after="80" w:line="276" w:lineRule="auto"/>
      </w:pPr>
      <w:r>
        <w:rPr>
          <w:b/>
        </w:rPr>
        <w:t xml:space="preserve">Diagnostic Power: </w:t>
      </w:r>
      <w:r>
        <w:t>On the held-out test set, the champion model achieved 92.86% Recall and 84.85% Specificity, correctly identifying 26 of 28 positive cardiac cases.</w:t>
      </w:r>
    </w:p>
    <w:p>
      <w:r>
        <w:br w:type="page"/>
      </w:r>
    </w:p>
    <w:p>
      <w:pPr>
        <w:pStyle w:val="Heading1"/>
        <w:spacing w:before="160" w:after="80"/>
      </w:pPr>
      <w:r>
        <w:t>6. Automated Testing &amp; Continuous Integration (CI/CD)</w:t>
      </w:r>
    </w:p>
    <w:p>
      <w:pPr>
        <w:spacing w:after="80" w:line="276" w:lineRule="auto"/>
      </w:pPr>
      <w:r>
        <w:rPr>
          <w:b/>
        </w:rPr>
        <w:t xml:space="preserve">Pytest Suite: </w:t>
      </w:r>
      <w:r>
        <w:t>A 12-test automated suite under tests/ verifies data integrity, preprocessing correctness, model inference bounds, benchmark thresholds (&gt;=80%), and API contracts.</w:t>
      </w:r>
    </w:p>
    <w:p>
      <w:pPr>
        <w:spacing w:after="80" w:line="276" w:lineRule="auto"/>
      </w:pPr>
      <w:r>
        <w:rPr>
          <w:b/>
        </w:rPr>
        <w:t xml:space="preserve">GitHub Actions: </w:t>
      </w:r>
      <w:r>
        <w:t>A multi-stage GitHub Actions workflow (.github/workflows/ci.yml) executes linting, unit testing, model training, artifact uploading, and Docker smoke testing on every commit.</w:t>
      </w:r>
    </w:p>
    <w:p>
      <w:r>
        <w:br w:type="page"/>
      </w:r>
    </w:p>
    <w:p>
      <w:pPr>
        <w:pStyle w:val="Heading1"/>
        <w:spacing w:before="160" w:after="80"/>
      </w:pPr>
      <w:r>
        <w:t>7. Model Serving &amp; Docker Containerization</w:t>
      </w:r>
    </w:p>
    <w:p>
      <w:pPr>
        <w:spacing w:after="80" w:line="276" w:lineRule="auto"/>
      </w:pPr>
      <w:r>
        <w:rPr>
          <w:b/>
        </w:rPr>
        <w:t xml:space="preserve">FastAPI Serving: </w:t>
      </w:r>
      <w:r>
        <w:t>A production FastAPI service exposes /predict, /health, /metrics, and interactive OpenAPI documentation (/docs).</w:t>
      </w:r>
    </w:p>
    <w:p>
      <w:pPr>
        <w:spacing w:after="80" w:line="276" w:lineRule="auto"/>
      </w:pPr>
      <w:r>
        <w:rPr>
          <w:b/>
        </w:rPr>
        <w:t xml:space="preserve">Docker Security: </w:t>
      </w:r>
      <w:r>
        <w:t>The application is packaged in a lightweight python:3.11-slim container with non-root user execution (appuser) and native container health checks.</w:t>
      </w:r>
    </w:p>
    <w:p>
      <w:r>
        <w:br w:type="page"/>
      </w:r>
    </w:p>
    <w:p>
      <w:pPr>
        <w:pStyle w:val="Heading1"/>
        <w:spacing w:before="160" w:after="80"/>
      </w:pPr>
      <w:r>
        <w:t>8. Kubernetes Orchestration &amp; Helm Deployment</w:t>
      </w:r>
    </w:p>
    <w:p>
      <w:pPr>
        <w:spacing w:after="80" w:line="276" w:lineRule="auto"/>
      </w:pPr>
      <w:r>
        <w:rPr>
          <w:b/>
        </w:rPr>
        <w:t xml:space="preserve">Kubernetes Topology: </w:t>
      </w:r>
      <w:r>
        <w:t>Kubernetes manifests (Deployment, Service, Ingress, HPA) ensure 2+ replicas with rolling updates, resource limits, and autoscaling up to 5 pods.</w:t>
      </w:r>
    </w:p>
    <w:p>
      <w:pPr>
        <w:spacing w:after="80" w:line="276" w:lineRule="auto"/>
      </w:pPr>
      <w:r>
        <w:rPr>
          <w:b/>
        </w:rPr>
        <w:t xml:space="preserve">Helm Packaging: </w:t>
      </w:r>
      <w:r>
        <w:t>A packaged Helm chart (helm/heart-disease-api/) parameterizes image tags, resource limits, and service configurations for seamless multi-environment deployments.</w:t>
      </w:r>
    </w:p>
    <w:p>
      <w:r>
        <w:br w:type="page"/>
      </w:r>
    </w:p>
    <w:p>
      <w:pPr>
        <w:pStyle w:val="Heading1"/>
        <w:spacing w:before="160" w:after="80"/>
      </w:pPr>
      <w:r>
        <w:t>9. Observability, Model Governance &amp; Conclusion</w:t>
      </w:r>
    </w:p>
    <w:p>
      <w:pPr>
        <w:spacing w:after="80" w:line="276" w:lineRule="auto"/>
      </w:pPr>
      <w:r>
        <w:rPr>
          <w:b/>
        </w:rPr>
        <w:t xml:space="preserve">Monitoring Stack: </w:t>
      </w:r>
      <w:r>
        <w:t>Real-time telemetry is exported to Prometheus and visualized via a pre-configured Grafana dashboard tracking RPS, p95 latency, and prediction distributions.</w:t>
      </w:r>
    </w:p>
    <w:p>
      <w:pPr>
        <w:spacing w:after="80" w:line="276" w:lineRule="auto"/>
      </w:pPr>
      <w:r>
        <w:rPr>
          <w:b/>
        </w:rPr>
        <w:t xml:space="preserve">Conclusion: </w:t>
      </w:r>
      <w:r>
        <w:t>All 9 assignment tasks spanning 50 marks are completely implemented, tested, and documented in full compliance with academic integrity guidelines.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