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F2847"/>
          <w:sz w:val="64"/>
        </w:rPr>
        <w:t>RL-MOTS-XAI v2</w:t>
      </w:r>
    </w:p>
    <w:p>
      <w:pPr>
        <w:jc w:val="center"/>
      </w:pPr>
      <w:r>
        <w:rPr>
          <w:rFonts w:ascii="Calibri" w:hAnsi="Calibri"/>
          <w:color w:val="0066CC"/>
          <w:sz w:val="32"/>
        </w:rPr>
        <w:t>Explainable Deep Q-Network Cloud Scheduling</w:t>
        <w:br/>
        <w:t>on Real Google Borg Workloads</w:t>
      </w:r>
    </w:p>
    <w:p/>
    <w:p>
      <w:pPr>
        <w:jc w:val="center"/>
      </w:pPr>
      <w:r>
        <w:rPr>
          <w:i/>
          <w:color w:val="6B7785"/>
          <w:sz w:val="22"/>
        </w:rPr>
        <w:t>Double DQN + Prioritized Experience Replay + 4 XAI Methods + 6 Trust Metrics</w:t>
      </w:r>
    </w:p>
    <w:p/>
    <w:p/>
    <w:p/>
    <w:p/>
    <w:p>
      <w:pPr>
        <w:jc w:val="center"/>
      </w:pPr>
      <w:r>
        <w:rPr>
          <w:b/>
          <w:color w:val="222222"/>
          <w:sz w:val="24"/>
        </w:rPr>
        <w:t>Project Report — Integrated Cloud Computing</w:t>
      </w:r>
    </w:p>
    <w:p>
      <w:pPr>
        <w:jc w:val="center"/>
      </w:pPr>
      <w:r>
        <w:rPr>
          <w:color w:val="6B7785"/>
          <w:sz w:val="20"/>
        </w:rPr>
        <w:t>Reproduction &amp; Extension of Yu et al. (Scientific Reports, 2025)</w:t>
      </w:r>
    </w:p>
    <w:p>
      <w:r>
        <w:br w:type="page"/>
      </w:r>
    </w:p>
    <w:p>
      <w:r>
        <w:rPr>
          <w:rFonts w:ascii="Calibri" w:hAnsi="Calibri"/>
          <w:b/>
          <w:color w:val="0F2847"/>
          <w:sz w:val="32"/>
        </w:rPr>
        <w:t>1. What This Project Is About</w:t>
      </w:r>
    </w:p>
    <w:p>
      <w:pPr>
        <w:spacing w:after="160" w:line="312" w:lineRule="auto"/>
      </w:pPr>
      <w:r>
        <w:rPr>
          <w:rFonts w:ascii="Calibri" w:hAnsi="Calibri"/>
          <w:b w:val="0"/>
          <w:i w:val="0"/>
          <w:color w:val="222222"/>
          <w:sz w:val="21"/>
        </w:rPr>
        <w:t>This project tackles a critical problem in modern cloud computing: when a Deep Reinforcement Learning (DRL) scheduler assigns tasks to virtual machines (VMs), it optimizes energy, cost, and deadlines very effectively — but it cannot explain WHY it chose a particular VM for a particular task. This black-box nature creates a trust barrier: cloud administrators will not deploy an AI scheduler in production if they cannot audit or justify its decisions.</w:t>
      </w:r>
    </w:p>
    <w:p>
      <w:pPr>
        <w:spacing w:after="160" w:line="312" w:lineRule="auto"/>
      </w:pPr>
      <w:r>
        <w:rPr>
          <w:rFonts w:ascii="Calibri" w:hAnsi="Calibri"/>
          <w:b w:val="0"/>
          <w:i w:val="0"/>
          <w:color w:val="222222"/>
          <w:sz w:val="21"/>
        </w:rPr>
        <w:t>Our system solves this by building an Explainable AI (XAI) layer on top of a Deep Q-Network (DQN) scheduler. For every task-to-VM assignment, the system computes exactly which input features drove the decision, then mathematically verifies whether those explanations are actually faithful to how the neural network thinks. The entire pipeline runs on REAL Google Borg cluster workload traces — not synthetic test data.</w:t>
      </w:r>
    </w:p>
    <w:p>
      <w:pPr>
        <w:spacing w:after="40" w:line="312" w:lineRule="auto"/>
      </w:pPr>
      <w:r>
        <w:rPr>
          <w:rFonts w:ascii="Calibri" w:hAnsi="Calibri"/>
          <w:b/>
          <w:i w:val="0"/>
          <w:color w:val="222222"/>
          <w:sz w:val="21"/>
        </w:rPr>
        <w:t>In one sentence:</w:t>
      </w:r>
    </w:p>
    <w:p>
      <w:pPr>
        <w:spacing w:after="160" w:line="312" w:lineRule="auto"/>
      </w:pPr>
      <w:r>
        <w:rPr>
          <w:rFonts w:ascii="Calibri" w:hAnsi="Calibri"/>
          <w:b w:val="0"/>
          <w:i/>
          <w:color w:val="0066CC"/>
          <w:sz w:val="21"/>
        </w:rPr>
        <w:t>We built a cloud task scheduler that is both highly optimized AND fully explainable, trained on real production data, with mathematically audited trust metrics.</w:t>
      </w:r>
    </w:p>
    <w:p>
      <w:r>
        <w:br w:type="page"/>
      </w:r>
    </w:p>
    <w:p>
      <w:r>
        <w:rPr>
          <w:rFonts w:ascii="Calibri" w:hAnsi="Calibri"/>
          <w:b/>
          <w:color w:val="0F2847"/>
          <w:sz w:val="32"/>
        </w:rPr>
        <w:t>2. System Architecture (6 Phases)</w:t>
      </w:r>
    </w:p>
    <w:p>
      <w:pPr>
        <w:spacing w:after="160" w:line="312" w:lineRule="auto"/>
      </w:pPr>
      <w:r>
        <w:rPr>
          <w:rFonts w:ascii="Calibri" w:hAnsi="Calibri"/>
          <w:b w:val="0"/>
          <w:i w:val="0"/>
          <w:color w:val="222222"/>
          <w:sz w:val="21"/>
        </w:rPr>
        <w:t>The pipeline moves through 6 interconnected phases, transforming raw Borg traces into verified, explainable scheduling decisions:</w:t>
      </w:r>
    </w:p>
    <w:p>
      <w:r>
        <w:rPr>
          <w:rFonts w:ascii="Calibri" w:hAnsi="Calibri"/>
          <w:b/>
          <w:color w:val="0066CC"/>
          <w:sz w:val="22"/>
        </w:rPr>
        <w:t>Phase 1: Real Data Ingestion</w:t>
      </w:r>
    </w:p>
    <w:p>
      <w:pPr>
        <w:spacing w:after="200" w:line="312" w:lineRule="auto"/>
      </w:pPr>
      <w:r>
        <w:rPr>
          <w:rFonts w:ascii="Calibri" w:hAnsi="Calibri"/>
          <w:b w:val="0"/>
          <w:i w:val="0"/>
          <w:color w:val="222222"/>
          <w:sz w:val="21"/>
        </w:rPr>
        <w:t>borg_loader.py parses 328 MB of Google Borg cluster traces (405,894 task events), filters to scheduled/finished jobs, and caches 5,000 clean tasks with real CPU/memory requests, durations, and priorities.</w:t>
      </w:r>
    </w:p>
    <w:p>
      <w:r>
        <w:rPr>
          <w:rFonts w:ascii="Calibri" w:hAnsi="Calibri"/>
          <w:b/>
          <w:color w:val="0066CC"/>
          <w:sz w:val="22"/>
        </w:rPr>
        <w:t>Phase 2: Cloud-Edge Environment</w:t>
      </w:r>
    </w:p>
    <w:p>
      <w:pPr>
        <w:spacing w:after="200" w:line="312" w:lineRule="auto"/>
      </w:pPr>
      <w:r>
        <w:rPr>
          <w:rFonts w:ascii="Calibri" w:hAnsi="Calibri"/>
          <w:b w:val="0"/>
          <w:i w:val="0"/>
          <w:color w:val="222222"/>
          <w:sz w:val="21"/>
        </w:rPr>
        <w:t>8 heterogeneous VMs (2 edge + 6 cloud) with finite CPU/RAM capacity. VMs run many tasks concurrently via time-sharing (Borg-accurate model). Tasks that oversubscribe a VM queue up, producing distinct makespan/miss-rate differences across schedulers.</w:t>
      </w:r>
    </w:p>
    <w:p>
      <w:r>
        <w:rPr>
          <w:rFonts w:ascii="Calibri" w:hAnsi="Calibri"/>
          <w:b/>
          <w:color w:val="0066CC"/>
          <w:sz w:val="22"/>
        </w:rPr>
        <w:t>Phase 3: Double DQN Decision Engine</w:t>
      </w:r>
    </w:p>
    <w:p>
      <w:pPr>
        <w:spacing w:after="200" w:line="312" w:lineRule="auto"/>
      </w:pPr>
      <w:r>
        <w:rPr>
          <w:rFonts w:ascii="Calibri" w:hAnsi="Calibri"/>
          <w:b w:val="0"/>
          <w:i w:val="0"/>
          <w:color w:val="222222"/>
          <w:sz w:val="21"/>
        </w:rPr>
        <w:t>A Dueling architecture in pure NumPy with manual backprop + Adam: a shared backbone (45→128→64) splits into a value stream (→32→1) and an advantage stream (→32→8), combined as Q = V + (A − Ā). A state-derived safety mask excludes VMs above 90% utilization before the argmax. Double DQN separates action selection from evaluation to reduce Q-overestimation. Outputs 8 Q-values (one per VM); argmax = chosen VM.</w:t>
      </w:r>
    </w:p>
    <w:p>
      <w:r>
        <w:rPr>
          <w:rFonts w:ascii="Calibri" w:hAnsi="Calibri"/>
          <w:b/>
          <w:color w:val="0066CC"/>
          <w:sz w:val="22"/>
        </w:rPr>
        <w:t>Phase 4: Training Loop (PER + Target Net)</w:t>
      </w:r>
    </w:p>
    <w:p>
      <w:pPr>
        <w:spacing w:after="200" w:line="312" w:lineRule="auto"/>
      </w:pPr>
      <w:r>
        <w:rPr>
          <w:rFonts w:ascii="Calibri" w:hAnsi="Calibri"/>
          <w:b w:val="0"/>
          <w:i w:val="0"/>
          <w:color w:val="222222"/>
          <w:sz w:val="21"/>
        </w:rPr>
        <w:t>50K-capacity SumTree buffer with Prioritized Experience Replay (high-TD-error transitions sampled more often). Soft Polyak target updates (τ=0.005) for stable learning. 300 episodes with curriculum-based task batching.</w:t>
      </w:r>
    </w:p>
    <w:p>
      <w:r>
        <w:rPr>
          <w:rFonts w:ascii="Calibri" w:hAnsi="Calibri"/>
          <w:b/>
          <w:color w:val="0066CC"/>
          <w:sz w:val="22"/>
        </w:rPr>
        <w:t>Phase 5: Explainability (4 Methods)</w:t>
      </w:r>
    </w:p>
    <w:p>
      <w:pPr>
        <w:spacing w:after="200" w:line="312" w:lineRule="auto"/>
      </w:pPr>
      <w:r>
        <w:rPr>
          <w:rFonts w:ascii="Calibri" w:hAnsi="Calibri"/>
          <w:b w:val="0"/>
          <w:i w:val="0"/>
          <w:color w:val="222222"/>
          <w:sz w:val="21"/>
        </w:rPr>
        <w:t>For each decision, FOUR attribution methods compute per-feature importance: KernelSHAP (coalition sampling + weighted least squares), Gradient×Input (exact analytic gradient), Occlusion (window sliding), and Integrated Gradients (axiom-satisfying path integral).</w:t>
      </w:r>
    </w:p>
    <w:p>
      <w:r>
        <w:rPr>
          <w:rFonts w:ascii="Calibri" w:hAnsi="Calibri"/>
          <w:b/>
          <w:color w:val="0066CC"/>
          <w:sz w:val="22"/>
        </w:rPr>
        <w:t>Phase 6: Trust Verification (6 Metrics)</w:t>
      </w:r>
    </w:p>
    <w:p>
      <w:pPr>
        <w:spacing w:after="200" w:line="312" w:lineRule="auto"/>
      </w:pPr>
      <w:r>
        <w:rPr>
          <w:rFonts w:ascii="Calibri" w:hAnsi="Calibri"/>
          <w:b w:val="0"/>
          <w:i w:val="0"/>
          <w:color w:val="222222"/>
          <w:sz w:val="21"/>
        </w:rPr>
        <w:t>Explanations are AUDITED, not just displayed: Deletion-AOPC, Insertion-AOPC, Top-K Fidelity, Consistency, Infidelity (Yeh et al. 2019), and Stability. This is the project's core contribution — testing whether explanations are faithful, not just plausible.</w:t>
      </w:r>
    </w:p>
    <w:p>
      <w:r>
        <w:br w:type="page"/>
      </w:r>
    </w:p>
    <w:p>
      <w:r>
        <w:rPr>
          <w:rFonts w:ascii="Calibri" w:hAnsi="Calibri"/>
          <w:b/>
          <w:color w:val="0F2847"/>
          <w:sz w:val="32"/>
        </w:rPr>
        <w:t>3. Results: Scheduler Performance</w:t>
      </w:r>
    </w:p>
    <w:p>
      <w:pPr>
        <w:spacing w:after="160" w:line="312" w:lineRule="auto"/>
      </w:pPr>
      <w:r>
        <w:rPr>
          <w:rFonts w:ascii="Calibri" w:hAnsi="Calibri"/>
          <w:b w:val="0"/>
          <w:i w:val="0"/>
          <w:color w:val="222222"/>
          <w:sz w:val="21"/>
        </w:rPr>
        <w:t>We evaluated 8 schedulers (1 DQN + 7 baselines) across 5 task loads (200-1000 tasks) on real Borg workloads. The table below shows metrics averaged across all loads. Lower is better for all metrics except where noted.</w:t>
      </w:r>
    </w:p>
    <w:tbl>
      <w:tblPr>
        <w:tblW w:type="auto" w:w="0"/>
        <w:jc w:val="center"/>
        <w:tblLook w:firstColumn="1" w:firstRow="1" w:lastColumn="0" w:lastRow="0" w:noHBand="0" w:noVBand="1" w:val="04A0"/>
        <w:tblBorders>
          <w:top w:val="single" w:sz="4" w:color="D3D3D3"/>
          <w:bottom w:val="single" w:sz="4" w:color="D3D3D3"/>
          <w:insideH w:val="single" w:sz="4" w:color="D3D3D3"/>
          <w:insideV w:val="single" w:sz="4" w:color="D3D3D3"/>
        </w:tblBorders>
      </w:tblPr>
      <w:tblGrid>
        <w:gridCol w:w="1560"/>
        <w:gridCol w:w="1560"/>
        <w:gridCol w:w="1560"/>
        <w:gridCol w:w="1560"/>
        <w:gridCol w:w="1560"/>
        <w:gridCol w:w="1560"/>
      </w:tblGrid>
      <w:tr>
        <w:tc>
          <w:tcPr>
            <w:tcW w:type="dxa" w:w="1984"/>
            <w:shd w:fill="0F2847"/>
            <w:tcMar>
              <w:top w:w="80" w:type="dxa"/>
              <w:bottom w:w="80" w:type="dxa"/>
              <w:left w:w="120" w:type="dxa"/>
              <w:right w:w="120" w:type="dxa"/>
            </w:tcMar>
          </w:tcPr>
          <w:p>
            <w:pPr>
              <w:jc w:val="center"/>
            </w:pPr>
            <w:r>
              <w:rPr>
                <w:rFonts w:ascii="Calibri" w:hAnsi="Calibri"/>
                <w:b/>
                <w:color w:val="FFFFFF"/>
                <w:sz w:val="20"/>
              </w:rPr>
              <w:t>Scheduler</w:t>
            </w:r>
          </w:p>
        </w:tc>
        <w:tc>
          <w:tcPr>
            <w:tcW w:type="dxa" w:w="1417"/>
            <w:shd w:fill="0F2847"/>
            <w:tcMar>
              <w:top w:w="80" w:type="dxa"/>
              <w:bottom w:w="80" w:type="dxa"/>
              <w:left w:w="120" w:type="dxa"/>
              <w:right w:w="120" w:type="dxa"/>
            </w:tcMar>
          </w:tcPr>
          <w:p>
            <w:pPr>
              <w:jc w:val="center"/>
            </w:pPr>
            <w:r>
              <w:rPr>
                <w:rFonts w:ascii="Calibri" w:hAnsi="Calibri"/>
                <w:b/>
                <w:color w:val="FFFFFF"/>
                <w:sz w:val="20"/>
              </w:rPr>
              <w:t>Makespan (s)</w:t>
            </w:r>
          </w:p>
        </w:tc>
        <w:tc>
          <w:tcPr>
            <w:tcW w:type="dxa" w:w="1247"/>
            <w:shd w:fill="0F2847"/>
            <w:tcMar>
              <w:top w:w="80" w:type="dxa"/>
              <w:bottom w:w="80" w:type="dxa"/>
              <w:left w:w="120" w:type="dxa"/>
              <w:right w:w="120" w:type="dxa"/>
            </w:tcMar>
          </w:tcPr>
          <w:p>
            <w:pPr>
              <w:jc w:val="center"/>
            </w:pPr>
            <w:r>
              <w:rPr>
                <w:rFonts w:ascii="Calibri" w:hAnsi="Calibri"/>
                <w:b/>
                <w:color w:val="FFFFFF"/>
                <w:sz w:val="20"/>
              </w:rPr>
              <w:t>Cost ($)</w:t>
            </w:r>
          </w:p>
        </w:tc>
        <w:tc>
          <w:tcPr>
            <w:tcW w:type="dxa" w:w="1247"/>
            <w:shd w:fill="0F2847"/>
            <w:tcMar>
              <w:top w:w="80" w:type="dxa"/>
              <w:bottom w:w="80" w:type="dxa"/>
              <w:left w:w="120" w:type="dxa"/>
              <w:right w:w="120" w:type="dxa"/>
            </w:tcMar>
          </w:tcPr>
          <w:p>
            <w:pPr>
              <w:jc w:val="center"/>
            </w:pPr>
            <w:r>
              <w:rPr>
                <w:rFonts w:ascii="Calibri" w:hAnsi="Calibri"/>
                <w:b/>
                <w:color w:val="FFFFFF"/>
                <w:sz w:val="20"/>
              </w:rPr>
              <w:t>Energy (Wh)</w:t>
            </w:r>
          </w:p>
        </w:tc>
        <w:tc>
          <w:tcPr>
            <w:tcW w:type="dxa" w:w="1134"/>
            <w:shd w:fill="0F2847"/>
            <w:tcMar>
              <w:top w:w="80" w:type="dxa"/>
              <w:bottom w:w="80" w:type="dxa"/>
              <w:left w:w="120" w:type="dxa"/>
              <w:right w:w="120" w:type="dxa"/>
            </w:tcMar>
          </w:tcPr>
          <w:p>
            <w:pPr>
              <w:jc w:val="center"/>
            </w:pPr>
            <w:r>
              <w:rPr>
                <w:rFonts w:ascii="Calibri" w:hAnsi="Calibri"/>
                <w:b/>
                <w:color w:val="FFFFFF"/>
                <w:sz w:val="20"/>
              </w:rPr>
              <w:t>Miss Rate</w:t>
            </w:r>
          </w:p>
        </w:tc>
        <w:tc>
          <w:tcPr>
            <w:tcW w:type="dxa" w:w="1417"/>
            <w:shd w:fill="0F2847"/>
            <w:tcMar>
              <w:top w:w="80" w:type="dxa"/>
              <w:bottom w:w="80" w:type="dxa"/>
              <w:left w:w="120" w:type="dxa"/>
              <w:right w:w="120" w:type="dxa"/>
            </w:tcMar>
          </w:tcPr>
          <w:p>
            <w:pPr>
              <w:jc w:val="center"/>
            </w:pPr>
            <w:r>
              <w:rPr>
                <w:rFonts w:ascii="Calibri" w:hAnsi="Calibri"/>
                <w:b/>
                <w:color w:val="FFFFFF"/>
                <w:sz w:val="20"/>
              </w:rPr>
              <w:t>Imbalance (DI)</w:t>
            </w:r>
          </w:p>
        </w:tc>
      </w:tr>
      <w:tr>
        <w:tc>
          <w:tcPr>
            <w:tcW w:type="dxa" w:w="1984"/>
            <w:shd w:fill="E8F7EE"/>
            <w:tcMar>
              <w:top w:w="80" w:type="dxa"/>
              <w:bottom w:w="80" w:type="dxa"/>
              <w:left w:w="120" w:type="dxa"/>
              <w:right w:w="120" w:type="dxa"/>
            </w:tcMar>
          </w:tcPr>
          <w:p>
            <w:pPr>
              <w:jc w:val="center"/>
            </w:pPr>
            <w:r>
              <w:rPr>
                <w:rFonts w:ascii="Calibri" w:hAnsi="Calibri"/>
                <w:b/>
                <w:color w:val="2D9B6B"/>
                <w:sz w:val="19"/>
              </w:rPr>
              <w:t>DQN (ours) ★</w:t>
            </w:r>
          </w:p>
        </w:tc>
        <w:tc>
          <w:tcPr>
            <w:tcW w:type="dxa" w:w="1417"/>
            <w:shd w:fill="E8F7EE"/>
            <w:tcMar>
              <w:top w:w="80" w:type="dxa"/>
              <w:bottom w:w="80" w:type="dxa"/>
              <w:left w:w="120" w:type="dxa"/>
              <w:right w:w="120" w:type="dxa"/>
            </w:tcMar>
          </w:tcPr>
          <w:p>
            <w:pPr>
              <w:jc w:val="center"/>
            </w:pPr>
            <w:r>
              <w:rPr>
                <w:rFonts w:ascii="Calibri" w:hAnsi="Calibri"/>
                <w:b/>
                <w:color w:val="2D9B6B"/>
                <w:sz w:val="19"/>
              </w:rPr>
              <w:t>1194</w:t>
            </w:r>
          </w:p>
        </w:tc>
        <w:tc>
          <w:tcPr>
            <w:tcW w:type="dxa" w:w="1247"/>
            <w:shd w:fill="E8F7EE"/>
            <w:tcMar>
              <w:top w:w="80" w:type="dxa"/>
              <w:bottom w:w="80" w:type="dxa"/>
              <w:left w:w="120" w:type="dxa"/>
              <w:right w:w="120" w:type="dxa"/>
            </w:tcMar>
          </w:tcPr>
          <w:p>
            <w:pPr>
              <w:jc w:val="center"/>
            </w:pPr>
            <w:r>
              <w:rPr>
                <w:rFonts w:ascii="Calibri" w:hAnsi="Calibri"/>
                <w:b/>
                <w:color w:val="2D9B6B"/>
                <w:sz w:val="19"/>
              </w:rPr>
              <w:t>28971</w:t>
            </w:r>
          </w:p>
        </w:tc>
        <w:tc>
          <w:tcPr>
            <w:tcW w:type="dxa" w:w="1247"/>
            <w:shd w:fill="E8F7EE"/>
            <w:tcMar>
              <w:top w:w="80" w:type="dxa"/>
              <w:bottom w:w="80" w:type="dxa"/>
              <w:left w:w="120" w:type="dxa"/>
              <w:right w:w="120" w:type="dxa"/>
            </w:tcMar>
          </w:tcPr>
          <w:p>
            <w:pPr>
              <w:jc w:val="center"/>
            </w:pPr>
            <w:r>
              <w:rPr>
                <w:rFonts w:ascii="Calibri" w:hAnsi="Calibri"/>
                <w:b/>
                <w:color w:val="2D9B6B"/>
                <w:sz w:val="19"/>
              </w:rPr>
              <w:t>4173</w:t>
            </w:r>
          </w:p>
        </w:tc>
        <w:tc>
          <w:tcPr>
            <w:tcW w:type="dxa" w:w="1134"/>
            <w:shd w:fill="E8F7EE"/>
            <w:tcMar>
              <w:top w:w="80" w:type="dxa"/>
              <w:bottom w:w="80" w:type="dxa"/>
              <w:left w:w="120" w:type="dxa"/>
              <w:right w:w="120" w:type="dxa"/>
            </w:tcMar>
          </w:tcPr>
          <w:p>
            <w:pPr>
              <w:jc w:val="center"/>
            </w:pPr>
            <w:r>
              <w:rPr>
                <w:rFonts w:ascii="Calibri" w:hAnsi="Calibri"/>
                <w:b/>
                <w:color w:val="2D9B6B"/>
                <w:sz w:val="19"/>
              </w:rPr>
              <w:t>0.0%</w:t>
            </w:r>
          </w:p>
        </w:tc>
        <w:tc>
          <w:tcPr>
            <w:tcW w:type="dxa" w:w="1417"/>
            <w:shd w:fill="E8F7EE"/>
            <w:tcMar>
              <w:top w:w="80" w:type="dxa"/>
              <w:bottom w:w="80" w:type="dxa"/>
              <w:left w:w="120" w:type="dxa"/>
              <w:right w:w="120" w:type="dxa"/>
            </w:tcMar>
          </w:tcPr>
          <w:p>
            <w:pPr>
              <w:jc w:val="center"/>
            </w:pPr>
            <w:r>
              <w:rPr>
                <w:rFonts w:ascii="Calibri" w:hAnsi="Calibri"/>
                <w:b/>
                <w:color w:val="2D9B6B"/>
                <w:sz w:val="19"/>
              </w:rPr>
              <w:t>1.04</w:t>
            </w:r>
          </w:p>
        </w:tc>
      </w:tr>
      <w:tr>
        <w:tc>
          <w:tcPr>
            <w:tcW w:type="dxa" w:w="1984"/>
            <w:shd w:fill="F4F6F9"/>
            <w:tcMar>
              <w:top w:w="80" w:type="dxa"/>
              <w:bottom w:w="80" w:type="dxa"/>
              <w:left w:w="120" w:type="dxa"/>
              <w:right w:w="120" w:type="dxa"/>
            </w:tcMar>
          </w:tcPr>
          <w:p>
            <w:pPr>
              <w:jc w:val="center"/>
            </w:pPr>
            <w:r>
              <w:rPr>
                <w:rFonts w:ascii="Calibri" w:hAnsi="Calibri"/>
                <w:sz w:val="19"/>
              </w:rPr>
              <w:t>PSO</w:t>
            </w:r>
          </w:p>
        </w:tc>
        <w:tc>
          <w:tcPr>
            <w:tcW w:type="dxa" w:w="1417"/>
            <w:shd w:fill="F4F6F9"/>
            <w:tcMar>
              <w:top w:w="80" w:type="dxa"/>
              <w:bottom w:w="80" w:type="dxa"/>
              <w:left w:w="120" w:type="dxa"/>
              <w:right w:w="120" w:type="dxa"/>
            </w:tcMar>
          </w:tcPr>
          <w:p>
            <w:pPr>
              <w:jc w:val="center"/>
            </w:pPr>
            <w:r>
              <w:rPr>
                <w:rFonts w:ascii="Calibri" w:hAnsi="Calibri"/>
                <w:sz w:val="19"/>
              </w:rPr>
              <w:t>3005</w:t>
            </w:r>
          </w:p>
        </w:tc>
        <w:tc>
          <w:tcPr>
            <w:tcW w:type="dxa" w:w="1247"/>
            <w:shd w:fill="F4F6F9"/>
            <w:tcMar>
              <w:top w:w="80" w:type="dxa"/>
              <w:bottom w:w="80" w:type="dxa"/>
              <w:left w:w="120" w:type="dxa"/>
              <w:right w:w="120" w:type="dxa"/>
            </w:tcMar>
          </w:tcPr>
          <w:p>
            <w:pPr>
              <w:jc w:val="center"/>
            </w:pPr>
            <w:r>
              <w:rPr>
                <w:rFonts w:ascii="Calibri" w:hAnsi="Calibri"/>
                <w:sz w:val="19"/>
              </w:rPr>
              <w:t>9615</w:t>
            </w:r>
          </w:p>
        </w:tc>
        <w:tc>
          <w:tcPr>
            <w:tcW w:type="dxa" w:w="1247"/>
            <w:shd w:fill="F4F6F9"/>
            <w:tcMar>
              <w:top w:w="80" w:type="dxa"/>
              <w:bottom w:w="80" w:type="dxa"/>
              <w:left w:w="120" w:type="dxa"/>
              <w:right w:w="120" w:type="dxa"/>
            </w:tcMar>
          </w:tcPr>
          <w:p>
            <w:pPr>
              <w:jc w:val="center"/>
            </w:pPr>
            <w:r>
              <w:rPr>
                <w:rFonts w:ascii="Calibri" w:hAnsi="Calibri"/>
                <w:sz w:val="19"/>
              </w:rPr>
              <w:t>4085</w:t>
            </w:r>
          </w:p>
        </w:tc>
        <w:tc>
          <w:tcPr>
            <w:tcW w:type="dxa" w:w="1134"/>
            <w:shd w:fill="F4F6F9"/>
            <w:tcMar>
              <w:top w:w="80" w:type="dxa"/>
              <w:bottom w:w="80" w:type="dxa"/>
              <w:left w:w="120" w:type="dxa"/>
              <w:right w:w="120" w:type="dxa"/>
            </w:tcMar>
          </w:tcPr>
          <w:p>
            <w:pPr>
              <w:jc w:val="center"/>
            </w:pPr>
            <w:r>
              <w:rPr>
                <w:rFonts w:ascii="Calibri" w:hAnsi="Calibri"/>
                <w:sz w:val="19"/>
              </w:rPr>
              <w:t>42.1%</w:t>
            </w:r>
          </w:p>
        </w:tc>
        <w:tc>
          <w:tcPr>
            <w:tcW w:type="dxa" w:w="1417"/>
            <w:shd w:fill="F4F6F9"/>
            <w:tcMar>
              <w:top w:w="80" w:type="dxa"/>
              <w:bottom w:w="80" w:type="dxa"/>
              <w:left w:w="120" w:type="dxa"/>
              <w:right w:w="120" w:type="dxa"/>
            </w:tcMar>
          </w:tcPr>
          <w:p>
            <w:pPr>
              <w:jc w:val="center"/>
            </w:pPr>
            <w:r>
              <w:rPr>
                <w:rFonts w:ascii="Calibri" w:hAnsi="Calibri"/>
                <w:sz w:val="19"/>
              </w:rPr>
              <w:t>25.16</w:t>
            </w:r>
          </w:p>
        </w:tc>
      </w:tr>
      <w:tr>
        <w:tc>
          <w:tcPr>
            <w:tcW w:type="dxa" w:w="1984"/>
            <w:shd w:fill="FFFFFF"/>
            <w:tcMar>
              <w:top w:w="80" w:type="dxa"/>
              <w:bottom w:w="80" w:type="dxa"/>
              <w:left w:w="120" w:type="dxa"/>
              <w:right w:w="120" w:type="dxa"/>
            </w:tcMar>
          </w:tcPr>
          <w:p>
            <w:pPr>
              <w:jc w:val="center"/>
            </w:pPr>
            <w:r>
              <w:rPr>
                <w:rFonts w:ascii="Calibri" w:hAnsi="Calibri"/>
                <w:sz w:val="19"/>
              </w:rPr>
              <w:t>Min-Min</w:t>
            </w:r>
          </w:p>
        </w:tc>
        <w:tc>
          <w:tcPr>
            <w:tcW w:type="dxa" w:w="1417"/>
            <w:shd w:fill="FFFFFF"/>
            <w:tcMar>
              <w:top w:w="80" w:type="dxa"/>
              <w:bottom w:w="80" w:type="dxa"/>
              <w:left w:w="120" w:type="dxa"/>
              <w:right w:w="120" w:type="dxa"/>
            </w:tcMar>
          </w:tcPr>
          <w:p>
            <w:pPr>
              <w:jc w:val="center"/>
            </w:pPr>
            <w:r>
              <w:rPr>
                <w:rFonts w:ascii="Calibri" w:hAnsi="Calibri"/>
                <w:sz w:val="19"/>
              </w:rPr>
              <w:t>1194</w:t>
            </w:r>
          </w:p>
        </w:tc>
        <w:tc>
          <w:tcPr>
            <w:tcW w:type="dxa" w:w="1247"/>
            <w:shd w:fill="FFFFFF"/>
            <w:tcMar>
              <w:top w:w="80" w:type="dxa"/>
              <w:bottom w:w="80" w:type="dxa"/>
              <w:left w:w="120" w:type="dxa"/>
              <w:right w:w="120" w:type="dxa"/>
            </w:tcMar>
          </w:tcPr>
          <w:p>
            <w:pPr>
              <w:jc w:val="center"/>
            </w:pPr>
            <w:r>
              <w:rPr>
                <w:rFonts w:ascii="Calibri" w:hAnsi="Calibri"/>
                <w:sz w:val="19"/>
              </w:rPr>
              <w:t>31693</w:t>
            </w:r>
          </w:p>
        </w:tc>
        <w:tc>
          <w:tcPr>
            <w:tcW w:type="dxa" w:w="1247"/>
            <w:shd w:fill="FFFFFF"/>
            <w:tcMar>
              <w:top w:w="80" w:type="dxa"/>
              <w:bottom w:w="80" w:type="dxa"/>
              <w:left w:w="120" w:type="dxa"/>
              <w:right w:w="120" w:type="dxa"/>
            </w:tcMar>
          </w:tcPr>
          <w:p>
            <w:pPr>
              <w:jc w:val="center"/>
            </w:pPr>
            <w:r>
              <w:rPr>
                <w:rFonts w:ascii="Calibri" w:hAnsi="Calibri"/>
                <w:sz w:val="19"/>
              </w:rPr>
              <w:t>4744</w:t>
            </w:r>
          </w:p>
        </w:tc>
        <w:tc>
          <w:tcPr>
            <w:tcW w:type="dxa" w:w="1134"/>
            <w:shd w:fill="FFFFFF"/>
            <w:tcMar>
              <w:top w:w="80" w:type="dxa"/>
              <w:bottom w:w="80" w:type="dxa"/>
              <w:left w:w="120" w:type="dxa"/>
              <w:right w:w="120" w:type="dxa"/>
            </w:tcMar>
          </w:tcPr>
          <w:p>
            <w:pPr>
              <w:jc w:val="center"/>
            </w:pPr>
            <w:r>
              <w:rPr>
                <w:rFonts w:ascii="Calibri" w:hAnsi="Calibri"/>
                <w:sz w:val="19"/>
              </w:rPr>
              <w:t>0.0%</w:t>
            </w:r>
          </w:p>
        </w:tc>
        <w:tc>
          <w:tcPr>
            <w:tcW w:type="dxa" w:w="1417"/>
            <w:shd w:fill="FFFFFF"/>
            <w:tcMar>
              <w:top w:w="80" w:type="dxa"/>
              <w:bottom w:w="80" w:type="dxa"/>
              <w:left w:w="120" w:type="dxa"/>
              <w:right w:w="120" w:type="dxa"/>
            </w:tcMar>
          </w:tcPr>
          <w:p>
            <w:pPr>
              <w:jc w:val="center"/>
            </w:pPr>
            <w:r>
              <w:rPr>
                <w:rFonts w:ascii="Calibri" w:hAnsi="Calibri"/>
                <w:sz w:val="19"/>
              </w:rPr>
              <w:t>4.37</w:t>
            </w:r>
          </w:p>
        </w:tc>
      </w:tr>
      <w:tr>
        <w:tc>
          <w:tcPr>
            <w:tcW w:type="dxa" w:w="1984"/>
            <w:shd w:fill="F4F6F9"/>
            <w:tcMar>
              <w:top w:w="80" w:type="dxa"/>
              <w:bottom w:w="80" w:type="dxa"/>
              <w:left w:w="120" w:type="dxa"/>
              <w:right w:w="120" w:type="dxa"/>
            </w:tcMar>
          </w:tcPr>
          <w:p>
            <w:pPr>
              <w:jc w:val="center"/>
            </w:pPr>
            <w:r>
              <w:rPr>
                <w:rFonts w:ascii="Calibri" w:hAnsi="Calibri"/>
                <w:sz w:val="19"/>
              </w:rPr>
              <w:t>FCFS</w:t>
            </w:r>
          </w:p>
        </w:tc>
        <w:tc>
          <w:tcPr>
            <w:tcW w:type="dxa" w:w="1417"/>
            <w:shd w:fill="F4F6F9"/>
            <w:tcMar>
              <w:top w:w="80" w:type="dxa"/>
              <w:bottom w:w="80" w:type="dxa"/>
              <w:left w:w="120" w:type="dxa"/>
              <w:right w:w="120" w:type="dxa"/>
            </w:tcMar>
          </w:tcPr>
          <w:p>
            <w:pPr>
              <w:jc w:val="center"/>
            </w:pPr>
            <w:r>
              <w:rPr>
                <w:rFonts w:ascii="Calibri" w:hAnsi="Calibri"/>
                <w:sz w:val="19"/>
              </w:rPr>
              <w:t>1633</w:t>
            </w:r>
          </w:p>
        </w:tc>
        <w:tc>
          <w:tcPr>
            <w:tcW w:type="dxa" w:w="1247"/>
            <w:shd w:fill="F4F6F9"/>
            <w:tcMar>
              <w:top w:w="80" w:type="dxa"/>
              <w:bottom w:w="80" w:type="dxa"/>
              <w:left w:w="120" w:type="dxa"/>
              <w:right w:w="120" w:type="dxa"/>
            </w:tcMar>
          </w:tcPr>
          <w:p>
            <w:pPr>
              <w:jc w:val="center"/>
            </w:pPr>
            <w:r>
              <w:rPr>
                <w:rFonts w:ascii="Calibri" w:hAnsi="Calibri"/>
                <w:sz w:val="19"/>
              </w:rPr>
              <w:t>39149</w:t>
            </w:r>
          </w:p>
        </w:tc>
        <w:tc>
          <w:tcPr>
            <w:tcW w:type="dxa" w:w="1247"/>
            <w:shd w:fill="F4F6F9"/>
            <w:tcMar>
              <w:top w:w="80" w:type="dxa"/>
              <w:bottom w:w="80" w:type="dxa"/>
              <w:left w:w="120" w:type="dxa"/>
              <w:right w:w="120" w:type="dxa"/>
            </w:tcMar>
          </w:tcPr>
          <w:p>
            <w:pPr>
              <w:jc w:val="center"/>
            </w:pPr>
            <w:r>
              <w:rPr>
                <w:rFonts w:ascii="Calibri" w:hAnsi="Calibri"/>
                <w:sz w:val="19"/>
              </w:rPr>
              <w:t>4122</w:t>
            </w:r>
          </w:p>
        </w:tc>
        <w:tc>
          <w:tcPr>
            <w:tcW w:type="dxa" w:w="1134"/>
            <w:shd w:fill="F4F6F9"/>
            <w:tcMar>
              <w:top w:w="80" w:type="dxa"/>
              <w:bottom w:w="80" w:type="dxa"/>
              <w:left w:w="120" w:type="dxa"/>
              <w:right w:w="120" w:type="dxa"/>
            </w:tcMar>
          </w:tcPr>
          <w:p>
            <w:pPr>
              <w:jc w:val="center"/>
            </w:pPr>
            <w:r>
              <w:rPr>
                <w:rFonts w:ascii="Calibri" w:hAnsi="Calibri"/>
                <w:sz w:val="19"/>
              </w:rPr>
              <w:t>4.6%</w:t>
            </w:r>
          </w:p>
        </w:tc>
        <w:tc>
          <w:tcPr>
            <w:tcW w:type="dxa" w:w="1417"/>
            <w:shd w:fill="F4F6F9"/>
            <w:tcMar>
              <w:top w:w="80" w:type="dxa"/>
              <w:bottom w:w="80" w:type="dxa"/>
              <w:left w:w="120" w:type="dxa"/>
              <w:right w:w="120" w:type="dxa"/>
            </w:tcMar>
          </w:tcPr>
          <w:p>
            <w:pPr>
              <w:jc w:val="center"/>
            </w:pPr>
            <w:r>
              <w:rPr>
                <w:rFonts w:ascii="Calibri" w:hAnsi="Calibri"/>
                <w:sz w:val="19"/>
              </w:rPr>
              <w:t>6.04</w:t>
            </w:r>
          </w:p>
        </w:tc>
      </w:tr>
      <w:tr>
        <w:tc>
          <w:tcPr>
            <w:tcW w:type="dxa" w:w="1984"/>
            <w:shd w:fill="FFFFFF"/>
            <w:tcMar>
              <w:top w:w="80" w:type="dxa"/>
              <w:bottom w:w="80" w:type="dxa"/>
              <w:left w:w="120" w:type="dxa"/>
              <w:right w:w="120" w:type="dxa"/>
            </w:tcMar>
          </w:tcPr>
          <w:p>
            <w:pPr>
              <w:jc w:val="center"/>
            </w:pPr>
            <w:r>
              <w:rPr>
                <w:rFonts w:ascii="Calibri" w:hAnsi="Calibri"/>
                <w:sz w:val="19"/>
              </w:rPr>
              <w:t>RoundRobin</w:t>
            </w:r>
          </w:p>
        </w:tc>
        <w:tc>
          <w:tcPr>
            <w:tcW w:type="dxa" w:w="1417"/>
            <w:shd w:fill="FFFFFF"/>
            <w:tcMar>
              <w:top w:w="80" w:type="dxa"/>
              <w:bottom w:w="80" w:type="dxa"/>
              <w:left w:w="120" w:type="dxa"/>
              <w:right w:w="120" w:type="dxa"/>
            </w:tcMar>
          </w:tcPr>
          <w:p>
            <w:pPr>
              <w:jc w:val="center"/>
            </w:pPr>
            <w:r>
              <w:rPr>
                <w:rFonts w:ascii="Calibri" w:hAnsi="Calibri"/>
                <w:sz w:val="19"/>
              </w:rPr>
              <w:t>1633</w:t>
            </w:r>
          </w:p>
        </w:tc>
        <w:tc>
          <w:tcPr>
            <w:tcW w:type="dxa" w:w="1247"/>
            <w:shd w:fill="FFFFFF"/>
            <w:tcMar>
              <w:top w:w="80" w:type="dxa"/>
              <w:bottom w:w="80" w:type="dxa"/>
              <w:left w:w="120" w:type="dxa"/>
              <w:right w:w="120" w:type="dxa"/>
            </w:tcMar>
          </w:tcPr>
          <w:p>
            <w:pPr>
              <w:jc w:val="center"/>
            </w:pPr>
            <w:r>
              <w:rPr>
                <w:rFonts w:ascii="Calibri" w:hAnsi="Calibri"/>
                <w:sz w:val="19"/>
              </w:rPr>
              <w:t>39149</w:t>
            </w:r>
          </w:p>
        </w:tc>
        <w:tc>
          <w:tcPr>
            <w:tcW w:type="dxa" w:w="1247"/>
            <w:shd w:fill="FFFFFF"/>
            <w:tcMar>
              <w:top w:w="80" w:type="dxa"/>
              <w:bottom w:w="80" w:type="dxa"/>
              <w:left w:w="120" w:type="dxa"/>
              <w:right w:w="120" w:type="dxa"/>
            </w:tcMar>
          </w:tcPr>
          <w:p>
            <w:pPr>
              <w:jc w:val="center"/>
            </w:pPr>
            <w:r>
              <w:rPr>
                <w:rFonts w:ascii="Calibri" w:hAnsi="Calibri"/>
                <w:sz w:val="19"/>
              </w:rPr>
              <w:t>4122</w:t>
            </w:r>
          </w:p>
        </w:tc>
        <w:tc>
          <w:tcPr>
            <w:tcW w:type="dxa" w:w="1134"/>
            <w:shd w:fill="FFFFFF"/>
            <w:tcMar>
              <w:top w:w="80" w:type="dxa"/>
              <w:bottom w:w="80" w:type="dxa"/>
              <w:left w:w="120" w:type="dxa"/>
              <w:right w:w="120" w:type="dxa"/>
            </w:tcMar>
          </w:tcPr>
          <w:p>
            <w:pPr>
              <w:jc w:val="center"/>
            </w:pPr>
            <w:r>
              <w:rPr>
                <w:rFonts w:ascii="Calibri" w:hAnsi="Calibri"/>
                <w:sz w:val="19"/>
              </w:rPr>
              <w:t>4.6%</w:t>
            </w:r>
          </w:p>
        </w:tc>
        <w:tc>
          <w:tcPr>
            <w:tcW w:type="dxa" w:w="1417"/>
            <w:shd w:fill="FFFFFF"/>
            <w:tcMar>
              <w:top w:w="80" w:type="dxa"/>
              <w:bottom w:w="80" w:type="dxa"/>
              <w:left w:w="120" w:type="dxa"/>
              <w:right w:w="120" w:type="dxa"/>
            </w:tcMar>
          </w:tcPr>
          <w:p>
            <w:pPr>
              <w:jc w:val="center"/>
            </w:pPr>
            <w:r>
              <w:rPr>
                <w:rFonts w:ascii="Calibri" w:hAnsi="Calibri"/>
                <w:sz w:val="19"/>
              </w:rPr>
              <w:t>6.04</w:t>
            </w:r>
          </w:p>
        </w:tc>
      </w:tr>
      <w:tr>
        <w:tc>
          <w:tcPr>
            <w:tcW w:type="dxa" w:w="1984"/>
            <w:shd w:fill="F4F6F9"/>
            <w:tcMar>
              <w:top w:w="80" w:type="dxa"/>
              <w:bottom w:w="80" w:type="dxa"/>
              <w:left w:w="120" w:type="dxa"/>
              <w:right w:w="120" w:type="dxa"/>
            </w:tcMar>
          </w:tcPr>
          <w:p>
            <w:pPr>
              <w:jc w:val="center"/>
            </w:pPr>
            <w:r>
              <w:rPr>
                <w:rFonts w:ascii="Calibri" w:hAnsi="Calibri"/>
                <w:sz w:val="19"/>
              </w:rPr>
              <w:t>GreedyLeastLoaded</w:t>
            </w:r>
          </w:p>
        </w:tc>
        <w:tc>
          <w:tcPr>
            <w:tcW w:type="dxa" w:w="1417"/>
            <w:shd w:fill="F4F6F9"/>
            <w:tcMar>
              <w:top w:w="80" w:type="dxa"/>
              <w:bottom w:w="80" w:type="dxa"/>
              <w:left w:w="120" w:type="dxa"/>
              <w:right w:w="120" w:type="dxa"/>
            </w:tcMar>
          </w:tcPr>
          <w:p>
            <w:pPr>
              <w:jc w:val="center"/>
            </w:pPr>
            <w:r>
              <w:rPr>
                <w:rFonts w:ascii="Calibri" w:hAnsi="Calibri"/>
                <w:sz w:val="19"/>
              </w:rPr>
              <w:t>1257</w:t>
            </w:r>
          </w:p>
        </w:tc>
        <w:tc>
          <w:tcPr>
            <w:tcW w:type="dxa" w:w="1247"/>
            <w:shd w:fill="F4F6F9"/>
            <w:tcMar>
              <w:top w:w="80" w:type="dxa"/>
              <w:bottom w:w="80" w:type="dxa"/>
              <w:left w:w="120" w:type="dxa"/>
              <w:right w:w="120" w:type="dxa"/>
            </w:tcMar>
          </w:tcPr>
          <w:p>
            <w:pPr>
              <w:jc w:val="center"/>
            </w:pPr>
            <w:r>
              <w:rPr>
                <w:rFonts w:ascii="Calibri" w:hAnsi="Calibri"/>
                <w:sz w:val="19"/>
              </w:rPr>
              <w:t>41725</w:t>
            </w:r>
          </w:p>
        </w:tc>
        <w:tc>
          <w:tcPr>
            <w:tcW w:type="dxa" w:w="1247"/>
            <w:shd w:fill="F4F6F9"/>
            <w:tcMar>
              <w:top w:w="80" w:type="dxa"/>
              <w:bottom w:w="80" w:type="dxa"/>
              <w:left w:w="120" w:type="dxa"/>
              <w:right w:w="120" w:type="dxa"/>
            </w:tcMar>
          </w:tcPr>
          <w:p>
            <w:pPr>
              <w:jc w:val="center"/>
            </w:pPr>
            <w:r>
              <w:rPr>
                <w:rFonts w:ascii="Calibri" w:hAnsi="Calibri"/>
                <w:sz w:val="19"/>
              </w:rPr>
              <w:t>4466</w:t>
            </w:r>
          </w:p>
        </w:tc>
        <w:tc>
          <w:tcPr>
            <w:tcW w:type="dxa" w:w="1134"/>
            <w:shd w:fill="F4F6F9"/>
            <w:tcMar>
              <w:top w:w="80" w:type="dxa"/>
              <w:bottom w:w="80" w:type="dxa"/>
              <w:left w:w="120" w:type="dxa"/>
              <w:right w:w="120" w:type="dxa"/>
            </w:tcMar>
          </w:tcPr>
          <w:p>
            <w:pPr>
              <w:jc w:val="center"/>
            </w:pPr>
            <w:r>
              <w:rPr>
                <w:rFonts w:ascii="Calibri" w:hAnsi="Calibri"/>
                <w:sz w:val="19"/>
              </w:rPr>
              <w:t>0.1%</w:t>
            </w:r>
          </w:p>
        </w:tc>
        <w:tc>
          <w:tcPr>
            <w:tcW w:type="dxa" w:w="1417"/>
            <w:shd w:fill="F4F6F9"/>
            <w:tcMar>
              <w:top w:w="80" w:type="dxa"/>
              <w:bottom w:w="80" w:type="dxa"/>
              <w:left w:w="120" w:type="dxa"/>
              <w:right w:w="120" w:type="dxa"/>
            </w:tcMar>
          </w:tcPr>
          <w:p>
            <w:pPr>
              <w:jc w:val="center"/>
            </w:pPr>
            <w:r>
              <w:rPr>
                <w:rFonts w:ascii="Calibri" w:hAnsi="Calibri"/>
                <w:sz w:val="19"/>
              </w:rPr>
              <w:t>2.88</w:t>
            </w:r>
          </w:p>
        </w:tc>
      </w:tr>
      <w:tr>
        <w:tc>
          <w:tcPr>
            <w:tcW w:type="dxa" w:w="1984"/>
            <w:shd w:fill="FFFFFF"/>
            <w:tcMar>
              <w:top w:w="80" w:type="dxa"/>
              <w:bottom w:w="80" w:type="dxa"/>
              <w:left w:w="120" w:type="dxa"/>
              <w:right w:w="120" w:type="dxa"/>
            </w:tcMar>
          </w:tcPr>
          <w:p>
            <w:pPr>
              <w:jc w:val="center"/>
            </w:pPr>
            <w:r>
              <w:rPr>
                <w:rFonts w:ascii="Calibri" w:hAnsi="Calibri"/>
                <w:sz w:val="19"/>
              </w:rPr>
              <w:t>Max-Min</w:t>
            </w:r>
          </w:p>
        </w:tc>
        <w:tc>
          <w:tcPr>
            <w:tcW w:type="dxa" w:w="1417"/>
            <w:shd w:fill="FFFFFF"/>
            <w:tcMar>
              <w:top w:w="80" w:type="dxa"/>
              <w:bottom w:w="80" w:type="dxa"/>
              <w:left w:w="120" w:type="dxa"/>
              <w:right w:w="120" w:type="dxa"/>
            </w:tcMar>
          </w:tcPr>
          <w:p>
            <w:pPr>
              <w:jc w:val="center"/>
            </w:pPr>
            <w:r>
              <w:rPr>
                <w:rFonts w:ascii="Calibri" w:hAnsi="Calibri"/>
                <w:sz w:val="19"/>
              </w:rPr>
              <w:t>1194</w:t>
            </w:r>
          </w:p>
        </w:tc>
        <w:tc>
          <w:tcPr>
            <w:tcW w:type="dxa" w:w="1247"/>
            <w:shd w:fill="FFFFFF"/>
            <w:tcMar>
              <w:top w:w="80" w:type="dxa"/>
              <w:bottom w:w="80" w:type="dxa"/>
              <w:left w:w="120" w:type="dxa"/>
              <w:right w:w="120" w:type="dxa"/>
            </w:tcMar>
          </w:tcPr>
          <w:p>
            <w:pPr>
              <w:jc w:val="center"/>
            </w:pPr>
            <w:r>
              <w:rPr>
                <w:rFonts w:ascii="Calibri" w:hAnsi="Calibri"/>
                <w:sz w:val="19"/>
              </w:rPr>
              <w:t>44703</w:t>
            </w:r>
          </w:p>
        </w:tc>
        <w:tc>
          <w:tcPr>
            <w:tcW w:type="dxa" w:w="1247"/>
            <w:shd w:fill="FFFFFF"/>
            <w:tcMar>
              <w:top w:w="80" w:type="dxa"/>
              <w:bottom w:w="80" w:type="dxa"/>
              <w:left w:w="120" w:type="dxa"/>
              <w:right w:w="120" w:type="dxa"/>
            </w:tcMar>
          </w:tcPr>
          <w:p>
            <w:pPr>
              <w:jc w:val="center"/>
            </w:pPr>
            <w:r>
              <w:rPr>
                <w:rFonts w:ascii="Calibri" w:hAnsi="Calibri"/>
                <w:sz w:val="19"/>
              </w:rPr>
              <w:t>5355</w:t>
            </w:r>
          </w:p>
        </w:tc>
        <w:tc>
          <w:tcPr>
            <w:tcW w:type="dxa" w:w="1134"/>
            <w:shd w:fill="FFFFFF"/>
            <w:tcMar>
              <w:top w:w="80" w:type="dxa"/>
              <w:bottom w:w="80" w:type="dxa"/>
              <w:left w:w="120" w:type="dxa"/>
              <w:right w:w="120" w:type="dxa"/>
            </w:tcMar>
          </w:tcPr>
          <w:p>
            <w:pPr>
              <w:jc w:val="center"/>
            </w:pPr>
            <w:r>
              <w:rPr>
                <w:rFonts w:ascii="Calibri" w:hAnsi="Calibri"/>
                <w:sz w:val="19"/>
              </w:rPr>
              <w:t>0.0%</w:t>
            </w:r>
          </w:p>
        </w:tc>
        <w:tc>
          <w:tcPr>
            <w:tcW w:type="dxa" w:w="1417"/>
            <w:shd w:fill="FFFFFF"/>
            <w:tcMar>
              <w:top w:w="80" w:type="dxa"/>
              <w:bottom w:w="80" w:type="dxa"/>
              <w:left w:w="120" w:type="dxa"/>
              <w:right w:w="120" w:type="dxa"/>
            </w:tcMar>
          </w:tcPr>
          <w:p>
            <w:pPr>
              <w:jc w:val="center"/>
            </w:pPr>
            <w:r>
              <w:rPr>
                <w:rFonts w:ascii="Calibri" w:hAnsi="Calibri"/>
                <w:sz w:val="19"/>
              </w:rPr>
              <w:t>1.62</w:t>
            </w:r>
          </w:p>
        </w:tc>
      </w:tr>
      <w:tr>
        <w:tc>
          <w:tcPr>
            <w:tcW w:type="dxa" w:w="1984"/>
            <w:shd w:fill="F4F6F9"/>
            <w:tcMar>
              <w:top w:w="80" w:type="dxa"/>
              <w:bottom w:w="80" w:type="dxa"/>
              <w:left w:w="120" w:type="dxa"/>
              <w:right w:w="120" w:type="dxa"/>
            </w:tcMar>
          </w:tcPr>
          <w:p>
            <w:pPr>
              <w:jc w:val="center"/>
            </w:pPr>
            <w:r>
              <w:rPr>
                <w:rFonts w:ascii="Calibri" w:hAnsi="Calibri"/>
                <w:sz w:val="19"/>
              </w:rPr>
              <w:t>Q-learning</w:t>
            </w:r>
          </w:p>
        </w:tc>
        <w:tc>
          <w:tcPr>
            <w:tcW w:type="dxa" w:w="1417"/>
            <w:shd w:fill="F4F6F9"/>
            <w:tcMar>
              <w:top w:w="80" w:type="dxa"/>
              <w:bottom w:w="80" w:type="dxa"/>
              <w:left w:w="120" w:type="dxa"/>
              <w:right w:w="120" w:type="dxa"/>
            </w:tcMar>
          </w:tcPr>
          <w:p>
            <w:pPr>
              <w:jc w:val="center"/>
            </w:pPr>
            <w:r>
              <w:rPr>
                <w:rFonts w:ascii="Calibri" w:hAnsi="Calibri"/>
                <w:sz w:val="19"/>
              </w:rPr>
              <w:t>4171</w:t>
            </w:r>
          </w:p>
        </w:tc>
        <w:tc>
          <w:tcPr>
            <w:tcW w:type="dxa" w:w="1247"/>
            <w:shd w:fill="F4F6F9"/>
            <w:tcMar>
              <w:top w:w="80" w:type="dxa"/>
              <w:bottom w:w="80" w:type="dxa"/>
              <w:left w:w="120" w:type="dxa"/>
              <w:right w:w="120" w:type="dxa"/>
            </w:tcMar>
          </w:tcPr>
          <w:p>
            <w:pPr>
              <w:jc w:val="center"/>
            </w:pPr>
            <w:r>
              <w:rPr>
                <w:rFonts w:ascii="Calibri" w:hAnsi="Calibri"/>
                <w:sz w:val="19"/>
              </w:rPr>
              <w:t>29595</w:t>
            </w:r>
          </w:p>
        </w:tc>
        <w:tc>
          <w:tcPr>
            <w:tcW w:type="dxa" w:w="1247"/>
            <w:shd w:fill="F4F6F9"/>
            <w:tcMar>
              <w:top w:w="80" w:type="dxa"/>
              <w:bottom w:w="80" w:type="dxa"/>
              <w:left w:w="120" w:type="dxa"/>
              <w:right w:w="120" w:type="dxa"/>
            </w:tcMar>
          </w:tcPr>
          <w:p>
            <w:pPr>
              <w:jc w:val="center"/>
            </w:pPr>
            <w:r>
              <w:rPr>
                <w:rFonts w:ascii="Calibri" w:hAnsi="Calibri"/>
                <w:sz w:val="19"/>
              </w:rPr>
              <w:t>2986</w:t>
            </w:r>
          </w:p>
        </w:tc>
        <w:tc>
          <w:tcPr>
            <w:tcW w:type="dxa" w:w="1134"/>
            <w:shd w:fill="F4F6F9"/>
            <w:tcMar>
              <w:top w:w="80" w:type="dxa"/>
              <w:bottom w:w="80" w:type="dxa"/>
              <w:left w:w="120" w:type="dxa"/>
              <w:right w:w="120" w:type="dxa"/>
            </w:tcMar>
          </w:tcPr>
          <w:p>
            <w:pPr>
              <w:jc w:val="center"/>
            </w:pPr>
            <w:r>
              <w:rPr>
                <w:rFonts w:ascii="Calibri" w:hAnsi="Calibri"/>
                <w:sz w:val="19"/>
              </w:rPr>
              <w:t>32.0%</w:t>
            </w:r>
          </w:p>
        </w:tc>
        <w:tc>
          <w:tcPr>
            <w:tcW w:type="dxa" w:w="1417"/>
            <w:shd w:fill="F4F6F9"/>
            <w:tcMar>
              <w:top w:w="80" w:type="dxa"/>
              <w:bottom w:w="80" w:type="dxa"/>
              <w:left w:w="120" w:type="dxa"/>
              <w:right w:w="120" w:type="dxa"/>
            </w:tcMar>
          </w:tcPr>
          <w:p>
            <w:pPr>
              <w:jc w:val="center"/>
            </w:pPr>
            <w:r>
              <w:rPr>
                <w:rFonts w:ascii="Calibri" w:hAnsi="Calibri"/>
                <w:sz w:val="19"/>
              </w:rPr>
              <w:t>24.42</w:t>
            </w:r>
          </w:p>
        </w:tc>
      </w:tr>
    </w:tbl>
    <w:p/>
    <w:p>
      <w:pPr>
        <w:spacing w:after="160" w:line="312" w:lineRule="auto"/>
      </w:pPr>
      <w:r>
        <w:rPr>
          <w:rFonts w:ascii="Calibri" w:hAnsi="Calibri"/>
          <w:b w:val="0"/>
          <w:i/>
          <w:color w:val="6B7785"/>
          <w:sz w:val="21"/>
        </w:rPr>
        <w:t>Key observation: No single scheduler dominates all metrics. PSO achieves the lowest cost but catastrophically misses 42% of deadlines. Heuristics like Min-Min and Max-Min achieve zero misses but at 3× the cost of PSO. The DQN occupies a genuine multi-objective middle ground — this is the expected behavior for a real cloud scheduler balancing conflicting SLAs.</w:t>
      </w:r>
    </w:p>
    <w:p>
      <w:r>
        <w:br w:type="page"/>
      </w:r>
    </w:p>
    <w:p>
      <w:r>
        <w:rPr>
          <w:rFonts w:ascii="Calibri" w:hAnsi="Calibri"/>
          <w:b/>
          <w:color w:val="0F2847"/>
          <w:sz w:val="32"/>
        </w:rPr>
        <w:t>4. Results: XAI Trust Benchmark</w:t>
      </w:r>
    </w:p>
    <w:p>
      <w:pPr>
        <w:spacing w:after="160" w:line="312" w:lineRule="auto"/>
      </w:pPr>
      <w:r>
        <w:rPr>
          <w:rFonts w:ascii="Calibri" w:hAnsi="Calibri"/>
          <w:b w:val="0"/>
          <w:i w:val="0"/>
          <w:color w:val="222222"/>
          <w:sz w:val="21"/>
        </w:rPr>
        <w:t>This is the core contribution of our project. We ran 4 explanation methods on 60 live DQN scheduling decisions and scored each on 6 trust metrics. The question: are the explanations faithful to how the network actually thinks, or just plausible-looking?</w:t>
      </w:r>
    </w:p>
    <w:tbl>
      <w:tblPr>
        <w:tblW w:type="auto" w:w="0"/>
        <w:jc w:val="center"/>
        <w:tblLook w:firstColumn="1" w:firstRow="1" w:lastColumn="0" w:lastRow="0" w:noHBand="0" w:noVBand="1" w:val="04A0"/>
        <w:tblBorders>
          <w:top w:val="single" w:sz="4" w:color="D3D3D3"/>
          <w:bottom w:val="single" w:sz="4" w:color="D3D3D3"/>
          <w:insideH w:val="single" w:sz="4" w:color="D3D3D3"/>
          <w:insideV w:val="single" w:sz="4" w:color="D3D3D3"/>
        </w:tblBorders>
      </w:tblPr>
      <w:tblGrid>
        <w:gridCol w:w="1337"/>
        <w:gridCol w:w="1337"/>
        <w:gridCol w:w="1337"/>
        <w:gridCol w:w="1337"/>
        <w:gridCol w:w="1337"/>
        <w:gridCol w:w="1337"/>
        <w:gridCol w:w="1337"/>
      </w:tblGrid>
      <w:tr>
        <w:tc>
          <w:tcPr>
            <w:tcW w:type="dxa" w:w="1701"/>
            <w:shd w:fill="0F2847"/>
            <w:tcMar>
              <w:top w:w="80" w:type="dxa"/>
              <w:bottom w:w="80" w:type="dxa"/>
              <w:left w:w="120" w:type="dxa"/>
              <w:right w:w="120" w:type="dxa"/>
            </w:tcMar>
          </w:tcPr>
          <w:p>
            <w:pPr>
              <w:jc w:val="center"/>
            </w:pPr>
            <w:r>
              <w:rPr>
                <w:rFonts w:ascii="Calibri" w:hAnsi="Calibri"/>
                <w:b/>
                <w:color w:val="FFFFFF"/>
                <w:sz w:val="20"/>
              </w:rPr>
              <w:t>Method</w:t>
            </w:r>
          </w:p>
        </w:tc>
        <w:tc>
          <w:tcPr>
            <w:tcW w:type="dxa" w:w="1134"/>
            <w:shd w:fill="0F2847"/>
            <w:tcMar>
              <w:top w:w="80" w:type="dxa"/>
              <w:bottom w:w="80" w:type="dxa"/>
              <w:left w:w="120" w:type="dxa"/>
              <w:right w:w="120" w:type="dxa"/>
            </w:tcMar>
          </w:tcPr>
          <w:p>
            <w:pPr>
              <w:jc w:val="center"/>
            </w:pPr>
            <w:r>
              <w:rPr>
                <w:rFonts w:ascii="Calibri" w:hAnsi="Calibri"/>
                <w:b/>
                <w:color w:val="FFFFFF"/>
                <w:sz w:val="20"/>
              </w:rPr>
              <w:t>Deletion</w:t>
              <w:br/>
              <w:t>AOPC ↑</w:t>
            </w:r>
          </w:p>
        </w:tc>
        <w:tc>
          <w:tcPr>
            <w:tcW w:type="dxa" w:w="1134"/>
            <w:shd w:fill="0F2847"/>
            <w:tcMar>
              <w:top w:w="80" w:type="dxa"/>
              <w:bottom w:w="80" w:type="dxa"/>
              <w:left w:w="120" w:type="dxa"/>
              <w:right w:w="120" w:type="dxa"/>
            </w:tcMar>
          </w:tcPr>
          <w:p>
            <w:pPr>
              <w:jc w:val="center"/>
            </w:pPr>
            <w:r>
              <w:rPr>
                <w:rFonts w:ascii="Calibri" w:hAnsi="Calibri"/>
                <w:b/>
                <w:color w:val="FFFFFF"/>
                <w:sz w:val="20"/>
              </w:rPr>
              <w:t>Insertion</w:t>
              <w:br/>
              <w:t>AOPC ↑</w:t>
            </w:r>
          </w:p>
        </w:tc>
        <w:tc>
          <w:tcPr>
            <w:tcW w:type="dxa" w:w="1134"/>
            <w:shd w:fill="0F2847"/>
            <w:tcMar>
              <w:top w:w="80" w:type="dxa"/>
              <w:bottom w:w="80" w:type="dxa"/>
              <w:left w:w="120" w:type="dxa"/>
              <w:right w:w="120" w:type="dxa"/>
            </w:tcMar>
          </w:tcPr>
          <w:p>
            <w:pPr>
              <w:jc w:val="center"/>
            </w:pPr>
            <w:r>
              <w:rPr>
                <w:rFonts w:ascii="Calibri" w:hAnsi="Calibri"/>
                <w:b/>
                <w:color w:val="FFFFFF"/>
                <w:sz w:val="20"/>
              </w:rPr>
              <w:t>Top-10</w:t>
              <w:br/>
              <w:t>Fidelity</w:t>
            </w:r>
          </w:p>
        </w:tc>
        <w:tc>
          <w:tcPr>
            <w:tcW w:type="dxa" w:w="1134"/>
            <w:shd w:fill="0F2847"/>
            <w:tcMar>
              <w:top w:w="80" w:type="dxa"/>
              <w:bottom w:w="80" w:type="dxa"/>
              <w:left w:w="120" w:type="dxa"/>
              <w:right w:w="120" w:type="dxa"/>
            </w:tcMar>
          </w:tcPr>
          <w:p>
            <w:pPr>
              <w:jc w:val="center"/>
            </w:pPr>
            <w:r>
              <w:rPr>
                <w:rFonts w:ascii="Calibri" w:hAnsi="Calibri"/>
                <w:b/>
                <w:color w:val="FFFFFF"/>
                <w:sz w:val="20"/>
              </w:rPr>
              <w:t>Consistency</w:t>
              <w:br/>
              <w:t>↑</w:t>
            </w:r>
          </w:p>
        </w:tc>
        <w:tc>
          <w:tcPr>
            <w:tcW w:type="dxa" w:w="1134"/>
            <w:shd w:fill="0F2847"/>
            <w:tcMar>
              <w:top w:w="80" w:type="dxa"/>
              <w:bottom w:w="80" w:type="dxa"/>
              <w:left w:w="120" w:type="dxa"/>
              <w:right w:w="120" w:type="dxa"/>
            </w:tcMar>
          </w:tcPr>
          <w:p>
            <w:pPr>
              <w:jc w:val="center"/>
            </w:pPr>
            <w:r>
              <w:rPr>
                <w:rFonts w:ascii="Calibri" w:hAnsi="Calibri"/>
                <w:b/>
                <w:color w:val="FFFFFF"/>
                <w:sz w:val="20"/>
              </w:rPr>
              <w:t>Infidelity</w:t>
              <w:br/>
              <w:t>↓</w:t>
            </w:r>
          </w:p>
        </w:tc>
        <w:tc>
          <w:tcPr>
            <w:tcW w:type="dxa" w:w="1134"/>
            <w:shd w:fill="0F2847"/>
            <w:tcMar>
              <w:top w:w="80" w:type="dxa"/>
              <w:bottom w:w="80" w:type="dxa"/>
              <w:left w:w="120" w:type="dxa"/>
              <w:right w:w="120" w:type="dxa"/>
            </w:tcMar>
          </w:tcPr>
          <w:p>
            <w:pPr>
              <w:jc w:val="center"/>
            </w:pPr>
            <w:r>
              <w:rPr>
                <w:rFonts w:ascii="Calibri" w:hAnsi="Calibri"/>
                <w:b/>
                <w:color w:val="FFFFFF"/>
                <w:sz w:val="20"/>
              </w:rPr>
              <w:t>Latency</w:t>
              <w:br/>
              <w:t>(ms)</w:t>
            </w:r>
          </w:p>
        </w:tc>
      </w:tr>
      <w:tr>
        <w:tc>
          <w:tcPr>
            <w:tcW w:type="dxa" w:w="1701"/>
            <w:shd w:fill="FFFFFF"/>
            <w:tcMar>
              <w:top w:w="80" w:type="dxa"/>
              <w:bottom w:w="80" w:type="dxa"/>
              <w:left w:w="120" w:type="dxa"/>
              <w:right w:w="120" w:type="dxa"/>
            </w:tcMar>
          </w:tcPr>
          <w:p>
            <w:pPr>
              <w:jc w:val="center"/>
            </w:pPr>
            <w:r>
              <w:rPr>
                <w:rFonts w:ascii="Calibri" w:hAnsi="Calibri"/>
                <w:sz w:val="19"/>
              </w:rPr>
              <w:t>Kernelshap</w:t>
            </w:r>
          </w:p>
        </w:tc>
        <w:tc>
          <w:tcPr>
            <w:tcW w:type="dxa" w:w="1134"/>
            <w:shd w:fill="FFFFFF"/>
            <w:tcMar>
              <w:top w:w="80" w:type="dxa"/>
              <w:bottom w:w="80" w:type="dxa"/>
              <w:left w:w="120" w:type="dxa"/>
              <w:right w:w="120" w:type="dxa"/>
            </w:tcMar>
          </w:tcPr>
          <w:p>
            <w:pPr>
              <w:jc w:val="center"/>
            </w:pPr>
            <w:r>
              <w:rPr>
                <w:rFonts w:ascii="Calibri" w:hAnsi="Calibri"/>
                <w:sz w:val="19"/>
              </w:rPr>
              <w:t>0.786</w:t>
            </w:r>
          </w:p>
        </w:tc>
        <w:tc>
          <w:tcPr>
            <w:tcW w:type="dxa" w:w="1134"/>
            <w:shd w:fill="FFFFFF"/>
            <w:tcMar>
              <w:top w:w="80" w:type="dxa"/>
              <w:bottom w:w="80" w:type="dxa"/>
              <w:left w:w="120" w:type="dxa"/>
              <w:right w:w="120" w:type="dxa"/>
            </w:tcMar>
          </w:tcPr>
          <w:p>
            <w:pPr>
              <w:jc w:val="center"/>
            </w:pPr>
            <w:r>
              <w:rPr>
                <w:rFonts w:ascii="Calibri" w:hAnsi="Calibri"/>
                <w:sz w:val="19"/>
              </w:rPr>
              <w:t>0.748</w:t>
            </w:r>
          </w:p>
        </w:tc>
        <w:tc>
          <w:tcPr>
            <w:tcW w:type="dxa" w:w="1134"/>
            <w:shd w:fill="FFFFFF"/>
            <w:tcMar>
              <w:top w:w="80" w:type="dxa"/>
              <w:bottom w:w="80" w:type="dxa"/>
              <w:left w:w="120" w:type="dxa"/>
              <w:right w:w="120" w:type="dxa"/>
            </w:tcMar>
          </w:tcPr>
          <w:p>
            <w:pPr>
              <w:jc w:val="center"/>
            </w:pPr>
            <w:r>
              <w:rPr>
                <w:rFonts w:ascii="Calibri" w:hAnsi="Calibri"/>
                <w:sz w:val="19"/>
              </w:rPr>
              <w:t>28%</w:t>
            </w:r>
          </w:p>
        </w:tc>
        <w:tc>
          <w:tcPr>
            <w:tcW w:type="dxa" w:w="1134"/>
            <w:shd w:fill="FFFFFF"/>
            <w:tcMar>
              <w:top w:w="80" w:type="dxa"/>
              <w:bottom w:w="80" w:type="dxa"/>
              <w:left w:w="120" w:type="dxa"/>
              <w:right w:w="120" w:type="dxa"/>
            </w:tcMar>
          </w:tcPr>
          <w:p>
            <w:pPr>
              <w:jc w:val="center"/>
            </w:pPr>
            <w:r>
              <w:rPr>
                <w:rFonts w:ascii="Calibri" w:hAnsi="Calibri"/>
                <w:sz w:val="19"/>
              </w:rPr>
              <w:t>0.1372</w:t>
            </w:r>
          </w:p>
        </w:tc>
        <w:tc>
          <w:tcPr>
            <w:tcW w:type="dxa" w:w="1134"/>
            <w:shd w:fill="FFFFFF"/>
            <w:tcMar>
              <w:top w:w="80" w:type="dxa"/>
              <w:bottom w:w="80" w:type="dxa"/>
              <w:left w:w="120" w:type="dxa"/>
              <w:right w:w="120" w:type="dxa"/>
            </w:tcMar>
          </w:tcPr>
          <w:p>
            <w:pPr>
              <w:jc w:val="center"/>
            </w:pPr>
            <w:r>
              <w:rPr>
                <w:rFonts w:ascii="Calibri" w:hAnsi="Calibri"/>
                <w:sz w:val="19"/>
              </w:rPr>
              <w:t>943666363355141.250</w:t>
            </w:r>
          </w:p>
        </w:tc>
        <w:tc>
          <w:tcPr>
            <w:tcW w:type="dxa" w:w="1134"/>
            <w:shd w:fill="FFFFFF"/>
            <w:tcMar>
              <w:top w:w="80" w:type="dxa"/>
              <w:bottom w:w="80" w:type="dxa"/>
              <w:left w:w="120" w:type="dxa"/>
              <w:right w:w="120" w:type="dxa"/>
            </w:tcMar>
          </w:tcPr>
          <w:p>
            <w:pPr>
              <w:jc w:val="center"/>
            </w:pPr>
            <w:r>
              <w:rPr>
                <w:rFonts w:ascii="Calibri" w:hAnsi="Calibri"/>
                <w:sz w:val="19"/>
              </w:rPr>
              <w:t>53.90</w:t>
            </w:r>
          </w:p>
        </w:tc>
      </w:tr>
      <w:tr>
        <w:tc>
          <w:tcPr>
            <w:tcW w:type="dxa" w:w="1701"/>
            <w:shd w:fill="F4F6F9"/>
            <w:tcMar>
              <w:top w:w="80" w:type="dxa"/>
              <w:bottom w:w="80" w:type="dxa"/>
              <w:left w:w="120" w:type="dxa"/>
              <w:right w:w="120" w:type="dxa"/>
            </w:tcMar>
          </w:tcPr>
          <w:p>
            <w:pPr>
              <w:jc w:val="center"/>
            </w:pPr>
            <w:r>
              <w:rPr>
                <w:rFonts w:ascii="Calibri" w:hAnsi="Calibri"/>
                <w:sz w:val="19"/>
              </w:rPr>
              <w:t>Occlusion</w:t>
            </w:r>
          </w:p>
        </w:tc>
        <w:tc>
          <w:tcPr>
            <w:tcW w:type="dxa" w:w="1134"/>
            <w:shd w:fill="F4F6F9"/>
            <w:tcMar>
              <w:top w:w="80" w:type="dxa"/>
              <w:bottom w:w="80" w:type="dxa"/>
              <w:left w:w="120" w:type="dxa"/>
              <w:right w:w="120" w:type="dxa"/>
            </w:tcMar>
          </w:tcPr>
          <w:p>
            <w:pPr>
              <w:jc w:val="center"/>
            </w:pPr>
            <w:r>
              <w:rPr>
                <w:rFonts w:ascii="Calibri" w:hAnsi="Calibri"/>
                <w:sz w:val="19"/>
              </w:rPr>
              <w:t>1.129</w:t>
            </w:r>
          </w:p>
        </w:tc>
        <w:tc>
          <w:tcPr>
            <w:tcW w:type="dxa" w:w="1134"/>
            <w:shd w:fill="F4F6F9"/>
            <w:tcMar>
              <w:top w:w="80" w:type="dxa"/>
              <w:bottom w:w="80" w:type="dxa"/>
              <w:left w:w="120" w:type="dxa"/>
              <w:right w:w="120" w:type="dxa"/>
            </w:tcMar>
          </w:tcPr>
          <w:p>
            <w:pPr>
              <w:jc w:val="center"/>
            </w:pPr>
            <w:r>
              <w:rPr>
                <w:rFonts w:ascii="Calibri" w:hAnsi="Calibri"/>
                <w:sz w:val="19"/>
              </w:rPr>
              <w:t>1.048</w:t>
            </w:r>
          </w:p>
        </w:tc>
        <w:tc>
          <w:tcPr>
            <w:tcW w:type="dxa" w:w="1134"/>
            <w:shd w:fill="F4F6F9"/>
            <w:tcMar>
              <w:top w:w="80" w:type="dxa"/>
              <w:bottom w:w="80" w:type="dxa"/>
              <w:left w:w="120" w:type="dxa"/>
              <w:right w:w="120" w:type="dxa"/>
            </w:tcMar>
          </w:tcPr>
          <w:p>
            <w:pPr>
              <w:jc w:val="center"/>
            </w:pPr>
            <w:r>
              <w:rPr>
                <w:rFonts w:ascii="Calibri" w:hAnsi="Calibri"/>
                <w:sz w:val="19"/>
              </w:rPr>
              <w:t>23%</w:t>
            </w:r>
          </w:p>
        </w:tc>
        <w:tc>
          <w:tcPr>
            <w:tcW w:type="dxa" w:w="1134"/>
            <w:shd w:fill="F4F6F9"/>
            <w:tcMar>
              <w:top w:w="80" w:type="dxa"/>
              <w:bottom w:w="80" w:type="dxa"/>
              <w:left w:w="120" w:type="dxa"/>
              <w:right w:w="120" w:type="dxa"/>
            </w:tcMar>
          </w:tcPr>
          <w:p>
            <w:pPr>
              <w:jc w:val="center"/>
            </w:pPr>
            <w:r>
              <w:rPr>
                <w:rFonts w:ascii="Calibri" w:hAnsi="Calibri"/>
                <w:sz w:val="19"/>
              </w:rPr>
              <w:t>0.7568</w:t>
            </w:r>
          </w:p>
        </w:tc>
        <w:tc>
          <w:tcPr>
            <w:tcW w:type="dxa" w:w="1134"/>
            <w:shd w:fill="F4F6F9"/>
            <w:tcMar>
              <w:top w:w="80" w:type="dxa"/>
              <w:bottom w:w="80" w:type="dxa"/>
              <w:left w:w="120" w:type="dxa"/>
              <w:right w:w="120" w:type="dxa"/>
            </w:tcMar>
          </w:tcPr>
          <w:p>
            <w:pPr>
              <w:jc w:val="center"/>
            </w:pPr>
            <w:r>
              <w:rPr>
                <w:rFonts w:ascii="Calibri" w:hAnsi="Calibri"/>
                <w:sz w:val="19"/>
              </w:rPr>
              <w:t>2.365</w:t>
            </w:r>
          </w:p>
        </w:tc>
        <w:tc>
          <w:tcPr>
            <w:tcW w:type="dxa" w:w="1134"/>
            <w:shd w:fill="F4F6F9"/>
            <w:tcMar>
              <w:top w:w="80" w:type="dxa"/>
              <w:bottom w:w="80" w:type="dxa"/>
              <w:left w:w="120" w:type="dxa"/>
              <w:right w:w="120" w:type="dxa"/>
            </w:tcMar>
          </w:tcPr>
          <w:p>
            <w:pPr>
              <w:jc w:val="center"/>
            </w:pPr>
            <w:r>
              <w:rPr>
                <w:rFonts w:ascii="Calibri" w:hAnsi="Calibri"/>
                <w:sz w:val="19"/>
              </w:rPr>
              <w:t>3.29</w:t>
            </w:r>
          </w:p>
        </w:tc>
      </w:tr>
      <w:tr>
        <w:tc>
          <w:tcPr>
            <w:tcW w:type="dxa" w:w="1701"/>
            <w:shd w:fill="FFFFFF"/>
            <w:tcMar>
              <w:top w:w="80" w:type="dxa"/>
              <w:bottom w:w="80" w:type="dxa"/>
              <w:left w:w="120" w:type="dxa"/>
              <w:right w:w="120" w:type="dxa"/>
            </w:tcMar>
          </w:tcPr>
          <w:p>
            <w:pPr>
              <w:jc w:val="center"/>
            </w:pPr>
            <w:r>
              <w:rPr>
                <w:rFonts w:ascii="Calibri" w:hAnsi="Calibri"/>
                <w:sz w:val="19"/>
              </w:rPr>
              <w:t>Integrated Gradients</w:t>
            </w:r>
          </w:p>
        </w:tc>
        <w:tc>
          <w:tcPr>
            <w:tcW w:type="dxa" w:w="1134"/>
            <w:shd w:fill="FFFFFF"/>
            <w:tcMar>
              <w:top w:w="80" w:type="dxa"/>
              <w:bottom w:w="80" w:type="dxa"/>
              <w:left w:w="120" w:type="dxa"/>
              <w:right w:w="120" w:type="dxa"/>
            </w:tcMar>
          </w:tcPr>
          <w:p>
            <w:pPr>
              <w:jc w:val="center"/>
            </w:pPr>
            <w:r>
              <w:rPr>
                <w:rFonts w:ascii="Calibri" w:hAnsi="Calibri"/>
                <w:sz w:val="19"/>
              </w:rPr>
              <w:t>0.016</w:t>
            </w:r>
          </w:p>
        </w:tc>
        <w:tc>
          <w:tcPr>
            <w:tcW w:type="dxa" w:w="1134"/>
            <w:shd w:fill="FFFFFF"/>
            <w:tcMar>
              <w:top w:w="80" w:type="dxa"/>
              <w:bottom w:w="80" w:type="dxa"/>
              <w:left w:w="120" w:type="dxa"/>
              <w:right w:w="120" w:type="dxa"/>
            </w:tcMar>
          </w:tcPr>
          <w:p>
            <w:pPr>
              <w:jc w:val="center"/>
            </w:pPr>
            <w:r>
              <w:rPr>
                <w:rFonts w:ascii="Calibri" w:hAnsi="Calibri"/>
                <w:sz w:val="19"/>
              </w:rPr>
              <w:t>0.015</w:t>
            </w:r>
          </w:p>
        </w:tc>
        <w:tc>
          <w:tcPr>
            <w:tcW w:type="dxa" w:w="1134"/>
            <w:shd w:fill="FFFFFF"/>
            <w:tcMar>
              <w:top w:w="80" w:type="dxa"/>
              <w:bottom w:w="80" w:type="dxa"/>
              <w:left w:w="120" w:type="dxa"/>
              <w:right w:w="120" w:type="dxa"/>
            </w:tcMar>
          </w:tcPr>
          <w:p>
            <w:pPr>
              <w:jc w:val="center"/>
            </w:pPr>
            <w:r>
              <w:rPr>
                <w:rFonts w:ascii="Calibri" w:hAnsi="Calibri"/>
                <w:sz w:val="19"/>
              </w:rPr>
              <w:t>20%</w:t>
            </w:r>
          </w:p>
        </w:tc>
        <w:tc>
          <w:tcPr>
            <w:tcW w:type="dxa" w:w="1134"/>
            <w:shd w:fill="FFFFFF"/>
            <w:tcMar>
              <w:top w:w="80" w:type="dxa"/>
              <w:bottom w:w="80" w:type="dxa"/>
              <w:left w:w="120" w:type="dxa"/>
              <w:right w:w="120" w:type="dxa"/>
            </w:tcMar>
          </w:tcPr>
          <w:p>
            <w:pPr>
              <w:jc w:val="center"/>
            </w:pPr>
            <w:r>
              <w:rPr>
                <w:rFonts w:ascii="Calibri" w:hAnsi="Calibri"/>
                <w:sz w:val="19"/>
              </w:rPr>
              <w:t>0.8910</w:t>
            </w:r>
          </w:p>
        </w:tc>
        <w:tc>
          <w:tcPr>
            <w:tcW w:type="dxa" w:w="1134"/>
            <w:shd w:fill="FFFFFF"/>
            <w:tcMar>
              <w:top w:w="80" w:type="dxa"/>
              <w:bottom w:w="80" w:type="dxa"/>
              <w:left w:w="120" w:type="dxa"/>
              <w:right w:w="120" w:type="dxa"/>
            </w:tcMar>
          </w:tcPr>
          <w:p>
            <w:pPr>
              <w:jc w:val="center"/>
            </w:pPr>
            <w:r>
              <w:rPr>
                <w:rFonts w:ascii="Calibri" w:hAnsi="Calibri"/>
                <w:sz w:val="19"/>
              </w:rPr>
              <w:t>8.605</w:t>
            </w:r>
          </w:p>
        </w:tc>
        <w:tc>
          <w:tcPr>
            <w:tcW w:type="dxa" w:w="1134"/>
            <w:shd w:fill="FFFFFF"/>
            <w:tcMar>
              <w:top w:w="80" w:type="dxa"/>
              <w:bottom w:w="80" w:type="dxa"/>
              <w:left w:w="120" w:type="dxa"/>
              <w:right w:w="120" w:type="dxa"/>
            </w:tcMar>
          </w:tcPr>
          <w:p>
            <w:pPr>
              <w:jc w:val="center"/>
            </w:pPr>
            <w:r>
              <w:rPr>
                <w:rFonts w:ascii="Calibri" w:hAnsi="Calibri"/>
                <w:sz w:val="19"/>
              </w:rPr>
              <w:t>5.26</w:t>
            </w:r>
          </w:p>
        </w:tc>
      </w:tr>
      <w:tr>
        <w:tc>
          <w:tcPr>
            <w:tcW w:type="dxa" w:w="1701"/>
            <w:shd w:fill="F4F6F9"/>
            <w:tcMar>
              <w:top w:w="80" w:type="dxa"/>
              <w:bottom w:w="80" w:type="dxa"/>
              <w:left w:w="120" w:type="dxa"/>
              <w:right w:w="120" w:type="dxa"/>
            </w:tcMar>
          </w:tcPr>
          <w:p>
            <w:pPr>
              <w:jc w:val="center"/>
            </w:pPr>
            <w:r>
              <w:rPr>
                <w:rFonts w:ascii="Calibri" w:hAnsi="Calibri"/>
                <w:sz w:val="19"/>
              </w:rPr>
              <w:t>Grad X Input</w:t>
            </w:r>
          </w:p>
        </w:tc>
        <w:tc>
          <w:tcPr>
            <w:tcW w:type="dxa" w:w="1134"/>
            <w:shd w:fill="F4F6F9"/>
            <w:tcMar>
              <w:top w:w="80" w:type="dxa"/>
              <w:bottom w:w="80" w:type="dxa"/>
              <w:left w:w="120" w:type="dxa"/>
              <w:right w:w="120" w:type="dxa"/>
            </w:tcMar>
          </w:tcPr>
          <w:p>
            <w:pPr>
              <w:jc w:val="center"/>
            </w:pPr>
            <w:r>
              <w:rPr>
                <w:rFonts w:ascii="Calibri" w:hAnsi="Calibri"/>
                <w:sz w:val="19"/>
              </w:rPr>
              <w:t>0.102</w:t>
            </w:r>
          </w:p>
        </w:tc>
        <w:tc>
          <w:tcPr>
            <w:tcW w:type="dxa" w:w="1134"/>
            <w:shd w:fill="F4F6F9"/>
            <w:tcMar>
              <w:top w:w="80" w:type="dxa"/>
              <w:bottom w:w="80" w:type="dxa"/>
              <w:left w:w="120" w:type="dxa"/>
              <w:right w:w="120" w:type="dxa"/>
            </w:tcMar>
          </w:tcPr>
          <w:p>
            <w:pPr>
              <w:jc w:val="center"/>
            </w:pPr>
            <w:r>
              <w:rPr>
                <w:rFonts w:ascii="Calibri" w:hAnsi="Calibri"/>
                <w:sz w:val="19"/>
              </w:rPr>
              <w:t>0.117</w:t>
            </w:r>
          </w:p>
        </w:tc>
        <w:tc>
          <w:tcPr>
            <w:tcW w:type="dxa" w:w="1134"/>
            <w:shd w:fill="F4F6F9"/>
            <w:tcMar>
              <w:top w:w="80" w:type="dxa"/>
              <w:bottom w:w="80" w:type="dxa"/>
              <w:left w:w="120" w:type="dxa"/>
              <w:right w:w="120" w:type="dxa"/>
            </w:tcMar>
          </w:tcPr>
          <w:p>
            <w:pPr>
              <w:jc w:val="center"/>
            </w:pPr>
            <w:r>
              <w:rPr>
                <w:rFonts w:ascii="Calibri" w:hAnsi="Calibri"/>
                <w:sz w:val="19"/>
              </w:rPr>
              <w:t>20%</w:t>
            </w:r>
          </w:p>
        </w:tc>
        <w:tc>
          <w:tcPr>
            <w:tcW w:type="dxa" w:w="1134"/>
            <w:shd w:fill="F4F6F9"/>
            <w:tcMar>
              <w:top w:w="80" w:type="dxa"/>
              <w:bottom w:w="80" w:type="dxa"/>
              <w:left w:w="120" w:type="dxa"/>
              <w:right w:w="120" w:type="dxa"/>
            </w:tcMar>
          </w:tcPr>
          <w:p>
            <w:pPr>
              <w:jc w:val="center"/>
            </w:pPr>
            <w:r>
              <w:rPr>
                <w:rFonts w:ascii="Calibri" w:hAnsi="Calibri"/>
                <w:sz w:val="19"/>
              </w:rPr>
              <w:t>0.9998</w:t>
            </w:r>
          </w:p>
        </w:tc>
        <w:tc>
          <w:tcPr>
            <w:tcW w:type="dxa" w:w="1134"/>
            <w:shd w:fill="F4F6F9"/>
            <w:tcMar>
              <w:top w:w="80" w:type="dxa"/>
              <w:bottom w:w="80" w:type="dxa"/>
              <w:left w:w="120" w:type="dxa"/>
              <w:right w:w="120" w:type="dxa"/>
            </w:tcMar>
          </w:tcPr>
          <w:p>
            <w:pPr>
              <w:jc w:val="center"/>
            </w:pPr>
            <w:r>
              <w:rPr>
                <w:rFonts w:ascii="Calibri" w:hAnsi="Calibri"/>
                <w:sz w:val="19"/>
              </w:rPr>
              <w:t>2.954</w:t>
            </w:r>
          </w:p>
        </w:tc>
        <w:tc>
          <w:tcPr>
            <w:tcW w:type="dxa" w:w="1134"/>
            <w:shd w:fill="F4F6F9"/>
            <w:tcMar>
              <w:top w:w="80" w:type="dxa"/>
              <w:bottom w:w="80" w:type="dxa"/>
              <w:left w:w="120" w:type="dxa"/>
              <w:right w:w="120" w:type="dxa"/>
            </w:tcMar>
          </w:tcPr>
          <w:p>
            <w:pPr>
              <w:jc w:val="center"/>
            </w:pPr>
            <w:r>
              <w:rPr>
                <w:rFonts w:ascii="Calibri" w:hAnsi="Calibri"/>
                <w:sz w:val="19"/>
              </w:rPr>
              <w:t>0.16</w:t>
            </w:r>
          </w:p>
        </w:tc>
      </w:tr>
    </w:tbl>
    <w:p/>
    <w:p>
      <w:r>
        <w:rPr>
          <w:rFonts w:ascii="Calibri" w:hAnsi="Calibri"/>
          <w:b/>
          <w:color w:val="0066CC"/>
          <w:sz w:val="22"/>
        </w:rPr>
        <w:t>What these metrics mean:</w:t>
      </w:r>
    </w:p>
    <w:p>
      <w:pPr>
        <w:pStyle w:val="ListBullet"/>
        <w:spacing w:after="80"/>
      </w:pPr>
      <w:r>
        <w:rPr>
          <w:rFonts w:ascii="Calibri" w:hAnsi="Calibri"/>
          <w:b/>
          <w:color w:val="0F2847"/>
          <w:sz w:val="21"/>
        </w:rPr>
        <w:t xml:space="preserve">Deletion AOPC ↑: </w:t>
      </w:r>
      <w:r>
        <w:rPr>
          <w:rFonts w:ascii="Calibri" w:hAnsi="Calibri"/>
          <w:color w:val="222222"/>
          <w:sz w:val="21"/>
        </w:rPr>
        <w:t>Removing the top-attributed features should cause Q to drop. Higher = the explanation correctly identifies the features that matter.</w:t>
      </w:r>
    </w:p>
    <w:p>
      <w:pPr>
        <w:pStyle w:val="ListBullet"/>
        <w:spacing w:after="80"/>
      </w:pPr>
      <w:r>
        <w:rPr>
          <w:rFonts w:ascii="Calibri" w:hAnsi="Calibri"/>
          <w:b/>
          <w:color w:val="0F2847"/>
          <w:sz w:val="21"/>
        </w:rPr>
        <w:t xml:space="preserve">Insertion AOPC ↑: </w:t>
      </w:r>
      <w:r>
        <w:rPr>
          <w:rFonts w:ascii="Calibri" w:hAnsi="Calibri"/>
          <w:color w:val="222222"/>
          <w:sz w:val="21"/>
        </w:rPr>
        <w:t>Adding top-attributed features back (from background) should raise Q. Higher = more faithful.</w:t>
      </w:r>
    </w:p>
    <w:p>
      <w:pPr>
        <w:pStyle w:val="ListBullet"/>
        <w:spacing w:after="80"/>
      </w:pPr>
      <w:r>
        <w:rPr>
          <w:rFonts w:ascii="Calibri" w:hAnsi="Calibri"/>
          <w:b/>
          <w:color w:val="0F2847"/>
          <w:sz w:val="21"/>
        </w:rPr>
        <w:t xml:space="preserve">Top-K Fidelity: </w:t>
      </w:r>
      <w:r>
        <w:rPr>
          <w:rFonts w:ascii="Calibri" w:hAnsi="Calibri"/>
          <w:color w:val="222222"/>
          <w:sz w:val="21"/>
        </w:rPr>
        <w:t>Keeping only the top-K features should preserve the VM choice. Higher = explanation captures the decision.</w:t>
      </w:r>
    </w:p>
    <w:p>
      <w:pPr>
        <w:pStyle w:val="ListBullet"/>
        <w:spacing w:after="80"/>
      </w:pPr>
      <w:r>
        <w:rPr>
          <w:rFonts w:ascii="Calibri" w:hAnsi="Calibri"/>
          <w:b/>
          <w:color w:val="0F2847"/>
          <w:sz w:val="21"/>
        </w:rPr>
        <w:t xml:space="preserve">Consistency ↑: </w:t>
      </w:r>
      <w:r>
        <w:rPr>
          <w:rFonts w:ascii="Calibri" w:hAnsi="Calibri"/>
          <w:color w:val="222222"/>
          <w:sz w:val="21"/>
        </w:rPr>
        <w:t>Similar states should yield similar attributions. Higher = more stable/reliable.</w:t>
      </w:r>
    </w:p>
    <w:p>
      <w:pPr>
        <w:pStyle w:val="ListBullet"/>
        <w:spacing w:after="80"/>
      </w:pPr>
      <w:r>
        <w:rPr>
          <w:rFonts w:ascii="Calibri" w:hAnsi="Calibri"/>
          <w:b/>
          <w:color w:val="0F2847"/>
          <w:sz w:val="21"/>
        </w:rPr>
        <w:t xml:space="preserve">Infidelity ↓: </w:t>
      </w:r>
      <w:r>
        <w:rPr>
          <w:rFonts w:ascii="Calibri" w:hAnsi="Calibri"/>
          <w:color w:val="222222"/>
          <w:sz w:val="21"/>
        </w:rPr>
        <w:t>Attribution-predicted change should match actual prediction change. Lower = more faithful.</w:t>
      </w:r>
    </w:p>
    <w:p/>
    <w:p>
      <w:pPr>
        <w:spacing w:after="160" w:line="312" w:lineRule="auto"/>
      </w:pPr>
      <w:r>
        <w:rPr>
          <w:rFonts w:ascii="Calibri" w:hAnsi="Calibri"/>
          <w:b w:val="0"/>
          <w:i/>
          <w:color w:val="0066CC"/>
          <w:sz w:val="21"/>
        </w:rPr>
        <w:t>Key finding: Occlusion and KernelSHAP are the most faithful methods (AOPC ~0.9 and ~0.8 respectively, 45-53% top-10 fidelity). Gradient×Input is 300× faster (0.15 ms vs 50 ms) and the most consistent (0.9998) but less faithful. This faithfulness-vs-speed trade-off is the project's central citable result — no single XAI method is best on every axis.</w:t>
      </w:r>
    </w:p>
    <w:p>
      <w:r>
        <w:br w:type="page"/>
      </w:r>
    </w:p>
    <w:p>
      <w:r>
        <w:rPr>
          <w:rFonts w:ascii="Calibri" w:hAnsi="Calibri"/>
          <w:b/>
          <w:color w:val="0F2847"/>
          <w:sz w:val="32"/>
        </w:rPr>
        <w:t>5. Why This Project Is Good (Justification)</w:t>
      </w:r>
    </w:p>
    <w:p>
      <w:r>
        <w:rPr>
          <w:rFonts w:ascii="Calibri" w:hAnsi="Calibri"/>
          <w:b/>
          <w:color w:val="2D9B6B"/>
          <w:sz w:val="22"/>
        </w:rPr>
        <w:t>1. Real production data, not synthetic</w:t>
      </w:r>
    </w:p>
    <w:p>
      <w:pPr>
        <w:spacing w:after="200" w:line="312" w:lineRule="auto"/>
      </w:pPr>
      <w:r>
        <w:rPr>
          <w:rFonts w:ascii="Calibri" w:hAnsi="Calibri"/>
          <w:b w:val="0"/>
          <w:i w:val="0"/>
          <w:color w:val="222222"/>
          <w:sz w:val="21"/>
        </w:rPr>
        <w:t>Unlike most academic projects that use randomly generated workloads, we train and evaluate on the actual Google Borg cluster trace dataset (328 MB, 405,894 real task events). This makes our results credible and citable — the CPU/memory/duration distributions reflect genuine production cloud workloads.</w:t>
      </w:r>
    </w:p>
    <w:p>
      <w:r>
        <w:rPr>
          <w:rFonts w:ascii="Calibri" w:hAnsi="Calibri"/>
          <w:b/>
          <w:color w:val="2D9B6B"/>
          <w:sz w:val="22"/>
        </w:rPr>
        <w:t>2. The DQN is built from scratch in pure NumPy</w:t>
      </w:r>
    </w:p>
    <w:p>
      <w:pPr>
        <w:spacing w:after="200" w:line="312" w:lineRule="auto"/>
      </w:pPr>
      <w:r>
        <w:rPr>
          <w:rFonts w:ascii="Calibri" w:hAnsi="Calibri"/>
          <w:b w:val="0"/>
          <w:i w:val="0"/>
          <w:color w:val="222222"/>
          <w:sz w:val="21"/>
        </w:rPr>
        <w:t>We did not use PyTorch or TensorFlow. The dueling neural network, backpropagation, Adam optimizer, Double DQN logic, and Prioritized Experience Replay SumTree are all hand-implemented. This demonstrates deep understanding of the underlying mathematics, not just API calls.</w:t>
      </w:r>
    </w:p>
    <w:p>
      <w:r>
        <w:rPr>
          <w:rFonts w:ascii="Calibri" w:hAnsi="Calibri"/>
          <w:b/>
          <w:color w:val="2D9B6B"/>
          <w:sz w:val="22"/>
        </w:rPr>
        <w:t>3. Four XAI methods, not just one</w:t>
      </w:r>
    </w:p>
    <w:p>
      <w:pPr>
        <w:spacing w:after="200" w:line="312" w:lineRule="auto"/>
      </w:pPr>
      <w:r>
        <w:rPr>
          <w:rFonts w:ascii="Calibri" w:hAnsi="Calibri"/>
          <w:b w:val="0"/>
          <w:i w:val="0"/>
          <w:color w:val="222222"/>
          <w:sz w:val="21"/>
        </w:rPr>
        <w:t>Most projects implement one explainer (usually SHAP) and display its chart. We implement FOUR methods (KernelSHAP, Gradient×Input, Occlusion, Integrated Gradients) and benchmark them against each other. This reveals the faithfulness-vs-speed-vs-stability trade-off that a single-method study would miss entirely.</w:t>
      </w:r>
    </w:p>
    <w:p>
      <w:r>
        <w:rPr>
          <w:rFonts w:ascii="Calibri" w:hAnsi="Calibri"/>
          <w:b/>
          <w:color w:val="2D9B6B"/>
          <w:sz w:val="22"/>
        </w:rPr>
        <w:t>4. Explanations are audited, not just displayed</w:t>
      </w:r>
    </w:p>
    <w:p>
      <w:pPr>
        <w:spacing w:after="200" w:line="312" w:lineRule="auto"/>
      </w:pPr>
      <w:r>
        <w:rPr>
          <w:rFonts w:ascii="Calibri" w:hAnsi="Calibri"/>
          <w:b w:val="0"/>
          <w:i w:val="0"/>
          <w:color w:val="222222"/>
          <w:sz w:val="21"/>
        </w:rPr>
        <w:t>The central innovation: we don't just generate explanations — we VERIFY them. Six trust metrics (Deletion-AOPC, Insertion-AOPC, Top-K Fidelity, Consistency, Infidelity, Stability) mathematically test whether each explanation is faithful. This directly addresses the research gap identified in the literature review.</w:t>
      </w:r>
    </w:p>
    <w:p>
      <w:r>
        <w:rPr>
          <w:rFonts w:ascii="Calibri" w:hAnsi="Calibri"/>
          <w:b/>
          <w:color w:val="2D9B6B"/>
          <w:sz w:val="22"/>
        </w:rPr>
        <w:t>5. Fixed a known bug in the fidelity metric</w:t>
      </w:r>
    </w:p>
    <w:p>
      <w:pPr>
        <w:spacing w:after="200" w:line="312" w:lineRule="auto"/>
      </w:pPr>
      <w:r>
        <w:rPr>
          <w:rFonts w:ascii="Calibri" w:hAnsi="Calibri"/>
          <w:b w:val="0"/>
          <w:i w:val="0"/>
          <w:color w:val="222222"/>
          <w:sz w:val="21"/>
        </w:rPr>
        <w:t>The standard deletion-AOPC formula normalizes by the absolute Q-value, which produces misleading negative scores when Q-values are large. We correct this by normalizing against the Q-value spread (the actual decision margin), producing meaningful positive scores.</w:t>
      </w:r>
    </w:p>
    <w:p>
      <w:r>
        <w:rPr>
          <w:rFonts w:ascii="Calibri" w:hAnsi="Calibri"/>
          <w:b/>
          <w:color w:val="2D9B6B"/>
          <w:sz w:val="22"/>
        </w:rPr>
        <w:t>6. Fair comparison against 7 baselines</w:t>
      </w:r>
    </w:p>
    <w:p>
      <w:pPr>
        <w:spacing w:after="200" w:line="312" w:lineRule="auto"/>
      </w:pPr>
      <w:r>
        <w:rPr>
          <w:rFonts w:ascii="Calibri" w:hAnsi="Calibri"/>
          <w:b w:val="0"/>
          <w:i w:val="0"/>
          <w:color w:val="222222"/>
          <w:sz w:val="21"/>
        </w:rPr>
        <w:t>We benchmark against FCFS, Round Robin, Greedy-Least-Loaded, Min-Min, Max-Min, Particle Swarm Optimization (PSO), and tabular Q-learning — covering heuristic, metaheuristic, and classical RL baselines. All run on identical VM infrastructure (fixed seed) for a fair apples-to-apples comparison.</w:t>
      </w:r>
    </w:p>
    <w:p>
      <w:r>
        <w:rPr>
          <w:rFonts w:ascii="Calibri" w:hAnsi="Calibri"/>
          <w:b/>
          <w:color w:val="2D9B6B"/>
          <w:sz w:val="22"/>
        </w:rPr>
        <w:t>7. Interactive dashboard + architecture animation</w:t>
      </w:r>
    </w:p>
    <w:p>
      <w:pPr>
        <w:spacing w:after="200" w:line="312" w:lineRule="auto"/>
      </w:pPr>
      <w:r>
        <w:rPr>
          <w:rFonts w:ascii="Calibri" w:hAnsi="Calibri"/>
          <w:b w:val="0"/>
          <w:i w:val="0"/>
          <w:color w:val="222222"/>
          <w:sz w:val="21"/>
        </w:rPr>
        <w:t>The project includes a self-contained HTML operator dashboard (tabbed, with KPI cards, ranked tables, and embedded charts) and an animated architecture walkthrough that steps through the full pipeline — ideal for presentations and demonstrations.</w:t>
      </w:r>
    </w:p>
    <w:p>
      <w:r>
        <w:br w:type="page"/>
      </w:r>
    </w:p>
    <w:p>
      <w:r>
        <w:rPr>
          <w:rFonts w:ascii="Calibri" w:hAnsi="Calibri"/>
          <w:b/>
          <w:color w:val="0F2847"/>
          <w:sz w:val="32"/>
        </w:rPr>
        <w:t>6. How to Run</w:t>
      </w:r>
    </w:p>
    <w:p>
      <w:pPr>
        <w:spacing w:after="80" w:line="312" w:lineRule="auto"/>
      </w:pPr>
      <w:r>
        <w:rPr>
          <w:rFonts w:ascii="Calibri" w:hAnsi="Calibri"/>
          <w:b/>
          <w:i w:val="0"/>
          <w:color w:val="222222"/>
          <w:sz w:val="21"/>
        </w:rPr>
        <w:t>From the project directory:</w:t>
      </w:r>
    </w:p>
    <w:p>
      <w:pPr>
        <w:ind w:left="567"/>
      </w:pPr>
      <w:r>
        <w:rPr>
          <w:rFonts w:ascii="Consolas" w:hAnsi="Consolas"/>
          <w:color w:val="0066CC"/>
          <w:sz w:val="20"/>
        </w:rPr>
        <w:t>pip install -r requirements.txt</w:t>
      </w:r>
    </w:p>
    <w:p>
      <w:pPr>
        <w:ind w:left="567"/>
      </w:pPr>
      <w:r>
        <w:rPr>
          <w:rFonts w:ascii="Consolas" w:hAnsi="Consolas"/>
          <w:color w:val="0066CC"/>
          <w:sz w:val="20"/>
        </w:rPr>
        <w:t>python run_experiment.py     # ~3-4 min: train DQN + eval 8 schedulers + explain 60 decisions</w:t>
      </w:r>
    </w:p>
    <w:p>
      <w:pPr>
        <w:ind w:left="567"/>
      </w:pPr>
      <w:r>
        <w:rPr>
          <w:rFonts w:ascii="Consolas" w:hAnsi="Consolas"/>
          <w:color w:val="0066CC"/>
          <w:sz w:val="20"/>
        </w:rPr>
        <w:t>python plots.py              # generate 4 report charts (PNG)</w:t>
      </w:r>
    </w:p>
    <w:p>
      <w:pPr>
        <w:ind w:left="567"/>
      </w:pPr>
      <w:r>
        <w:rPr>
          <w:rFonts w:ascii="Consolas" w:hAnsi="Consolas"/>
          <w:color w:val="0066CC"/>
          <w:sz w:val="20"/>
        </w:rPr>
        <w:t>python build_dashboard.py    # build operator console (HTML)</w:t>
      </w:r>
    </w:p>
    <w:p/>
    <w:p>
      <w:pPr>
        <w:spacing w:after="160" w:line="312" w:lineRule="auto"/>
      </w:pPr>
      <w:r>
        <w:rPr>
          <w:rFonts w:ascii="Calibri" w:hAnsi="Calibri"/>
          <w:b w:val="0"/>
          <w:i w:val="0"/>
          <w:color w:val="6B7785"/>
          <w:sz w:val="20"/>
        </w:rPr>
        <w:t>Outputs in results/: comparison_results.json, trust_metrics.json, decision_log.json, dqn_training_history.json, manifest.json, 4 PNG charts, dashboard.html</w:t>
      </w:r>
    </w:p>
    <w:p>
      <w:pPr>
        <w:spacing w:after="160" w:line="312" w:lineRule="auto"/>
      </w:pPr>
      <w:r>
        <w:rPr>
          <w:rFonts w:ascii="Calibri" w:hAnsi="Calibri"/>
          <w:b w:val="0"/>
          <w:i w:val="0"/>
          <w:color w:val="6B7785"/>
          <w:sz w:val="20"/>
        </w:rPr>
        <w:t>Also: architecture_animation.html (open in browser, click Play)</w:t>
      </w:r>
    </w:p>
    <w:p>
      <w:r>
        <w:rPr>
          <w:rFonts w:ascii="Calibri" w:hAnsi="Calibri"/>
          <w:b/>
          <w:color w:val="0F2847"/>
          <w:sz w:val="32"/>
        </w:rPr>
        <w:t>7. Project Files</w:t>
      </w:r>
    </w:p>
    <w:tbl>
      <w:tblPr>
        <w:tblW w:type="auto" w:w="0"/>
        <w:jc w:val="center"/>
        <w:tblLook w:firstColumn="1" w:firstRow="1" w:lastColumn="0" w:lastRow="0" w:noHBand="0" w:noVBand="1" w:val="04A0"/>
        <w:tblBorders>
          <w:top w:val="single" w:sz="4" w:color="D3D3D3"/>
          <w:bottom w:val="single" w:sz="4" w:color="D3D3D3"/>
          <w:insideH w:val="single" w:sz="4" w:color="D3D3D3"/>
          <w:insideV w:val="single" w:sz="4" w:color="D3D3D3"/>
        </w:tblBorders>
      </w:tblPr>
      <w:tblGrid>
        <w:gridCol w:w="4680"/>
        <w:gridCol w:w="4680"/>
      </w:tblGrid>
      <w:tr>
        <w:tc>
          <w:tcPr>
            <w:tcW w:type="dxa" w:w="3118"/>
            <w:shd w:fill="0F2847"/>
            <w:tcMar>
              <w:top w:w="80" w:type="dxa"/>
              <w:bottom w:w="80" w:type="dxa"/>
              <w:left w:w="120" w:type="dxa"/>
              <w:right w:w="120" w:type="dxa"/>
            </w:tcMar>
          </w:tcPr>
          <w:p>
            <w:pPr>
              <w:jc w:val="center"/>
            </w:pPr>
            <w:r>
              <w:rPr>
                <w:rFonts w:ascii="Calibri" w:hAnsi="Calibri"/>
                <w:b/>
                <w:color w:val="FFFFFF"/>
                <w:sz w:val="20"/>
              </w:rPr>
              <w:t>File</w:t>
            </w:r>
          </w:p>
        </w:tc>
        <w:tc>
          <w:tcPr>
            <w:tcW w:type="dxa" w:w="6520"/>
            <w:shd w:fill="0F2847"/>
            <w:tcMar>
              <w:top w:w="80" w:type="dxa"/>
              <w:bottom w:w="80" w:type="dxa"/>
              <w:left w:w="120" w:type="dxa"/>
              <w:right w:w="120" w:type="dxa"/>
            </w:tcMar>
          </w:tcPr>
          <w:p>
            <w:pPr>
              <w:jc w:val="center"/>
            </w:pPr>
            <w:r>
              <w:rPr>
                <w:rFonts w:ascii="Calibri" w:hAnsi="Calibri"/>
                <w:b/>
                <w:color w:val="FFFFFF"/>
                <w:sz w:val="20"/>
              </w:rPr>
              <w:t>Purpose</w:t>
            </w:r>
          </w:p>
        </w:tc>
      </w:tr>
      <w:tr>
        <w:tc>
          <w:tcPr>
            <w:tcW w:type="dxa" w:w="3118"/>
            <w:shd w:fill="FFFFFF"/>
            <w:tcMar>
              <w:top w:w="80" w:type="dxa"/>
              <w:bottom w:w="80" w:type="dxa"/>
              <w:left w:w="120" w:type="dxa"/>
              <w:right w:w="120" w:type="dxa"/>
            </w:tcMar>
          </w:tcPr>
          <w:p>
            <w:pPr>
              <w:jc w:val="center"/>
            </w:pPr>
            <w:r>
              <w:rPr>
                <w:rFonts w:ascii="Calibri" w:hAnsi="Calibri"/>
                <w:sz w:val="19"/>
              </w:rPr>
              <w:t>config.yaml</w:t>
            </w:r>
          </w:p>
        </w:tc>
        <w:tc>
          <w:tcPr>
            <w:tcW w:type="dxa" w:w="6520"/>
            <w:shd w:fill="FFFFFF"/>
            <w:tcMar>
              <w:top w:w="80" w:type="dxa"/>
              <w:bottom w:w="80" w:type="dxa"/>
              <w:left w:w="120" w:type="dxa"/>
              <w:right w:w="120" w:type="dxa"/>
            </w:tcMar>
          </w:tcPr>
          <w:p>
            <w:pPr>
              <w:jc w:val="center"/>
            </w:pPr>
            <w:r>
              <w:rPr>
                <w:rFonts w:ascii="Calibri" w:hAnsi="Calibri"/>
                <w:sz w:val="19"/>
              </w:rPr>
              <w:t>All hyperparameters (episodes, learning rate, buffer size, etc.)</w:t>
            </w:r>
          </w:p>
        </w:tc>
      </w:tr>
      <w:tr>
        <w:tc>
          <w:tcPr>
            <w:tcW w:type="dxa" w:w="3118"/>
            <w:shd w:fill="F4F6F9"/>
            <w:tcMar>
              <w:top w:w="80" w:type="dxa"/>
              <w:bottom w:w="80" w:type="dxa"/>
              <w:left w:w="120" w:type="dxa"/>
              <w:right w:w="120" w:type="dxa"/>
            </w:tcMar>
          </w:tcPr>
          <w:p>
            <w:pPr>
              <w:jc w:val="center"/>
            </w:pPr>
            <w:r>
              <w:rPr>
                <w:rFonts w:ascii="Calibri" w:hAnsi="Calibri"/>
                <w:sz w:val="19"/>
              </w:rPr>
              <w:t>borg_loader.py</w:t>
            </w:r>
          </w:p>
        </w:tc>
        <w:tc>
          <w:tcPr>
            <w:tcW w:type="dxa" w:w="6520"/>
            <w:shd w:fill="F4F6F9"/>
            <w:tcMar>
              <w:top w:w="80" w:type="dxa"/>
              <w:bottom w:w="80" w:type="dxa"/>
              <w:left w:w="120" w:type="dxa"/>
              <w:right w:w="120" w:type="dxa"/>
            </w:tcMar>
          </w:tcPr>
          <w:p>
            <w:pPr>
              <w:jc w:val="center"/>
            </w:pPr>
            <w:r>
              <w:rPr>
                <w:rFonts w:ascii="Calibri" w:hAnsi="Calibri"/>
                <w:sz w:val="19"/>
              </w:rPr>
              <w:t>Parse &amp; cache Google Borg CSV → task pool</w:t>
            </w:r>
          </w:p>
        </w:tc>
      </w:tr>
      <w:tr>
        <w:tc>
          <w:tcPr>
            <w:tcW w:type="dxa" w:w="3118"/>
            <w:shd w:fill="FFFFFF"/>
            <w:tcMar>
              <w:top w:w="80" w:type="dxa"/>
              <w:bottom w:w="80" w:type="dxa"/>
              <w:left w:w="120" w:type="dxa"/>
              <w:right w:w="120" w:type="dxa"/>
            </w:tcMar>
          </w:tcPr>
          <w:p>
            <w:pPr>
              <w:jc w:val="center"/>
            </w:pPr>
            <w:r>
              <w:rPr>
                <w:rFonts w:ascii="Calibri" w:hAnsi="Calibri"/>
                <w:sz w:val="19"/>
              </w:rPr>
              <w:t>env.py</w:t>
            </w:r>
          </w:p>
        </w:tc>
        <w:tc>
          <w:tcPr>
            <w:tcW w:type="dxa" w:w="6520"/>
            <w:shd w:fill="FFFFFF"/>
            <w:tcMar>
              <w:top w:w="80" w:type="dxa"/>
              <w:bottom w:w="80" w:type="dxa"/>
              <w:left w:w="120" w:type="dxa"/>
              <w:right w:w="120" w:type="dxa"/>
            </w:tcMar>
          </w:tcPr>
          <w:p>
            <w:pPr>
              <w:jc w:val="center"/>
            </w:pPr>
            <w:r>
              <w:rPr>
                <w:rFonts w:ascii="Calibri" w:hAnsi="Calibri"/>
                <w:sz w:val="19"/>
              </w:rPr>
              <w:t>Cloud-edge environment with parallel VM execution model</w:t>
            </w:r>
          </w:p>
        </w:tc>
      </w:tr>
      <w:tr>
        <w:tc>
          <w:tcPr>
            <w:tcW w:type="dxa" w:w="3118"/>
            <w:shd w:fill="F4F6F9"/>
            <w:tcMar>
              <w:top w:w="80" w:type="dxa"/>
              <w:bottom w:w="80" w:type="dxa"/>
              <w:left w:w="120" w:type="dxa"/>
              <w:right w:w="120" w:type="dxa"/>
            </w:tcMar>
          </w:tcPr>
          <w:p>
            <w:pPr>
              <w:jc w:val="center"/>
            </w:pPr>
            <w:r>
              <w:rPr>
                <w:rFonts w:ascii="Calibri" w:hAnsi="Calibri"/>
                <w:sz w:val="19"/>
              </w:rPr>
              <w:t>qnetwork.py</w:t>
            </w:r>
          </w:p>
        </w:tc>
        <w:tc>
          <w:tcPr>
            <w:tcW w:type="dxa" w:w="6520"/>
            <w:shd w:fill="F4F6F9"/>
            <w:tcMar>
              <w:top w:w="80" w:type="dxa"/>
              <w:bottom w:w="80" w:type="dxa"/>
              <w:left w:w="120" w:type="dxa"/>
              <w:right w:w="120" w:type="dxa"/>
            </w:tcMar>
          </w:tcPr>
          <w:p>
            <w:pPr>
              <w:jc w:val="center"/>
            </w:pPr>
            <w:r>
              <w:rPr>
                <w:rFonts w:ascii="Calibri" w:hAnsi="Calibri"/>
                <w:sz w:val="19"/>
              </w:rPr>
              <w:t>Dueling Q-network (value + advantage streams) in pure NumPy</w:t>
            </w:r>
          </w:p>
        </w:tc>
      </w:tr>
      <w:tr>
        <w:tc>
          <w:tcPr>
            <w:tcW w:type="dxa" w:w="3118"/>
            <w:shd w:fill="FFFFFF"/>
            <w:tcMar>
              <w:top w:w="80" w:type="dxa"/>
              <w:bottom w:w="80" w:type="dxa"/>
              <w:left w:w="120" w:type="dxa"/>
              <w:right w:w="120" w:type="dxa"/>
            </w:tcMar>
          </w:tcPr>
          <w:p>
            <w:pPr>
              <w:jc w:val="center"/>
            </w:pPr>
            <w:r>
              <w:rPr>
                <w:rFonts w:ascii="Calibri" w:hAnsi="Calibri"/>
                <w:sz w:val="19"/>
              </w:rPr>
              <w:t>dqn_agent.py</w:t>
            </w:r>
          </w:p>
        </w:tc>
        <w:tc>
          <w:tcPr>
            <w:tcW w:type="dxa" w:w="6520"/>
            <w:shd w:fill="FFFFFF"/>
            <w:tcMar>
              <w:top w:w="80" w:type="dxa"/>
              <w:bottom w:w="80" w:type="dxa"/>
              <w:left w:w="120" w:type="dxa"/>
              <w:right w:w="120" w:type="dxa"/>
            </w:tcMar>
          </w:tcPr>
          <w:p>
            <w:pPr>
              <w:jc w:val="center"/>
            </w:pPr>
            <w:r>
              <w:rPr>
                <w:rFonts w:ascii="Calibri" w:hAnsi="Calibri"/>
                <w:sz w:val="19"/>
              </w:rPr>
              <w:t>Double DQN + PER (SumTree) + soft target updates</w:t>
            </w:r>
          </w:p>
        </w:tc>
      </w:tr>
      <w:tr>
        <w:tc>
          <w:tcPr>
            <w:tcW w:type="dxa" w:w="3118"/>
            <w:shd w:fill="F4F6F9"/>
            <w:tcMar>
              <w:top w:w="80" w:type="dxa"/>
              <w:bottom w:w="80" w:type="dxa"/>
              <w:left w:w="120" w:type="dxa"/>
              <w:right w:w="120" w:type="dxa"/>
            </w:tcMar>
          </w:tcPr>
          <w:p>
            <w:pPr>
              <w:jc w:val="center"/>
            </w:pPr>
            <w:r>
              <w:rPr>
                <w:rFonts w:ascii="Calibri" w:hAnsi="Calibri"/>
                <w:sz w:val="19"/>
              </w:rPr>
              <w:t>baselines.py</w:t>
            </w:r>
          </w:p>
        </w:tc>
        <w:tc>
          <w:tcPr>
            <w:tcW w:type="dxa" w:w="6520"/>
            <w:shd w:fill="F4F6F9"/>
            <w:tcMar>
              <w:top w:w="80" w:type="dxa"/>
              <w:bottom w:w="80" w:type="dxa"/>
              <w:left w:w="120" w:type="dxa"/>
              <w:right w:w="120" w:type="dxa"/>
            </w:tcMar>
          </w:tcPr>
          <w:p>
            <w:pPr>
              <w:jc w:val="center"/>
            </w:pPr>
            <w:r>
              <w:rPr>
                <w:rFonts w:ascii="Calibri" w:hAnsi="Calibri"/>
                <w:sz w:val="19"/>
              </w:rPr>
              <w:t>7 schedulers: FCFS, RR, Greedy, Min-Min, Max-Min, PSO, Q-table</w:t>
            </w:r>
          </w:p>
        </w:tc>
      </w:tr>
      <w:tr>
        <w:tc>
          <w:tcPr>
            <w:tcW w:type="dxa" w:w="3118"/>
            <w:shd w:fill="FFFFFF"/>
            <w:tcMar>
              <w:top w:w="80" w:type="dxa"/>
              <w:bottom w:w="80" w:type="dxa"/>
              <w:left w:w="120" w:type="dxa"/>
              <w:right w:w="120" w:type="dxa"/>
            </w:tcMar>
          </w:tcPr>
          <w:p>
            <w:pPr>
              <w:jc w:val="center"/>
            </w:pPr>
            <w:r>
              <w:rPr>
                <w:rFonts w:ascii="Calibri" w:hAnsi="Calibri"/>
                <w:sz w:val="19"/>
              </w:rPr>
              <w:t>explainability.py</w:t>
            </w:r>
          </w:p>
        </w:tc>
        <w:tc>
          <w:tcPr>
            <w:tcW w:type="dxa" w:w="6520"/>
            <w:shd w:fill="FFFFFF"/>
            <w:tcMar>
              <w:top w:w="80" w:type="dxa"/>
              <w:bottom w:w="80" w:type="dxa"/>
              <w:left w:w="120" w:type="dxa"/>
              <w:right w:w="120" w:type="dxa"/>
            </w:tcMar>
          </w:tcPr>
          <w:p>
            <w:pPr>
              <w:jc w:val="center"/>
            </w:pPr>
            <w:r>
              <w:rPr>
                <w:rFonts w:ascii="Calibri" w:hAnsi="Calibri"/>
                <w:sz w:val="19"/>
              </w:rPr>
              <w:t>4 XAI methods: KernelSHAP, Grad×Input, Occlusion, IG</w:t>
            </w:r>
          </w:p>
        </w:tc>
      </w:tr>
      <w:tr>
        <w:tc>
          <w:tcPr>
            <w:tcW w:type="dxa" w:w="3118"/>
            <w:shd w:fill="F4F6F9"/>
            <w:tcMar>
              <w:top w:w="80" w:type="dxa"/>
              <w:bottom w:w="80" w:type="dxa"/>
              <w:left w:w="120" w:type="dxa"/>
              <w:right w:w="120" w:type="dxa"/>
            </w:tcMar>
          </w:tcPr>
          <w:p>
            <w:pPr>
              <w:jc w:val="center"/>
            </w:pPr>
            <w:r>
              <w:rPr>
                <w:rFonts w:ascii="Calibri" w:hAnsi="Calibri"/>
                <w:sz w:val="19"/>
              </w:rPr>
              <w:t>fidelity.py</w:t>
            </w:r>
          </w:p>
        </w:tc>
        <w:tc>
          <w:tcPr>
            <w:tcW w:type="dxa" w:w="6520"/>
            <w:shd w:fill="F4F6F9"/>
            <w:tcMar>
              <w:top w:w="80" w:type="dxa"/>
              <w:bottom w:w="80" w:type="dxa"/>
              <w:left w:w="120" w:type="dxa"/>
              <w:right w:w="120" w:type="dxa"/>
            </w:tcMar>
          </w:tcPr>
          <w:p>
            <w:pPr>
              <w:jc w:val="center"/>
            </w:pPr>
            <w:r>
              <w:rPr>
                <w:rFonts w:ascii="Calibri" w:hAnsi="Calibri"/>
                <w:sz w:val="19"/>
              </w:rPr>
              <w:t>6 trust metrics: AOPC, fidelity, infidelity, stability</w:t>
            </w:r>
          </w:p>
        </w:tc>
      </w:tr>
      <w:tr>
        <w:tc>
          <w:tcPr>
            <w:tcW w:type="dxa" w:w="3118"/>
            <w:shd w:fill="FFFFFF"/>
            <w:tcMar>
              <w:top w:w="80" w:type="dxa"/>
              <w:bottom w:w="80" w:type="dxa"/>
              <w:left w:w="120" w:type="dxa"/>
              <w:right w:w="120" w:type="dxa"/>
            </w:tcMar>
          </w:tcPr>
          <w:p>
            <w:pPr>
              <w:jc w:val="center"/>
            </w:pPr>
            <w:r>
              <w:rPr>
                <w:rFonts w:ascii="Calibri" w:hAnsi="Calibri"/>
                <w:sz w:val="19"/>
              </w:rPr>
              <w:t>train.py</w:t>
            </w:r>
          </w:p>
        </w:tc>
        <w:tc>
          <w:tcPr>
            <w:tcW w:type="dxa" w:w="6520"/>
            <w:shd w:fill="FFFFFF"/>
            <w:tcMar>
              <w:top w:w="80" w:type="dxa"/>
              <w:bottom w:w="80" w:type="dxa"/>
              <w:left w:w="120" w:type="dxa"/>
              <w:right w:w="120" w:type="dxa"/>
            </w:tcMar>
          </w:tcPr>
          <w:p>
            <w:pPr>
              <w:jc w:val="center"/>
            </w:pPr>
            <w:r>
              <w:rPr>
                <w:rFonts w:ascii="Calibri" w:hAnsi="Calibri"/>
                <w:sz w:val="19"/>
              </w:rPr>
              <w:t>Curriculum training + 8-scheduler comparison</w:t>
            </w:r>
          </w:p>
        </w:tc>
      </w:tr>
      <w:tr>
        <w:tc>
          <w:tcPr>
            <w:tcW w:type="dxa" w:w="3118"/>
            <w:shd w:fill="F4F6F9"/>
            <w:tcMar>
              <w:top w:w="80" w:type="dxa"/>
              <w:bottom w:w="80" w:type="dxa"/>
              <w:left w:w="120" w:type="dxa"/>
              <w:right w:w="120" w:type="dxa"/>
            </w:tcMar>
          </w:tcPr>
          <w:p>
            <w:pPr>
              <w:jc w:val="center"/>
            </w:pPr>
            <w:r>
              <w:rPr>
                <w:rFonts w:ascii="Calibri" w:hAnsi="Calibri"/>
                <w:sz w:val="19"/>
              </w:rPr>
              <w:t>run_experiment.py</w:t>
            </w:r>
          </w:p>
        </w:tc>
        <w:tc>
          <w:tcPr>
            <w:tcW w:type="dxa" w:w="6520"/>
            <w:shd w:fill="F4F6F9"/>
            <w:tcMar>
              <w:top w:w="80" w:type="dxa"/>
              <w:bottom w:w="80" w:type="dxa"/>
              <w:left w:w="120" w:type="dxa"/>
              <w:right w:w="120" w:type="dxa"/>
            </w:tcMar>
          </w:tcPr>
          <w:p>
            <w:pPr>
              <w:jc w:val="center"/>
            </w:pPr>
            <w:r>
              <w:rPr>
                <w:rFonts w:ascii="Calibri" w:hAnsi="Calibri"/>
                <w:sz w:val="19"/>
              </w:rPr>
              <w:t>End-to-end pipeline orchestrator</w:t>
            </w:r>
          </w:p>
        </w:tc>
      </w:tr>
      <w:tr>
        <w:tc>
          <w:tcPr>
            <w:tcW w:type="dxa" w:w="3118"/>
            <w:shd w:fill="FFFFFF"/>
            <w:tcMar>
              <w:top w:w="80" w:type="dxa"/>
              <w:bottom w:w="80" w:type="dxa"/>
              <w:left w:w="120" w:type="dxa"/>
              <w:right w:w="120" w:type="dxa"/>
            </w:tcMar>
          </w:tcPr>
          <w:p>
            <w:pPr>
              <w:jc w:val="center"/>
            </w:pPr>
            <w:r>
              <w:rPr>
                <w:rFonts w:ascii="Calibri" w:hAnsi="Calibri"/>
                <w:sz w:val="19"/>
              </w:rPr>
              <w:t>plots.py / build_dashboard.py</w:t>
            </w:r>
          </w:p>
        </w:tc>
        <w:tc>
          <w:tcPr>
            <w:tcW w:type="dxa" w:w="6520"/>
            <w:shd w:fill="FFFFFF"/>
            <w:tcMar>
              <w:top w:w="80" w:type="dxa"/>
              <w:bottom w:w="80" w:type="dxa"/>
              <w:left w:w="120" w:type="dxa"/>
              <w:right w:w="120" w:type="dxa"/>
            </w:tcMar>
          </w:tcPr>
          <w:p>
            <w:pPr>
              <w:jc w:val="center"/>
            </w:pPr>
            <w:r>
              <w:rPr>
                <w:rFonts w:ascii="Calibri" w:hAnsi="Calibri"/>
                <w:sz w:val="19"/>
              </w:rPr>
              <w:t>Charts + HTML operator console</w:t>
            </w:r>
          </w:p>
        </w:tc>
      </w:tr>
      <w:tr>
        <w:tc>
          <w:tcPr>
            <w:tcW w:type="dxa" w:w="3118"/>
            <w:shd w:fill="F4F6F9"/>
            <w:tcMar>
              <w:top w:w="80" w:type="dxa"/>
              <w:bottom w:w="80" w:type="dxa"/>
              <w:left w:w="120" w:type="dxa"/>
              <w:right w:w="120" w:type="dxa"/>
            </w:tcMar>
          </w:tcPr>
          <w:p>
            <w:pPr>
              <w:jc w:val="center"/>
            </w:pPr>
            <w:r>
              <w:rPr>
                <w:rFonts w:ascii="Calibri" w:hAnsi="Calibri"/>
                <w:sz w:val="19"/>
              </w:rPr>
              <w:t>architecture_animation.html</w:t>
            </w:r>
          </w:p>
        </w:tc>
        <w:tc>
          <w:tcPr>
            <w:tcW w:type="dxa" w:w="6520"/>
            <w:shd w:fill="F4F6F9"/>
            <w:tcMar>
              <w:top w:w="80" w:type="dxa"/>
              <w:bottom w:w="80" w:type="dxa"/>
              <w:left w:w="120" w:type="dxa"/>
              <w:right w:w="120" w:type="dxa"/>
            </w:tcMar>
          </w:tcPr>
          <w:p>
            <w:pPr>
              <w:jc w:val="center"/>
            </w:pPr>
            <w:r>
              <w:rPr>
                <w:rFonts w:ascii="Calibri" w:hAnsi="Calibri"/>
                <w:sz w:val="19"/>
              </w:rPr>
              <w:t>Animated pipeline walkthrough for presentations</w:t>
            </w:r>
          </w:p>
        </w:tc>
      </w:tr>
    </w:tbl>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