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73"/>
        <w:gridCol w:w="2948"/>
      </w:tblGrid>
      <w:tr>
        <w:tc>
          <w:tcPr>
            <w:tcW w:type="dxa" w:w="697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6"/>
                <w:spacing w:val="140"/>
              </w:rPr>
              <w:t>FORWARD PRODUCTION SCHEDULER</w:t>
            </w:r>
          </w:p>
          <w:p>
            <w:pPr>
              <w:spacing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42"/>
              </w:rPr>
              <w:t>JK Tyre BTP — Passenger-Car Radial Pilot</w:t>
            </w:r>
          </w:p>
          <w:p>
            <w:pPr>
              <w:spacing w:after="0"/>
            </w:pPr>
            <w:r>
              <w:rPr>
                <w:rFonts w:ascii="Arial" w:hAnsi="Arial"/>
                <w:rFonts w:ascii="Arial" w:hAnsi="Arial" w:eastAsia="Arial" w:cs="Arial"/>
                <w:b w:val="0"/>
                <w:i/>
                <w:color w:val="555555"/>
                <w:sz w:val="20"/>
              </w:rPr>
              <w:t>A deterministic, BOM-driven single-pass scheduler that converts a fixed May curing plan into a fully time-stamped, machine-assigned upstream schedule across the eight in-scope PCR components.</w:t>
            </w:r>
          </w:p>
        </w:tc>
        <w:tc>
          <w:tcPr>
            <w:tcW w:type="dxa" w:w="2948"/>
            <w:tcMar>
              <w:top w:w="0" w:type="dxa"/>
              <w:left w:w="0" w:type="dxa"/>
              <w:bottom w:w="0" w:type="dxa"/>
              <w:right w:w="60" w:type="dxa"/>
            </w:tcMar>
            <w:vAlign w:val="top"/>
            <w:tcBorders>
              <w:top w:val="nil"/>
              <w:left w:val="single" w:sz="4" w:color="CCCCCC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Author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7"/>
              </w:rPr>
              <w:t>Anmol Saini</w:t>
            </w:r>
          </w:p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Role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7"/>
              </w:rPr>
              <w:t>Data Science Intern</w:t>
            </w:r>
          </w:p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Date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7"/>
              </w:rPr>
              <w:t>24 May 2026</w:t>
            </w:r>
          </w:p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Team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7"/>
              </w:rPr>
              <w:t>Data Science Team</w:t>
            </w:r>
          </w:p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>Readiness</w:t>
            </w:r>
          </w:p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○ Concept 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17"/>
              </w:rPr>
              <w:t>● Prototype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   ○ Production</w:t>
            </w:r>
          </w:p>
          <w:p>
            <w:pPr>
              <w:spacing w:before="0" w:after="6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888888"/>
                <w:sz w:val="17"/>
              </w:rPr>
              <w:t xml:space="preserve">Scope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7"/>
              </w:rPr>
              <w:t>V1 — Demand Fulfilment</w:t>
            </w:r>
          </w:p>
        </w:tc>
      </w:tr>
    </w:tbl>
    <w:p>
      <w:pPr>
        <w:spacing w:before="200" w:after="80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7"/>
          <w:spacing w:val="160"/>
        </w:rPr>
        <w:t>01 — PROBLEM &amp; SOLUTION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9921"/>
            <w:shd w:val="clear" w:color="auto" w:fill="E6F1FB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22"/>
              </w:rPr>
              <w:t>Problem Statement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Aging windows on every BOM edge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— calendered ply unsafe to build with after 24–48 h; master compounds behave differently outside their window.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7-level deep BOM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>, eight mandatory components AND-joined at Tyre Building — spreadsheets cannot enforce this consistently.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Curing press 14811 is the fixed bottleneck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— once published, the plan is immovable; unfed blocks cascade across the 14-day horizon.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No deterministic audit trail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today — re-runs drift, infeasibilities are silently fixed, planners can’t reproduce yesterday’s decisions.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9921"/>
            <w:shd w:val="clear" w:color="auto" w:fill="E8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22"/>
              </w:rPr>
              <w:t>Solution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Forward, single-pass, BOM-driven scheduler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— walks BOM downward from each curing block, sizes lots with MPQ + aging-aware aggregation, dispatches in topological order with a CPM backward pass for per-lot floor/ceiling.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Hard constraints enforced, never silently fixed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— aging-MIN/MAX inclusive (L22), MPQ split, machine eligibility, atomic AND-join across 8 components, FEFO with soft reservation (L16/L19).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Flag-and-continue (L11)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— curing is never shifted; infeasibilities and aging breaches are logged with the binding constraint named, the engine moves on.</w:t>
            </w:r>
          </w:p>
          <w:p>
            <w:pPr>
              <w:spacing w:before="0" w:after="60"/>
              <w:ind w:left="198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9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Reproducible by construction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9"/>
              </w:rPr>
              <w:t xml:space="preserve"> — single integer-minute domain (L20), single ceil rounding, every sort explicit; byte-identical re-runs verified by integration tests.</w:t>
            </w:r>
          </w:p>
        </w:tc>
      </w:tr>
    </w:tbl>
    <w:p>
      <w:pPr>
        <w:spacing w:before="200" w:after="80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7"/>
          <w:spacing w:val="160"/>
        </w:rPr>
        <w:t>02 — VALUE CHAIN COVERAGE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7"/>
              </w:rPr>
              <w:t>Mixing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7"/>
              </w:rPr>
              <w:t>Final Mixing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7"/>
              </w:rPr>
              <w:t>Calendering (FRC)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7"/>
              </w:rPr>
              <w:t>Belt + Ply Cutter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7"/>
              </w:rPr>
              <w:t>Extrusion</w:t>
            </w:r>
          </w:p>
        </w:tc>
        <w:tc>
          <w:tcPr>
            <w:tcW w:type="dxa" w:w="1240"/>
            <w:shd w:val="clear" w:color="auto" w:fill="FAEEDA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7"/>
              </w:rPr>
              <w:t>Bead + Fillering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17"/>
              </w:rPr>
              <w:t>Tyre Building (6001)</w:t>
            </w:r>
          </w:p>
        </w:tc>
        <w:tc>
          <w:tcPr>
            <w:tcW w:type="dxa" w:w="1240"/>
            <w:shd w:val="clear" w:color="auto" w:fill="FDEAEA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7"/>
              </w:rPr>
              <w:t>Curing (14811 fixed)</w:t>
            </w:r>
          </w:p>
        </w:tc>
      </w:tr>
      <w:tr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Full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Full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Full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Full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Full</w:t>
            </w:r>
          </w:p>
        </w:tc>
        <w:tc>
          <w:tcPr>
            <w:tcW w:type="dxa" w:w="1240"/>
            <w:shd w:val="clear" w:color="auto" w:fill="FAEEDA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Partial</w:t>
            </w:r>
          </w:p>
        </w:tc>
        <w:tc>
          <w:tcPr>
            <w:tcW w:type="dxa" w:w="1240"/>
            <w:shd w:val="clear" w:color="auto" w:fill="E8F7F2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Full</w:t>
            </w:r>
          </w:p>
        </w:tc>
        <w:tc>
          <w:tcPr>
            <w:tcW w:type="dxa" w:w="1240"/>
            <w:shd w:val="clear" w:color="auto" w:fill="FDEAEA"/>
            <w:tcBorders>
              <w:top w:val="nil"/>
              <w:left w:val="single" w:sz="12" w:color="FFFFFF"/>
              <w:bottom w:val="nil"/>
              <w:right w:val="single" w:sz="12" w:color="FFFFFF"/>
            </w:tcBorders>
            <w:tcMar>
              <w:top w:w="60" w:type="dxa"/>
              <w:left w:w="80" w:type="dxa"/>
              <w:bottom w:w="12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6"/>
              </w:rPr>
              <w:t>Out</w:t>
            </w:r>
          </w:p>
        </w:tc>
      </w:tr>
    </w:tbl>
    <w:p>
      <w:pPr>
        <w:spacing w:before="80" w:after="0"/>
      </w:pPr>
      <w:r>
        <w:rPr>
          <w:rFonts w:ascii="Arial" w:hAnsi="Arial"/>
          <w:rFonts w:ascii="Arial" w:hAnsi="Arial" w:eastAsia="Arial" w:cs="Arial"/>
          <w:b w:val="0"/>
          <w:i w:val="0"/>
          <w:color w:val="1D9E75"/>
          <w:sz w:val="18"/>
        </w:rPr>
        <w:t xml:space="preserve">■  </w:t>
      </w:r>
      <w:r>
        <w:rPr>
          <w:rFonts w:ascii="Arial" w:hAnsi="Arial"/>
          <w:rFonts w:ascii="Arial" w:hAnsi="Arial" w:eastAsia="Arial" w:cs="Arial"/>
          <w:b w:val="0"/>
          <w:i w:val="0"/>
          <w:color w:val="555555"/>
          <w:sz w:val="17"/>
        </w:rPr>
        <w:t xml:space="preserve">Full coverage    </w:t>
      </w:r>
      <w:r>
        <w:rPr>
          <w:rFonts w:ascii="Arial" w:hAnsi="Arial"/>
          <w:rFonts w:ascii="Arial" w:hAnsi="Arial" w:eastAsia="Arial" w:cs="Arial"/>
          <w:b w:val="0"/>
          <w:i w:val="0"/>
          <w:color w:val="854F0B"/>
          <w:sz w:val="18"/>
        </w:rPr>
        <w:t xml:space="preserve">■  </w:t>
      </w:r>
      <w:r>
        <w:rPr>
          <w:rFonts w:ascii="Arial" w:hAnsi="Arial"/>
          <w:rFonts w:ascii="Arial" w:hAnsi="Arial" w:eastAsia="Arial" w:cs="Arial"/>
          <w:b w:val="0"/>
          <w:i w:val="0"/>
          <w:color w:val="555555"/>
          <w:sz w:val="17"/>
        </w:rPr>
        <w:t xml:space="preserve">Partial coverage    </w:t>
      </w:r>
      <w:r>
        <w:rPr>
          <w:rFonts w:ascii="Arial" w:hAnsi="Arial"/>
          <w:rFonts w:ascii="Arial" w:hAnsi="Arial" w:eastAsia="Arial" w:cs="Arial"/>
          <w:b w:val="0"/>
          <w:i w:val="0"/>
          <w:color w:val="B14444"/>
          <w:sz w:val="18"/>
        </w:rPr>
        <w:t xml:space="preserve">■  </w:t>
      </w:r>
      <w:r>
        <w:rPr>
          <w:rFonts w:ascii="Arial" w:hAnsi="Arial"/>
          <w:rFonts w:ascii="Arial" w:hAnsi="Arial" w:eastAsia="Arial" w:cs="Arial"/>
          <w:b w:val="0"/>
          <w:i w:val="0"/>
          <w:color w:val="555555"/>
          <w:sz w:val="17"/>
        </w:rPr>
        <w:t>Out of scope / fixed</w:t>
      </w:r>
    </w:p>
    <w:p>
      <w:pPr>
        <w:spacing w:before="200" w:after="80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7"/>
          <w:spacing w:val="160"/>
        </w:rPr>
        <w:t>03 — QUANTIFIABLE BENEFITS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3307"/>
            <w:shd w:val="clear" w:color="auto" w:fill="E6F1FB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220" w:type="dxa"/>
              <w:left w:w="200" w:type="dxa"/>
              <w:bottom w:w="22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85FA5"/>
                <w:sz w:val="44"/>
              </w:rPr>
              <w:t>92.3%</w:t>
            </w:r>
          </w:p>
          <w:p>
            <w:pPr>
              <w:spacing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OTIF — Building → Curing</w:t>
            </w:r>
          </w:p>
          <w:p>
            <w:pPr>
              <w:spacing w:after="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7"/>
              </w:rPr>
              <w:t>36 / 38 productive blocks on time on the reference pilot run (V1 forward pass).</w:t>
            </w:r>
          </w:p>
        </w:tc>
        <w:tc>
          <w:tcPr>
            <w:tcW w:type="dxa" w:w="3307"/>
            <w:shd w:val="clear" w:color="auto" w:fill="E8F7F2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220" w:type="dxa"/>
              <w:left w:w="200" w:type="dxa"/>
              <w:bottom w:w="22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1D9E75"/>
                <w:sz w:val="44"/>
              </w:rPr>
              <w:t>100%</w:t>
            </w:r>
          </w:p>
          <w:p>
            <w:pPr>
              <w:spacing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Audit &amp; reproducibility</w:t>
            </w:r>
          </w:p>
          <w:p>
            <w:pPr>
              <w:spacing w:after="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7"/>
              </w:rPr>
              <w:t>Byte-identical re-run on dag.json + DataFrame-equal on the 11-sheet workbook; 215+ tests.</w:t>
            </w:r>
          </w:p>
        </w:tc>
        <w:tc>
          <w:tcPr>
            <w:tcW w:type="dxa" w:w="3307"/>
            <w:shd w:val="clear" w:color="auto" w:fill="EEEDFE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220" w:type="dxa"/>
              <w:left w:w="200" w:type="dxa"/>
              <w:bottom w:w="22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534AB7"/>
                <w:sz w:val="44"/>
              </w:rPr>
              <w:t>0 silent</w:t>
            </w:r>
          </w:p>
          <w:p>
            <w:pPr>
              <w:spacing w:after="4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9"/>
              </w:rPr>
              <w:t>Defaults — every irregularity logged</w:t>
            </w:r>
          </w:p>
          <w:p>
            <w:pPr>
              <w:spacing w:after="0"/>
            </w:pP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555555"/>
                <w:sz w:val="17"/>
              </w:rPr>
              <w:t>1 HALT + ~12 WARN findings surfaced from real input data; no value silently imputed.</w:t>
            </w:r>
          </w:p>
        </w:tc>
      </w:tr>
    </w:tbl>
    <w:p>
      <w:pPr>
        <w:spacing w:before="160" w:after="40"/>
      </w:pPr>
      <w:r>
        <w:rPr>
          <w:rFonts w:ascii="Arial" w:hAnsi="Arial"/>
          <w:rFonts w:ascii="Arial" w:hAnsi="Arial" w:eastAsia="Arial" w:cs="Arial"/>
          <w:b/>
          <w:i w:val="0"/>
          <w:color w:val="3A3A3A"/>
          <w:sz w:val="20"/>
        </w:rPr>
        <w:t>Additional advantages</w:t>
      </w:r>
    </w:p>
    <w:p>
      <w:pPr>
        <w:spacing w:before="0" w:after="40"/>
        <w:ind w:left="198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9"/>
        </w:rPr>
        <w:t xml:space="preserve">•  </w:t>
      </w:r>
      <w:r>
        <w:rPr>
          <w:rFonts w:ascii="Arial" w:hAnsi="Arial"/>
          <w:rFonts w:ascii="Arial" w:hAnsi="Arial" w:eastAsia="Arial" w:cs="Arial"/>
          <w:b/>
          <w:i w:val="0"/>
          <w:color w:val="3A3A3A"/>
          <w:sz w:val="19"/>
        </w:rPr>
        <w:t>Auto-t₀ anchor (L17)</w:t>
      </w:r>
      <w:r>
        <w:rPr>
          <w:rFonts w:ascii="Arial" w:hAnsi="Arial"/>
          <w:rFonts w:ascii="Arial" w:hAnsi="Arial" w:eastAsia="Arial" w:cs="Arial"/>
          <w:b w:val="0"/>
          <w:i w:val="0"/>
          <w:color w:val="3A3A3A"/>
          <w:sz w:val="19"/>
        </w:rPr>
        <w:t xml:space="preserve"> with guardrail HALT — refuses to commit lots if the longest BOM aging chain cannot reach the first curing block.</w:t>
      </w:r>
    </w:p>
    <w:p>
      <w:pPr>
        <w:spacing w:before="0" w:after="40"/>
        <w:ind w:left="198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9"/>
        </w:rPr>
        <w:t xml:space="preserve">•  </w:t>
      </w:r>
      <w:r>
        <w:rPr>
          <w:rFonts w:ascii="Arial" w:hAnsi="Arial"/>
          <w:rFonts w:ascii="Arial" w:hAnsi="Arial" w:eastAsia="Arial" w:cs="Arial"/>
          <w:b/>
          <w:i w:val="0"/>
          <w:color w:val="3A3A3A"/>
          <w:sz w:val="19"/>
        </w:rPr>
        <w:t>Eleven-sheet bundled workbook</w:t>
      </w:r>
      <w:r>
        <w:rPr>
          <w:rFonts w:ascii="Arial" w:hAnsi="Arial"/>
          <w:rFonts w:ascii="Arial" w:hAnsi="Arial" w:eastAsia="Arial" w:cs="Arial"/>
          <w:b w:val="0"/>
          <w:i w:val="0"/>
          <w:color w:val="3A3A3A"/>
          <w:sz w:val="19"/>
        </w:rPr>
        <w:t xml:space="preserve"> — schedule, machine view, building-to-curing, aging violations, infeasibilities, reservation log, KPIs, audit findings — diff-friendly for planner review.</w:t>
      </w:r>
    </w:p>
    <w:p>
      <w:pPr>
        <w:spacing w:before="0" w:after="40"/>
        <w:ind w:left="198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9"/>
        </w:rPr>
        <w:t xml:space="preserve">•  </w:t>
      </w:r>
      <w:r>
        <w:rPr>
          <w:rFonts w:ascii="Arial" w:hAnsi="Arial"/>
          <w:rFonts w:ascii="Arial" w:hAnsi="Arial" w:eastAsia="Arial" w:cs="Arial"/>
          <w:b/>
          <w:i w:val="0"/>
          <w:color w:val="3A3A3A"/>
          <w:sz w:val="19"/>
        </w:rPr>
        <w:t>Stable HALT exit codes (10, 11, 12, 20, 30)</w:t>
      </w:r>
      <w:r>
        <w:rPr>
          <w:rFonts w:ascii="Arial" w:hAnsi="Arial"/>
          <w:rFonts w:ascii="Arial" w:hAnsi="Arial" w:eastAsia="Arial" w:cs="Arial"/>
          <w:b w:val="0"/>
          <w:i w:val="0"/>
          <w:color w:val="3A3A3A"/>
          <w:sz w:val="19"/>
        </w:rPr>
        <w:t xml:space="preserve"> — CI / wrapper scripts branch on the binding finding without scraping logs.</w:t>
      </w:r>
    </w:p>
    <w:p>
      <w:pPr>
        <w:spacing w:before="0" w:after="40"/>
        <w:ind w:left="198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9"/>
        </w:rPr>
        <w:t xml:space="preserve">•  </w:t>
      </w:r>
      <w:r>
        <w:rPr>
          <w:rFonts w:ascii="Arial" w:hAnsi="Arial"/>
          <w:rFonts w:ascii="Arial" w:hAnsi="Arial" w:eastAsia="Arial" w:cs="Arial"/>
          <w:b/>
          <w:i w:val="0"/>
          <w:color w:val="3A3A3A"/>
          <w:sz w:val="19"/>
        </w:rPr>
        <w:t>Modular pipeline of 13 routes</w:t>
      </w:r>
      <w:r>
        <w:rPr>
          <w:rFonts w:ascii="Arial" w:hAnsi="Arial"/>
          <w:rFonts w:ascii="Arial" w:hAnsi="Arial" w:eastAsia="Arial" w:cs="Arial"/>
          <w:b w:val="0"/>
          <w:i w:val="0"/>
          <w:color w:val="3A3A3A"/>
          <w:sz w:val="19"/>
        </w:rPr>
        <w:t xml:space="preserve"> — each step runs in isolation given the upstream typed result; debugging is incremental, not all-or-nothing.</w:t>
      </w:r>
    </w:p>
    <w:p>
      <w:pPr>
        <w:spacing w:before="0" w:after="40"/>
        <w:ind w:left="198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9"/>
        </w:rPr>
        <w:t xml:space="preserve">•  </w:t>
      </w:r>
      <w:r>
        <w:rPr>
          <w:rFonts w:ascii="Arial" w:hAnsi="Arial"/>
          <w:rFonts w:ascii="Arial" w:hAnsi="Arial" w:eastAsia="Arial" w:cs="Arial"/>
          <w:b/>
          <w:i w:val="0"/>
          <w:color w:val="3A3A3A"/>
          <w:sz w:val="19"/>
        </w:rPr>
        <w:t>Capstrip subtree (L12) auto-excluded</w:t>
      </w:r>
      <w:r>
        <w:rPr>
          <w:rFonts w:ascii="Arial" w:hAnsi="Arial"/>
          <w:rFonts w:ascii="Arial" w:hAnsi="Arial" w:eastAsia="Arial" w:cs="Arial"/>
          <w:b w:val="0"/>
          <w:i w:val="0"/>
          <w:color w:val="3A3A3A"/>
          <w:sz w:val="19"/>
        </w:rPr>
        <w:t xml:space="preserve"> — out-of-scope BOM branch tagged in the visualisation; engine never tries to schedule against incomplete data.</w:t>
      </w:r>
    </w:p>
    <w:p>
      <w:pPr>
        <w:spacing w:before="200" w:after="80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7"/>
          <w:spacing w:val="160"/>
        </w:rPr>
        <w:t>04 — WHO BENEFITS &amp; TECH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4961"/>
            <w:shd w:val="clear" w:color="auto" w:fill="F5F5F2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21"/>
              </w:rPr>
              <w:t>Primary beneficiaries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Plant Planning Team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— owns the May curing plan and the upstream feasibility check.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Production Scheduling &amp; Floor Supervisors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— execute the schedule by machine view.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Industrial Engineering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— reads aging violations + infeasibilities to spot bottlenecks.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Data Science / Analytics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— extends to V2 (changeover, utilisation, event-heap dispatch).</w:t>
            </w:r>
          </w:p>
        </w:tc>
        <w:tc>
          <w:tcPr>
            <w:tcW w:type="dxa" w:w="4961"/>
            <w:shd w:val="clear" w:color="auto" w:fill="EEEDFE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534AB7"/>
                <w:sz w:val="21"/>
              </w:rPr>
              <w:t>Tech stack / tools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534AB7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Python ≥ 3.11   |   uv package manager   |   pytest + pytest-cov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534AB7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pandas   |   networkx   |   openpyxl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534AB7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matplotlib   |   plotly   |   graphviz   |   PyYAML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534AB7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Spec discipline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: CLAUDE.md (23 locked decisions, 26-step flow, 5 golden fixtures).</w:t>
            </w:r>
          </w:p>
        </w:tc>
      </w:tr>
    </w:tbl>
    <w:p>
      <w:pPr>
        <w:spacing w:before="200" w:after="80"/>
      </w:pPr>
      <w:r>
        <w:rPr>
          <w:rFonts w:ascii="Arial" w:hAnsi="Arial"/>
          <w:rFonts w:ascii="Arial" w:hAnsi="Arial" w:eastAsia="Arial" w:cs="Arial"/>
          <w:b/>
          <w:i w:val="0"/>
          <w:color w:val="185FA5"/>
          <w:sz w:val="17"/>
          <w:spacing w:val="160"/>
        </w:rPr>
        <w:t>05 — ASSUMPTIONS, CONSTRAINTS &amp; NEXT STEPS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4961"/>
            <w:shd w:val="clear" w:color="auto" w:fill="FAEEDA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21"/>
              </w:rPr>
              <w:t>Assumptions &amp; Constraints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Curing plan is immovable (L4.5) — engine never reschedules curing.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Aging Master is authoritative; Buffer Master ignored (L4).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Zero starting GT inventory; raws assumed bottomless pre-horizon (L2).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Capstrip chain on ice (L12) — corrected Aging / MPQ data pending.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V1 changeover = 0 min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(L8); 15-min different-product model deferred to V2.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Uniform 95 % efficiency factor across all operations (L10).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854F0B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Topological greedy dispatch in V1; strict event-heap (L21) deferred to V2.</w:t>
            </w:r>
          </w:p>
        </w:tc>
        <w:tc>
          <w:tcPr>
            <w:tcW w:type="dxa" w:w="4961"/>
            <w:shd w:val="clear" w:color="auto" w:fill="FDEAEA"/>
            <w:tcBorders>
              <w:top w:val="nil"/>
              <w:left w:val="single" w:sz="14" w:color="FFFFFF"/>
              <w:bottom w:val="nil"/>
              <w:right w:val="single" w:sz="14" w:color="FFFFFF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21"/>
              </w:rPr>
              <w:t>Next Steps / Ask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Planner sign-off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on the OTIF 92.3 % reference run and the 4 logged aging breaches.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Supply `proc_time` for `BD-12843443-4` Fillering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— current HALT (exit 10) is by design (§8.D).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Corrected Capstrip Aging Master + MPQ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so L12 can be lifted in V2.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V2 scope sign-off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>: changeover modelling, LSF event dispatch, utilisation objective, same-product clustering on FRC + mixers.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Peer review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by plant engineering lead before the floor pilot.</w:t>
            </w:r>
          </w:p>
          <w:p>
            <w:pPr>
              <w:spacing w:before="0" w:after="60"/>
              <w:ind w:left="170"/>
            </w:pP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B14444"/>
                <w:sz w:val="18"/>
              </w:rPr>
              <w:t xml:space="preserve">•  </w:t>
            </w:r>
            <w:r>
              <w:rPr>
                <w:rFonts w:ascii="Arial" w:hAnsi="Arial"/>
                <w:rFonts w:ascii="Arial" w:hAnsi="Arial" w:eastAsia="Arial" w:cs="Arial"/>
                <w:b/>
                <w:i w:val="0"/>
                <w:color w:val="3A3A3A"/>
                <w:sz w:val="18"/>
              </w:rPr>
              <w:t>Pilot the floor view</w:t>
            </w:r>
            <w:r>
              <w:rPr>
                <w:rFonts w:ascii="Arial" w:hAnsi="Arial"/>
                <w:rFonts w:ascii="Arial" w:hAnsi="Arial" w:eastAsia="Arial" w:cs="Arial"/>
                <w:b w:val="0"/>
                <w:i w:val="0"/>
                <w:color w:val="3A3A3A"/>
                <w:sz w:val="18"/>
              </w:rPr>
              <w:t xml:space="preserve"> — extend Gantt from 3 sample blocks to all 42 if planner needs it.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rFonts w:ascii="Arial" w:hAnsi="Arial" w:eastAsia="Arial" w:cs="Arial"/>
        <w:b w:val="0"/>
        <w:i w:val="0"/>
        <w:color w:val="888888"/>
        <w:sz w:val="16"/>
      </w:rPr>
      <w:t>CONFIDENTIAL — Internal Use Only</w:t>
    </w:r>
    <w:r>
      <w:rPr>
        <w:rFonts w:ascii="Arial" w:hAnsi="Arial"/>
        <w:rFonts w:ascii="Arial" w:hAnsi="Arial" w:eastAsia="Arial" w:cs="Arial"/>
        <w:b w:val="0"/>
        <w:i w:val="0"/>
        <w:color w:val="888888"/>
        <w:sz w:val="16"/>
      </w:rPr>
      <w:t xml:space="preserve">          Page </w:t>
    </w: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