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CMPG 325 — Computer Networks</w:t>
      </w:r>
    </w:p>
    <w:p>
      <w:pPr>
        <w:spacing w:after="40"/>
        <w:jc w:val="center"/>
      </w:pPr>
      <w:r>
        <w:rPr>
          <w:b/>
          <w:bCs/>
          <w:color w:val="2c3e50"/>
          <w:sz w:val="26"/>
          <w:szCs w:val="26"/>
        </w:rPr>
        <w:t xml:space="preserve">Milestone 2: Client Implementation Review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Project ID: CMPG325-2026-086   |   Client ID: CLI-086   |   Student: Morake, TM (39510484)</w:t>
      </w:r>
    </w:p>
    <w:p>
      <w:pPr>
        <w:pStyle w:val="Heading1"/>
        <w:spacing w:after="150" w:before="300"/>
      </w:pPr>
      <w:r>
        <w:t xml:space="preserve">1. Working Packet Tracer File</w:t>
      </w:r>
    </w:p>
    <w:p>
      <w:pPr>
        <w:spacing w:after="120"/>
      </w:pPr>
      <w:r>
        <w:t xml:space="preserve">The full network for Mpho HR Consulting has been implemented and tested in Cisco Packet Tracer. The topology comprises one Cisco 1941 router (R1) and one Cisco 2960-24TT switch (SW1), connected via an 802.1Q trunk, with 24 end devices distributed across four departmental VLANs. The .pkt file is included in the GitHub repository's /packet-tracer folder and opens directly to reproduce the working solution.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1: Final physical topology in Packet Tracer, showing all 24 devices (16 original + 8 added under CR1) connected to SW1, with SW1 trunked to R1.</w:t>
      </w:r>
    </w:p>
    <w:p>
      <w:pPr>
        <w:pStyle w:val="Heading1"/>
        <w:spacing w:after="150" w:before="300"/>
      </w:pPr>
      <w:r>
        <w:t xml:space="preserve">2. Assigned Feature Implemented: VLANs (Switch-Based Segmentation)</w:t>
      </w:r>
    </w:p>
    <w:p>
      <w:pPr>
        <w:spacing w:after="120"/>
      </w:pPr>
      <w:r>
        <w:t xml:space="preserve">The assigned technical challenge - VLAN-based switch segmentation - was implemented using a router-on-a-stick design. Four VLANs were created on SW1, one per department, with access ports assigned accordingly. SW1's uplink to R1 (Fa0/1) was configured as an 802.1Q trunk carrying all four VLANs plus an unused native VLAN (99) for trunk security. R1's single physical interface (Gi0/0) was divided into dot1Q subinterfaces, each acting as the default gateway for its VLAN.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2: 'show vlan brief' on SW1 — all four VLANs active with correct port assignments (VLAN 30 shows 12 ports following the CR1 expansion).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3: 'show ip interface brief' on R1 — all four VLAN subinterfaces up/up with correct gateway addresses.</w:t>
      </w:r>
    </w:p>
    <w:p>
      <w:pPr>
        <w:spacing w:after="120"/>
      </w:pPr>
      <w:r>
        <w:t xml:space="preserve">To satisfy the design constraint (Finance must be isolated from all general users), an extended access control list, ISOLATE_FINANCE, was written and applied inbound on all four subinterfaces. It denies bidirectional IP traffic between the Finance subnet (172.30.58.0/26) and every other department subnet, while a trailing permit ip any any preserves normal routing for all non-Finance traffic.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4: 'show access-lists' on R1 — the ISOLATE_FINANCE ACL with active match counters, confirming the rules are being evaluated against real traffic.</w:t>
      </w:r>
    </w:p>
    <w:p>
      <w:pPr>
        <w:pStyle w:val="Heading1"/>
        <w:spacing w:after="150" w:before="300"/>
      </w:pPr>
      <w:r>
        <w:t xml:space="preserve">3. Testing Evidence</w:t>
      </w:r>
    </w:p>
    <w:p>
      <w:pPr>
        <w:pStyle w:val="Heading2"/>
        <w:spacing w:after="100" w:before="200"/>
      </w:pPr>
      <w:r>
        <w:t xml:space="preserve">3.1 DHCP addressing</w:t>
      </w:r>
    </w:p>
    <w:p>
      <w:pPr>
        <w:spacing w:after="120"/>
      </w:pPr>
      <w:r>
        <w:t xml:space="preserve">Each VLAN is served by its own DHCP pool on R1. PCs in Finance and General Staff were confirmed to receive addresses from their correct respective pools.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5: Finance PC (PC0) — DHCP-assigned 172.30.58.11, gateway 172.30.58.1 (correct Finance range).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6: General Staff PC (PC8) — DHCP-assigned 172.30.58.136, gateway 172.30.58.129 (correct General Staff range).</w:t>
      </w:r>
    </w:p>
    <w:p>
      <w:pPr>
        <w:pStyle w:val="Heading2"/>
        <w:spacing w:after="100" w:before="200"/>
      </w:pPr>
      <w:r>
        <w:t xml:space="preserve">3.2 Gateway reachability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7: Finance PC successfully pings its own gateway (172.30.58.1) — 4/4 replies, 0% loss.</w:t>
      </w:r>
    </w:p>
    <w:p>
      <w:pPr>
        <w:pStyle w:val="Heading2"/>
        <w:spacing w:after="100" w:before="200"/>
      </w:pPr>
      <w:r>
        <w:t xml:space="preserve">3.3 Finance isolation (design constraint verification)</w:t>
      </w:r>
    </w:p>
    <w:p>
      <w:pPr>
        <w:spacing w:after="120"/>
      </w:pPr>
      <w:r>
        <w:t xml:space="preserve">A ping from a Finance PC to an HR PC (172.30.58.71) was tested. The result confirms complete isolation: 100% packet loss, with 'Destination host unreachable' returned by R1 itself - proving the router is actively enforcing the ACL rather than the failure being a routing fault.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8: Finance-to-HR ping blocked by the ISOLATE_FINANCE ACL — 100% loss, 'Destination host unreachable' from the gateway.</w:t>
      </w:r>
    </w:p>
    <w:p>
      <w:pPr>
        <w:pStyle w:val="Heading2"/>
        <w:spacing w:after="100" w:before="200"/>
      </w:pPr>
      <w:r>
        <w:t xml:space="preserve">3.4 Non-Finance connectivity (isolation correctly scoped)</w:t>
      </w:r>
    </w:p>
    <w:p>
      <w:pPr>
        <w:spacing w:after="120"/>
      </w:pPr>
      <w:r>
        <w:t xml:space="preserve">To confirm the ACL does not over-restrict the network, connectivity between two non-Finance departments (HR and General Staff) was tested and succeeded normally.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9: HR-to-General Staff ping succeeds (4/4 replies after initial ARP resolution) — confirms isolation is scoped to Finance only.</w:t>
      </w:r>
    </w:p>
    <w:p>
      <w:pPr>
        <w:pStyle w:val="Heading2"/>
        <w:spacing w:after="100" w:before="200"/>
      </w:pPr>
      <w:r>
        <w:t xml:space="preserve">3.5 Client Change Request (CR1) verification</w:t>
      </w:r>
    </w:p>
    <w:p>
      <w:pPr>
        <w:spacing w:after="120"/>
      </w:pPr>
      <w:r>
        <w:t xml:space="preserve">Per CR1, 8 additional staff were added to the General Staff department. This was achieved by cabling 8 new PCs to previously spare switch ports (Fa0/18-24 and Gig0/1), assigning those ports to the existing VLAN 30, and enabling DHCP - with zero changes to the router configuration, VLAN structure, or IP addressing plan.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10: A newly added General Staff PC (PC16) receives 172.30.58.140 from the existing GENERAL_STAFF_POOL — confirming CR1 was absorbed without any redesign.</w:t>
      </w:r>
    </w:p>
    <w:p>
      <w:pPr>
        <w:pStyle w:val="Heading2"/>
        <w:spacing w:after="100" w:before="200"/>
      </w:pPr>
      <w:r>
        <w:t xml:space="preserve">3.6 Testing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c>
          <w:tcPr>
            <w:tcW w:type="dxa" w:w="3200"/>
            <w:shd w:fill="D9E6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shd w:fill="D9E6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950"/>
            <w:shd w:fill="D9E6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PC DHCP addressing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in 172.30.58.0/26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172.30.58.11 - 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Staff PC DHCP addressing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in 172.30.58.128/26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172.30.58.136 - 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to own gateway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4/4, 0% loss - 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to HR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(isolation constraint)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loss, unreachable - 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to General Staff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(not restricted)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4/4, 0% loss - 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CR1: new General Staff PC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in same subnet, no redesign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172.30.58.140 - Pass</w:t>
            </w:r>
          </w:p>
        </w:tc>
      </w:tr>
    </w:tbl>
    <w:p>
      <w:pPr>
        <w:pStyle w:val="Heading1"/>
        <w:spacing w:after="150" w:before="300"/>
      </w:pPr>
      <w:r>
        <w:t xml:space="preserve">4. Updated GitHub Portfolio</w:t>
      </w:r>
    </w:p>
    <w:p>
      <w:pPr>
        <w:spacing w:after="120"/>
      </w:pPr>
      <w:r>
        <w:t xml:space="preserve">The GitHub repository established at Milestone 1 has been updated with the working Packet Tracer file and this Milestone 2 documentation, organised as follows: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/packet-tracer — mpho_hr_consulting.pkt (the working file)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/testing — all evidence screenshots referenced in Section 3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/requirements — Milestone 1 and Milestone 2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/design — topology diagrams and IP addressing plan (from Milestone 1)</w:t>
      </w:r>
    </w:p>
    <w:p>
      <w:pPr>
        <w:spacing w:after="120"/>
      </w:pPr>
      <w:r>
        <w:rPr>
          <w:i/>
          <w:iCs/>
        </w:rPr>
        <w:t xml:space="preserve">Repository link: https://github.com/Saint202/cmpg325-2026-086-mpho-hr-consulting</w:t>
      </w:r>
    </w:p>
    <w:p>
      <w:pPr>
        <w:spacing w:after="2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End of Milestone 2 submission —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9e9430e41346674ee74685d5d15b34cccae99.png"/><Relationship Id="rId8" Type="http://schemas.openxmlformats.org/officeDocument/2006/relationships/image" Target="media/87f1b941cc967ff383c9e63248b3f590dfbdea8c.png"/><Relationship Id="rId9" Type="http://schemas.openxmlformats.org/officeDocument/2006/relationships/image" Target="media/526393268c18eb39463b4bc3867fe7619531eace.png"/><Relationship Id="rId10" Type="http://schemas.openxmlformats.org/officeDocument/2006/relationships/image" Target="media/dd2d6421c29fa6b4adbe75726c4945e610b0472a.png"/><Relationship Id="rId11" Type="http://schemas.openxmlformats.org/officeDocument/2006/relationships/image" Target="media/d2a8f86fdc89ce328b9a763404bc049bb3e3e276.png"/><Relationship Id="rId12" Type="http://schemas.openxmlformats.org/officeDocument/2006/relationships/image" Target="media/00ff66926a7ccf62c0c121cd68f4a957fc9861f6.png"/><Relationship Id="rId13" Type="http://schemas.openxmlformats.org/officeDocument/2006/relationships/image" Target="media/1851a0da309a6fdac11370364bdfac54bf9bfb28.png"/><Relationship Id="rId14" Type="http://schemas.openxmlformats.org/officeDocument/2006/relationships/image" Target="media/a785d2acba5f92dd26e35354ec015231038d1758.png"/><Relationship Id="rId15" Type="http://schemas.openxmlformats.org/officeDocument/2006/relationships/image" Target="media/b24b03b217d2ab01954a69774dec3fd0d5202437.png"/><Relationship Id="rId16" Type="http://schemas.openxmlformats.org/officeDocument/2006/relationships/image" Target="media/5a2bdf80c9e2adfb6ab010bad2384cb39ef2267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2026-09-27T17:20:59.003Z</dcterms:created>
  <dcterms:modified xsi:type="dcterms:W3CDTF">2026-09-27T17:20:59.013Z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