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8146" w14:textId="77777777" w:rsidR="0091140D" w:rsidRPr="0091140D" w:rsidRDefault="0091140D" w:rsidP="009114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140D">
        <w:rPr>
          <w:rFonts w:ascii="Times New Roman" w:hAnsi="Times New Roman" w:cs="Times New Roman"/>
          <w:sz w:val="28"/>
          <w:szCs w:val="28"/>
          <w:lang w:val="ru-RU"/>
        </w:rPr>
        <w:t>Преимущества организационно-правовой формы</w:t>
      </w:r>
    </w:p>
    <w:p w14:paraId="59F86875" w14:textId="3E5F4A2D" w:rsidR="00643131" w:rsidRDefault="0091140D" w:rsidP="009114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140D">
        <w:rPr>
          <w:rFonts w:ascii="Times New Roman" w:hAnsi="Times New Roman" w:cs="Times New Roman"/>
          <w:sz w:val="28"/>
          <w:szCs w:val="28"/>
          <w:lang w:val="ru-RU"/>
        </w:rPr>
        <w:t>Для коммерческой организации "</w:t>
      </w:r>
      <w:proofErr w:type="spellStart"/>
      <w:r w:rsidRPr="0091140D">
        <w:rPr>
          <w:rFonts w:ascii="Times New Roman" w:hAnsi="Times New Roman" w:cs="Times New Roman"/>
          <w:sz w:val="28"/>
          <w:szCs w:val="28"/>
          <w:lang w:val="ru-RU"/>
        </w:rPr>
        <w:t>МоторТехТорг</w:t>
      </w:r>
      <w:proofErr w:type="spellEnd"/>
      <w:r w:rsidRPr="0091140D">
        <w:rPr>
          <w:rFonts w:ascii="Times New Roman" w:hAnsi="Times New Roman" w:cs="Times New Roman"/>
          <w:sz w:val="28"/>
          <w:szCs w:val="28"/>
          <w:lang w:val="ru-RU"/>
        </w:rPr>
        <w:t>" выбрана организационно-правовая форма Общество с ограниченной ответственностью (ООО). Основные преимущества данной формы для выбранного вида экономической деятельности: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5"/>
        <w:gridCol w:w="6642"/>
      </w:tblGrid>
      <w:tr w:rsidR="0091140D" w:rsidRPr="00B83905" w14:paraId="39AE7466" w14:textId="77777777" w:rsidTr="00E37DB1">
        <w:tc>
          <w:tcPr>
            <w:tcW w:w="2425" w:type="dxa"/>
          </w:tcPr>
          <w:p w14:paraId="61A59B93" w14:textId="77777777" w:rsidR="0091140D" w:rsidRDefault="0091140D" w:rsidP="00E37DB1">
            <w:pPr>
              <w:ind w:firstLine="0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Форма</w:t>
            </w:r>
            <w:proofErr w:type="spellEnd"/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 xml:space="preserve"> ю/л</w:t>
            </w:r>
          </w:p>
        </w:tc>
        <w:tc>
          <w:tcPr>
            <w:tcW w:w="6642" w:type="dxa"/>
          </w:tcPr>
          <w:p w14:paraId="294E3E08" w14:textId="77777777" w:rsidR="0091140D" w:rsidRPr="00B83905" w:rsidRDefault="0091140D" w:rsidP="00E37DB1">
            <w:pPr>
              <w:ind w:firstLine="0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 w:rsidRPr="00B83905"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91140D" w14:paraId="08ED6F37" w14:textId="77777777" w:rsidTr="00E37DB1">
        <w:tc>
          <w:tcPr>
            <w:tcW w:w="2425" w:type="dxa"/>
            <w:vMerge w:val="restart"/>
          </w:tcPr>
          <w:p w14:paraId="74B44F6F" w14:textId="77777777" w:rsidR="0091140D" w:rsidRPr="00B83905" w:rsidRDefault="0091140D" w:rsidP="00E37DB1">
            <w:pPr>
              <w:ind w:firstLine="0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ООО</w:t>
            </w:r>
          </w:p>
        </w:tc>
        <w:tc>
          <w:tcPr>
            <w:tcW w:w="6642" w:type="dxa"/>
          </w:tcPr>
          <w:p w14:paraId="4458421F" w14:textId="77777777" w:rsidR="0091140D" w:rsidRPr="00B83905" w:rsidRDefault="0091140D" w:rsidP="0091140D">
            <w:pPr>
              <w:pStyle w:val="a3"/>
              <w:numPr>
                <w:ilvl w:val="0"/>
                <w:numId w:val="1"/>
              </w:numP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Ограниченная ответственность участников</w:t>
            </w:r>
          </w:p>
        </w:tc>
      </w:tr>
      <w:tr w:rsidR="0091140D" w:rsidRPr="00B83905" w14:paraId="5E818E57" w14:textId="77777777" w:rsidTr="00E37DB1">
        <w:tc>
          <w:tcPr>
            <w:tcW w:w="2425" w:type="dxa"/>
            <w:vMerge/>
          </w:tcPr>
          <w:p w14:paraId="17D03D31" w14:textId="77777777" w:rsidR="0091140D" w:rsidRDefault="0091140D" w:rsidP="00E37DB1">
            <w:pPr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6642" w:type="dxa"/>
          </w:tcPr>
          <w:p w14:paraId="2AC83AB9" w14:textId="77777777" w:rsidR="0091140D" w:rsidRPr="00B83905" w:rsidRDefault="0091140D" w:rsidP="0091140D">
            <w:pPr>
              <w:pStyle w:val="a3"/>
              <w:numPr>
                <w:ilvl w:val="0"/>
                <w:numId w:val="1"/>
              </w:numP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 w:rsidRPr="00B83905"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 xml:space="preserve"> Простота вхождения и выхода участников</w:t>
            </w:r>
          </w:p>
        </w:tc>
      </w:tr>
      <w:tr w:rsidR="0091140D" w:rsidRPr="00B83905" w14:paraId="2937E766" w14:textId="77777777" w:rsidTr="00E37DB1">
        <w:tc>
          <w:tcPr>
            <w:tcW w:w="2425" w:type="dxa"/>
            <w:vMerge/>
          </w:tcPr>
          <w:p w14:paraId="2B3E9638" w14:textId="77777777" w:rsidR="0091140D" w:rsidRPr="00B83905" w:rsidRDefault="0091140D" w:rsidP="00E37DB1">
            <w:pP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</w:p>
        </w:tc>
        <w:tc>
          <w:tcPr>
            <w:tcW w:w="6642" w:type="dxa"/>
          </w:tcPr>
          <w:p w14:paraId="1B15AA6D" w14:textId="77777777" w:rsidR="0091140D" w:rsidRPr="00B83905" w:rsidRDefault="0091140D" w:rsidP="0091140D">
            <w:pPr>
              <w:pStyle w:val="a3"/>
              <w:numPr>
                <w:ilvl w:val="0"/>
                <w:numId w:val="1"/>
              </w:numP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Минимальные требования к уставному фонду</w:t>
            </w:r>
          </w:p>
        </w:tc>
      </w:tr>
      <w:tr w:rsidR="0091140D" w14:paraId="5E42779E" w14:textId="77777777" w:rsidTr="00E37DB1">
        <w:tc>
          <w:tcPr>
            <w:tcW w:w="2425" w:type="dxa"/>
            <w:vMerge/>
          </w:tcPr>
          <w:p w14:paraId="60B4F8B0" w14:textId="77777777" w:rsidR="0091140D" w:rsidRPr="00B83905" w:rsidRDefault="0091140D" w:rsidP="00E37DB1">
            <w:pP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</w:p>
        </w:tc>
        <w:tc>
          <w:tcPr>
            <w:tcW w:w="6642" w:type="dxa"/>
          </w:tcPr>
          <w:p w14:paraId="19B56077" w14:textId="77777777" w:rsidR="0091140D" w:rsidRPr="00B83905" w:rsidRDefault="0091140D" w:rsidP="0091140D">
            <w:pPr>
              <w:pStyle w:val="a3"/>
              <w:numPr>
                <w:ilvl w:val="0"/>
                <w:numId w:val="1"/>
              </w:numP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Простая бухгалтерия</w:t>
            </w:r>
          </w:p>
        </w:tc>
      </w:tr>
      <w:tr w:rsidR="0091140D" w:rsidRPr="00B83905" w14:paraId="68C8077C" w14:textId="77777777" w:rsidTr="00E37DB1">
        <w:tc>
          <w:tcPr>
            <w:tcW w:w="2425" w:type="dxa"/>
          </w:tcPr>
          <w:p w14:paraId="36F3BFB1" w14:textId="77777777" w:rsidR="0091140D" w:rsidRDefault="0091140D" w:rsidP="00E37DB1">
            <w:pPr>
              <w:ind w:firstLine="0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Адрес</w:t>
            </w:r>
            <w:proofErr w:type="spellEnd"/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регистрации</w:t>
            </w:r>
            <w:proofErr w:type="spellEnd"/>
          </w:p>
        </w:tc>
        <w:tc>
          <w:tcPr>
            <w:tcW w:w="6642" w:type="dxa"/>
          </w:tcPr>
          <w:p w14:paraId="400DB43B" w14:textId="77777777" w:rsidR="0091140D" w:rsidRPr="00B83905" w:rsidRDefault="0091140D" w:rsidP="00E37DB1">
            <w:pPr>
              <w:ind w:firstLine="0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 w:rsidRPr="00B83905"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г. Минск, ул. Промышленная, 12, офис 304</w:t>
            </w:r>
          </w:p>
        </w:tc>
      </w:tr>
    </w:tbl>
    <w:p w14:paraId="68AD7670" w14:textId="77777777" w:rsidR="0091140D" w:rsidRPr="0091140D" w:rsidRDefault="0091140D" w:rsidP="0091140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1140D" w:rsidRPr="009114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2CF8"/>
    <w:multiLevelType w:val="hybridMultilevel"/>
    <w:tmpl w:val="6322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C5"/>
    <w:rsid w:val="00643131"/>
    <w:rsid w:val="0091140D"/>
    <w:rsid w:val="00CB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F1D1"/>
  <w15:chartTrackingRefBased/>
  <w15:docId w15:val="{1361DD19-2FD5-4400-A2D1-74B76E34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91140D"/>
    <w:pPr>
      <w:spacing w:after="0" w:line="24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91140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91140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2024-10-02T13:03:00Z</dcterms:created>
  <dcterms:modified xsi:type="dcterms:W3CDTF">2024-10-02T13:04:00Z</dcterms:modified>
</cp:coreProperties>
</file>