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REGOLE GENERALI PER LA STESURA DELLA TESI DI LAUREA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L’IMPAGINAZIONE DEL TESTO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CARATTERE: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Dimensione: 12, stile: normale → per il testo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Dimensione: 11, stile: grassetto → per i titoli dei paragrafi e sotto-paragrafi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PARAGRAFO: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Allineamento: giustificato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Rientro prima riga: 1,25 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Interlinea: 1,5 righe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Superiore e inferiore: 3,5 cm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Destro: 3 cm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Sinistro: 4,5 cm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NOTE AL TESTO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Vanno collocate a piè di pagina.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Devono essere numerate progressivamente all’inizio di ogni capitolo.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numeri di rimando devono essere inseriti tra parentesi tonde, collocati alla fine della citazione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(quest'ultima riportata fra virgolette) o della parola alla quale la nota si riferisce e comunque sempre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 dell'eventuale segno di interpunzione.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0"/>
          <w:szCs w:val="20"/>
          <w:rtl w:val="0"/>
        </w:rPr>
        <w:t xml:space="preserve">CARATTERE: </w:t>
      </w:r>
      <w:r w:rsidDel="00000000" w:rsidR="00000000" w:rsidRPr="00000000">
        <w:rPr>
          <w:rtl w:val="0"/>
        </w:rPr>
        <w:t xml:space="preserve">Arial, dimensione: 10, stile: normale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PARAGRAFO: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Allineamento: giustificato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Rientro prima riga: 0,6 cm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Interlinea: singola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Spaziatura prima: auto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CITAZIONI BIBLIOGRAFICHE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nota vanno citati l’autore, il titolo del libro o dell'articolo, il luogo di pubblicazione, l'editore o la rivista,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l'anno e la/e pagina/e. Es.: F. FORTUNA (maiuscoletto), Corporate Governance, Milano, F.Angeli,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2001, pagg. 16-20; G. ZURZOLO, Collegio sindacale e internal auditors, in «Quaderni di finanza», 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14, Consob, 1996, pag. 46.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L’INDICE GENERALE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titoli vanno allineati a sinistra, i numeri del rinvio alla pagina a destra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PREFAZIONE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testo va scritto in corsivo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BIBLIOGRAFIA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È necessario seguire il seguente ordine: autore, titolo del libro o dell'articolo, luogo di pubblicazione,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editore o rivista, anno. Es.: AIROLDI G., Gli assetti istituzionali d’impresa: inerzia, funzioni e leve,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AIROLDI G.-FORESTIERI G. (a cura di), Corporate governance. Analisi e prospettive nel caso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italiano, Milano, Etas Libri, 1998.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riferimenti devono essere ordinati per cognome degli autori e in ordine alfabetico.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compaiono più pubblicazioni di uno stesso autore è necessario disporre i titoli in ordine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cronologico partendo dall’opera più remota.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