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3C6E"/>
          <w:sz w:val="48"/>
        </w:rPr>
        <w:t>TRAPASSO FACILE</w:t>
      </w:r>
    </w:p>
    <w:p>
      <w:pPr>
        <w:jc w:val="center"/>
        <w:pBdr>
          <w:bottom w:val="single" w:sz="6" w:space="1" w:color="2E75B6"/>
        </w:pBdr>
      </w:pPr>
      <w:r>
        <w:rPr>
          <w:b/>
          <w:color w:val="2E75B6"/>
          <w:sz w:val="26"/>
        </w:rPr>
        <w:t>Policy Prezzi, Maggiorazioni e Sistema di Valutazione Agenzie</w:t>
      </w:r>
    </w:p>
    <w:p>
      <w:pPr>
        <w:spacing w:after="60"/>
      </w:pPr>
    </w:p>
    <w:p>
      <w:pPr>
        <w:jc w:val="center"/>
      </w:pPr>
      <w:r>
        <w:rPr>
          <w:i/>
          <w:color w:val="666666"/>
          <w:sz w:val="20"/>
        </w:rPr>
        <w:t>Documento operativo interno — 2026 — Alberto De Vivo</w:t>
      </w:r>
    </w:p>
    <w:p>
      <w:r>
        <w:br w:type="page"/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1. PRINCIPIO GENERALE DELLA MAGGIORAZIONE</w:t>
      </w:r>
    </w:p>
    <w:p>
      <w:pPr>
        <w:spacing w:after="140"/>
        <w:jc w:val="both"/>
      </w:pPr>
      <w:r>
        <w:rPr>
          <w:sz w:val="22"/>
        </w:rPr>
        <w:t xml:space="preserve">Trapasso Facile </w:t>
      </w:r>
      <w:r>
        <w:rPr>
          <w:b/>
          <w:sz w:val="22"/>
        </w:rPr>
        <w:t>non adotta un listino prezzi proprio</w:t>
      </w:r>
      <w:r>
        <w:rPr>
          <w:sz w:val="22"/>
        </w:rPr>
        <w:t>. Ogni agenzia mantiene il proprio listino standard, determinato liberamente in base alla zona geografica, alla tipologia di pratica e ai propri costi operativi.</w:t>
      </w:r>
    </w:p>
    <w:p>
      <w:pPr>
        <w:spacing w:after="140"/>
        <w:jc w:val="both"/>
      </w:pPr>
      <w:r>
        <w:rPr>
          <w:sz w:val="22"/>
        </w:rPr>
        <w:t xml:space="preserve">Il modello di maggiorazione funziona come segue: per ogni cliente che si presenta in agenzia con il codice Trapasso Facile, l’agenzia applica una </w:t>
      </w:r>
      <w:r>
        <w:rPr>
          <w:b/>
          <w:sz w:val="22"/>
        </w:rPr>
        <w:t>maggiorazione fissa sul proprio prezzo standard</w:t>
      </w:r>
      <w:r>
        <w:rPr>
          <w:sz w:val="22"/>
        </w:rPr>
        <w:t>. Questa maggiorazione è l’</w:t>
      </w:r>
      <w:r>
        <w:rPr>
          <w:b/>
          <w:sz w:val="22"/>
        </w:rPr>
        <w:t>unico elemento che Trapasso Facile impone contrattualmente</w:t>
      </w:r>
      <w:r>
        <w:rPr>
          <w:sz w:val="22"/>
        </w:rPr>
        <w:t>.</w:t>
      </w:r>
    </w:p>
    <w:p>
      <w:pPr>
        <w:spacing w:after="140"/>
        <w:jc w:val="both"/>
      </w:pPr>
      <w:r>
        <w:rPr>
          <w:sz w:val="22"/>
        </w:rPr>
        <w:t xml:space="preserve">L’agenzia </w:t>
      </w:r>
      <w:r>
        <w:rPr>
          <w:b/>
          <w:sz w:val="22"/>
        </w:rPr>
        <w:t>è libera di praticare qualsiasi prezzo base</w:t>
      </w:r>
      <w:r>
        <w:rPr>
          <w:sz w:val="22"/>
        </w:rPr>
        <w:t xml:space="preserve"> voglia. </w:t>
      </w:r>
      <w:r>
        <w:rPr>
          <w:b/>
          <w:sz w:val="22"/>
        </w:rPr>
        <w:t>Non può però modificare la maggiorazione</w:t>
      </w:r>
      <w:r>
        <w:rPr>
          <w:sz w:val="22"/>
        </w:rPr>
        <w:t xml:space="preserve"> Trapasso Facile — né aumentarla, né ridurla, né intestarla come voce propria del suo listino.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2. STRUTTURA DELLE MAGGIORAZIONI PER TIPOLOGIA DI PRATICA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55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Tipologia pratica</w:t>
            </w:r>
          </w:p>
        </w:tc>
        <w:tc>
          <w:tcPr>
            <w:tcW w:type="dxa" w:w="1984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Maggiorazione cliente</w:t>
            </w:r>
          </w:p>
        </w:tc>
        <w:tc>
          <w:tcPr>
            <w:tcW w:type="dxa" w:w="2835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Fee addebitata all’agenzia</w:t>
            </w:r>
          </w:p>
        </w:tc>
        <w:tc>
          <w:tcPr>
            <w:tcW w:type="dxa" w:w="1984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left"/>
            </w:pPr>
            <w:r>
              <w:rPr>
                <w:b/>
                <w:sz w:val="20"/>
              </w:rPr>
              <w:t>Trapasso netto tra privati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+ € 100 sul listino agenzia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€ 75 a Trapasso Facile + € 25 al broker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Maggiorazione obbligatoria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Minivoltura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Nessuna maggiorazione al cliente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€ 15 a Trapasso Facile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Fee solo verso piattaforma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left"/>
            </w:pPr>
            <w:r>
              <w:rPr>
                <w:sz w:val="20"/>
              </w:rPr>
              <w:t>Lotto massivo (per veicolo)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Nessuna maggiorazione al cliente</w:t>
            </w:r>
          </w:p>
        </w:tc>
        <w:tc>
          <w:tcPr>
            <w:tcW w:type="dxa" w:w="2835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€ 15 per veicolo a Trapasso Facile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Fee per ogni veicolo del lotto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rPr>
          <w:sz w:val="22"/>
        </w:rPr>
        <w:t xml:space="preserve">La maggiorazione di € 100 sul trapasso netto si giustifica per il cliente con la </w:t>
      </w:r>
      <w:r>
        <w:rPr>
          <w:b/>
          <w:sz w:val="22"/>
        </w:rPr>
        <w:t>corsia preferenziale garantita dal codice Trapasso Facile</w:t>
      </w:r>
      <w:r>
        <w:rPr>
          <w:sz w:val="22"/>
        </w:rPr>
        <w:t>: il cliente che arriva in agenzia con il codice viene servito con priorità rispetto ai clienti ordinari.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3. OBBLIGHI DELL’AGENZIA SUI PREZZI</w:t>
      </w:r>
    </w:p>
    <w:p>
      <w:pPr>
        <w:spacing w:before="240" w:after="80"/>
      </w:pPr>
      <w:r>
        <w:rPr>
          <w:b/>
          <w:color w:val="2E75B6"/>
          <w:sz w:val="24"/>
        </w:rPr>
        <w:t>3.1  Obbligo di applicazione della maggiorazione</w:t>
      </w:r>
    </w:p>
    <w:p>
      <w:pPr>
        <w:spacing w:after="140"/>
        <w:jc w:val="both"/>
      </w:pPr>
      <w:r>
        <w:rPr>
          <w:sz w:val="22"/>
        </w:rPr>
        <w:t xml:space="preserve">L’agenzia si impegna, al momento della registrazione sulla piattaforma, ad applicare la maggiorazione di € 100 su ogni pratica di trapasso netto originata da Trapasso Facile. Tale impegno è </w:t>
      </w:r>
      <w:r>
        <w:rPr>
          <w:b/>
          <w:sz w:val="22"/>
        </w:rPr>
        <w:t>vincolante</w:t>
      </w:r>
      <w:r>
        <w:rPr>
          <w:sz w:val="22"/>
        </w:rPr>
        <w:t xml:space="preserve"> e viene accettato tramite </w:t>
      </w:r>
      <w:r>
        <w:rPr>
          <w:b/>
          <w:sz w:val="22"/>
        </w:rPr>
        <w:t>firma digitale dei termini di servizio</w:t>
      </w:r>
      <w:r>
        <w:rPr>
          <w:sz w:val="22"/>
        </w:rPr>
        <w:t xml:space="preserve"> in fase di iscrizione.</w:t>
      </w:r>
    </w:p>
    <w:p>
      <w:pPr>
        <w:spacing w:before="240" w:after="80"/>
      </w:pPr>
      <w:r>
        <w:rPr>
          <w:b/>
          <w:color w:val="2E75B6"/>
          <w:sz w:val="24"/>
        </w:rPr>
        <w:t>3.2  Divieto di sovraccarico</w:t>
      </w:r>
    </w:p>
    <w:p>
      <w:pPr>
        <w:spacing w:after="140"/>
        <w:jc w:val="both"/>
      </w:pPr>
      <w:r>
        <w:rPr>
          <w:sz w:val="22"/>
        </w:rPr>
        <w:t xml:space="preserve">L’agenzia </w:t>
      </w:r>
      <w:r>
        <w:rPr>
          <w:b/>
          <w:sz w:val="22"/>
        </w:rPr>
        <w:t>non può applicare maggiorazioni superiori a € 100</w:t>
      </w:r>
      <w:r>
        <w:rPr>
          <w:sz w:val="22"/>
        </w:rPr>
        <w:t xml:space="preserve"> attribuendole esplicitamente o implicitamente al servizio Trapasso Facile. L’agenzia </w:t>
      </w:r>
      <w:r>
        <w:rPr>
          <w:b/>
          <w:sz w:val="22"/>
        </w:rPr>
        <w:t>non può intestare la maggiorazione come voce propria</w:t>
      </w:r>
      <w:r>
        <w:rPr>
          <w:sz w:val="22"/>
        </w:rPr>
        <w:t xml:space="preserve"> del listino per gonfiare artificialmente il prezzo percepito dal cliente.</w:t>
      </w:r>
    </w:p>
    <w:p>
      <w:pPr>
        <w:spacing w:before="240" w:after="80"/>
      </w:pPr>
      <w:r>
        <w:rPr>
          <w:b/>
          <w:color w:val="2E75B6"/>
          <w:sz w:val="24"/>
        </w:rPr>
        <w:t>3.3  Libertà sul prezzo base</w:t>
      </w:r>
    </w:p>
    <w:p>
      <w:pPr>
        <w:spacing w:after="140"/>
        <w:jc w:val="both"/>
      </w:pPr>
      <w:r>
        <w:rPr>
          <w:sz w:val="22"/>
        </w:rPr>
        <w:t>Il prezzo base dell’agenzia è completamente libero. Se un’agenzia decide di applicare una tariffa base inferiore alla media di mercato per essere più competitiva, è una sua scelta legittima. Trapasso Facile non interviene sul pricing standard dell’agenzia.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4. SISTEMA DI VALUTAZIONE DELLE AGENZIE</w:t>
      </w:r>
    </w:p>
    <w:p>
      <w:pPr>
        <w:spacing w:before="240" w:after="80"/>
      </w:pPr>
      <w:r>
        <w:rPr>
          <w:b/>
          <w:color w:val="2E75B6"/>
          <w:sz w:val="24"/>
        </w:rPr>
        <w:t>4.1  Come funziona la valutazione</w:t>
      </w:r>
    </w:p>
    <w:p>
      <w:pPr>
        <w:spacing w:after="140"/>
        <w:jc w:val="both"/>
      </w:pPr>
      <w:r>
        <w:rPr>
          <w:sz w:val="22"/>
        </w:rPr>
        <w:t xml:space="preserve">Ogni volta che l’agenzia flagga la firma avvenuta — Step 3 del flusso — il dealer riceve automaticamente una notifica con la richiesta di valutare l’esperienza in agenzia. La valutazione avviene tramite un sistema </w:t>
      </w:r>
      <w:r>
        <w:rPr>
          <w:b/>
          <w:sz w:val="22"/>
        </w:rPr>
        <w:t>a 5 stelle con campo note opzionale</w:t>
      </w:r>
      <w:r>
        <w:rPr>
          <w:sz w:val="22"/>
        </w:rPr>
        <w:t>.</w:t>
      </w:r>
    </w:p>
    <w:p>
      <w:pPr>
        <w:spacing w:after="140"/>
        <w:jc w:val="both"/>
      </w:pPr>
      <w:r>
        <w:rPr>
          <w:sz w:val="22"/>
        </w:rPr>
        <w:t xml:space="preserve">Il dealer raccoglie il feedback direttamente dal cliente finale, che ha interagito con l’agenzia per la firma. Il </w:t>
      </w:r>
      <w:r>
        <w:rPr>
          <w:b/>
          <w:sz w:val="22"/>
        </w:rPr>
        <w:t>dealer è l’unico punto di contatto</w:t>
      </w:r>
      <w:r>
        <w:rPr>
          <w:sz w:val="22"/>
        </w:rPr>
        <w:t xml:space="preserve"> con il cliente sulla piattaforma e è quindi il soggetto naturale per raccogliere la valutazione.</w:t>
      </w:r>
    </w:p>
    <w:p>
      <w:pPr>
        <w:spacing w:before="240" w:after="80"/>
      </w:pPr>
      <w:r>
        <w:rPr>
          <w:b/>
          <w:color w:val="2E75B6"/>
          <w:sz w:val="24"/>
        </w:rPr>
        <w:t>4.2  Come la valutazione impatta sull’algoritmo</w:t>
      </w:r>
    </w:p>
    <w:p>
      <w:pPr>
        <w:spacing w:after="140"/>
        <w:jc w:val="both"/>
      </w:pPr>
      <w:r>
        <w:rPr>
          <w:sz w:val="22"/>
        </w:rPr>
        <w:t xml:space="preserve">Il punteggio medio a 5 stelle di ciascuna agenzia </w:t>
      </w:r>
      <w:r>
        <w:rPr>
          <w:b/>
          <w:sz w:val="22"/>
        </w:rPr>
        <w:t>alimenta direttamente l’algoritmo</w:t>
      </w:r>
      <w:r>
        <w:rPr>
          <w:sz w:val="22"/>
        </w:rPr>
        <w:t xml:space="preserve"> di distribuzione delle pratiche. Il sistema funziona come segue: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Rating medio agenzia</w:t>
            </w:r>
          </w:p>
        </w:tc>
        <w:tc>
          <w:tcPr>
            <w:tcW w:type="dxa" w:w="226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Impatto sull’algoritmo</w:t>
            </w:r>
          </w:p>
        </w:tc>
        <w:tc>
          <w:tcPr>
            <w:tcW w:type="dxa" w:w="4819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Effetto pratico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jc w:val="left"/>
            </w:pPr>
            <w:r>
              <w:rPr>
                <w:sz w:val="20"/>
              </w:rPr>
              <w:t>4,5 — 5,0 stelle</w:t>
            </w:r>
          </w:p>
        </w:tc>
        <w:tc>
          <w:tcPr>
            <w:tcW w:type="dxa" w:w="2268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Priorità massima</w:t>
            </w:r>
          </w:p>
        </w:tc>
        <w:tc>
          <w:tcPr>
            <w:tcW w:type="dxa" w:w="4819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Riceve notifiche per prima nella zona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3,5 — 4,4 stelle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Priorità standard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Riceve notifiche in ordine normale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jc w:val="left"/>
            </w:pPr>
            <w:r>
              <w:rPr>
                <w:sz w:val="20"/>
              </w:rPr>
              <w:t>2,5 — 3,4 stelle</w:t>
            </w:r>
          </w:p>
        </w:tc>
        <w:tc>
          <w:tcPr>
            <w:tcW w:type="dxa" w:w="2268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Priorità ridotta</w:t>
            </w:r>
          </w:p>
        </w:tc>
        <w:tc>
          <w:tcPr>
            <w:tcW w:type="dxa" w:w="4819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Riceve meno notifiche, scalata in coda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Sotto 2,5 stelle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Sospensione temporanea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Revisione da parte dell’admin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rPr>
          <w:sz w:val="22"/>
        </w:rPr>
        <w:t xml:space="preserve">Il ranking </w:t>
      </w:r>
      <w:r>
        <w:rPr>
          <w:b/>
          <w:sz w:val="22"/>
        </w:rPr>
        <w:t>non è pubblico</w:t>
      </w:r>
      <w:r>
        <w:rPr>
          <w:sz w:val="22"/>
        </w:rPr>
        <w:t xml:space="preserve">. Non è visibile né ai dealer né alle agenzie stesse. È un </w:t>
      </w:r>
      <w:r>
        <w:rPr>
          <w:b/>
          <w:sz w:val="22"/>
        </w:rPr>
        <w:t>parametro interno alla piattaforma</w:t>
      </w:r>
      <w:r>
        <w:rPr>
          <w:sz w:val="22"/>
        </w:rPr>
        <w:t xml:space="preserve"> che regola esclusivamente la distribuzione delle pratiche.</w:t>
      </w:r>
    </w:p>
    <w:p>
      <w:pPr>
        <w:spacing w:before="240" w:after="80"/>
      </w:pPr>
      <w:r>
        <w:rPr>
          <w:b/>
          <w:color w:val="2E75B6"/>
          <w:sz w:val="24"/>
        </w:rPr>
        <w:t>4.3  Tutela contro abusi di prezzo</w:t>
      </w:r>
    </w:p>
    <w:p>
      <w:pPr>
        <w:spacing w:after="140"/>
        <w:jc w:val="both"/>
      </w:pPr>
      <w:r>
        <w:rPr>
          <w:sz w:val="22"/>
        </w:rPr>
        <w:t xml:space="preserve">Se un dealer segnala nelle note della valutazione che l’agenzia ha applicato prezzi superiori a quelli comunicati o ha attribuito al servizio Trapasso Facile costi non autorizzati, la </w:t>
      </w:r>
      <w:r>
        <w:rPr>
          <w:b/>
          <w:sz w:val="22"/>
        </w:rPr>
        <w:t>segnalazione viene inviata all’admin</w:t>
      </w:r>
      <w:r>
        <w:rPr>
          <w:sz w:val="22"/>
        </w:rPr>
        <w:t xml:space="preserve"> della piattaforma per verifica. In caso di conferma, l’agenzia può essere </w:t>
      </w:r>
      <w:r>
        <w:rPr>
          <w:b/>
          <w:sz w:val="22"/>
        </w:rPr>
        <w:t>sospesa dall’algoritmo o rimossa dalla piattaforma</w:t>
      </w:r>
      <w:r>
        <w:rPr>
          <w:sz w:val="22"/>
        </w:rPr>
        <w:t>.</w:t>
      </w:r>
    </w:p>
    <w:p>
      <w:pPr>
        <w:spacing w:before="240" w:after="80"/>
      </w:pPr>
      <w:r>
        <w:rPr>
          <w:b/>
          <w:color w:val="2E75B6"/>
          <w:sz w:val="24"/>
        </w:rPr>
        <w:t>4.4  Soglia minima di valutazioni</w:t>
      </w:r>
    </w:p>
    <w:p>
      <w:pPr>
        <w:spacing w:after="140"/>
        <w:jc w:val="both"/>
      </w:pPr>
      <w:r>
        <w:rPr>
          <w:sz w:val="22"/>
        </w:rPr>
        <w:t xml:space="preserve">Il sistema di ranking entra in vigore dopo un </w:t>
      </w:r>
      <w:r>
        <w:rPr>
          <w:b/>
          <w:sz w:val="22"/>
        </w:rPr>
        <w:t>minimo di 5 valutazioni</w:t>
      </w:r>
      <w:r>
        <w:rPr>
          <w:sz w:val="22"/>
        </w:rPr>
        <w:t xml:space="preserve"> ricevute dall’agenzia. Sotto questa soglia l’agenzia viene trattata come rating neutro e riceve pratiche in ordine standard.</w:t>
      </w:r>
    </w:p>
    <w:p>
      <w:pPr>
        <w:spacing w:before="400" w:after="120"/>
        <w:pBdr>
          <w:bottom w:val="single" w:sz="10" w:space="1" w:color="1A3C6E"/>
        </w:pBdr>
      </w:pPr>
      <w:r>
        <w:rPr>
          <w:b/>
          <w:color w:val="1A3C6E"/>
          <w:sz w:val="26"/>
        </w:rPr>
        <w:t>5. DISTRIBUZIONE DELLA FEE E WALLET BROKER</w:t>
      </w:r>
    </w:p>
    <w:p>
      <w:pPr>
        <w:spacing w:before="240" w:after="80"/>
      </w:pPr>
      <w:r>
        <w:rPr>
          <w:b/>
          <w:color w:val="2E75B6"/>
          <w:sz w:val="24"/>
        </w:rPr>
        <w:t>5.1  Trapasso netto — distribuzione dei € 75 addebitati all’agenzia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Destinatario</w:t>
            </w:r>
          </w:p>
        </w:tc>
        <w:tc>
          <w:tcPr>
            <w:tcW w:type="dxa" w:w="1701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Importo</w:t>
            </w:r>
          </w:p>
        </w:tc>
        <w:tc>
          <w:tcPr>
            <w:tcW w:type="dxa" w:w="4819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Modalità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pPr>
              <w:jc w:val="left"/>
            </w:pPr>
            <w:r>
              <w:rPr>
                <w:sz w:val="20"/>
              </w:rPr>
              <w:t>Trapasso Facile</w:t>
            </w:r>
          </w:p>
        </w:tc>
        <w:tc>
          <w:tcPr>
            <w:tcW w:type="dxa" w:w="1701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€ 50</w:t>
            </w:r>
          </w:p>
        </w:tc>
        <w:tc>
          <w:tcPr>
            <w:tcW w:type="dxa" w:w="4819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Trattenuti direttamente dalla piattaforma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Broker / Dealer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€ 25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Accreditati nel wallet broker sulla piattaforma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b/>
          <w:color w:val="2E75B6"/>
          <w:sz w:val="24"/>
        </w:rPr>
        <w:t>5.2  Soglie payout wallet broker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Saldo wallet</w:t>
            </w:r>
          </w:p>
        </w:tc>
        <w:tc>
          <w:tcPr>
            <w:tcW w:type="dxa" w:w="7087"/>
            <w:shd w:val="clear" w:color="auto" w:fill="1A3C6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Azione disponibile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jc w:val="left"/>
            </w:pPr>
            <w:r>
              <w:rPr>
                <w:sz w:val="20"/>
              </w:rPr>
              <w:t>Sotto € 500</w:t>
            </w:r>
          </w:p>
        </w:tc>
        <w:tc>
          <w:tcPr>
            <w:tcW w:type="dxa" w:w="708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Nessun payout — crediti si accumulano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Tra € 500 e € 999</w:t>
            </w:r>
          </w:p>
        </w:tc>
        <w:tc>
          <w:tcPr>
            <w:tcW w:type="dxa" w:w="7087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Payout manuale richiedibile dal broker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pPr>
              <w:jc w:val="left"/>
            </w:pPr>
            <w:r>
              <w:rPr>
                <w:sz w:val="20"/>
              </w:rPr>
              <w:t>€ 1.000 o più</w:t>
            </w:r>
          </w:p>
        </w:tc>
        <w:tc>
          <w:tcPr>
            <w:tcW w:type="dxa" w:w="7087"/>
            <w:shd w:val="clear" w:color="auto" w:fill="F0F4F8"/>
          </w:tcPr>
          <w:p>
            <w:pPr>
              <w:jc w:val="center"/>
            </w:pPr>
            <w:r>
              <w:rPr>
                <w:sz w:val="20"/>
              </w:rPr>
              <w:t>Payout automatico — sistema eroga senza azione del broker</w:t>
            </w:r>
          </w:p>
        </w:tc>
      </w:tr>
    </w:tbl>
    <w:p>
      <w:pPr>
        <w:spacing w:after="60"/>
      </w:pPr>
    </w:p>
    <w:p>
      <w:pPr>
        <w:spacing w:after="140"/>
        <w:jc w:val="both"/>
      </w:pPr>
      <w:r>
        <w:rPr>
          <w:sz w:val="22"/>
        </w:rPr>
        <w:t xml:space="preserve">Al payout il sistema genera automaticamente un </w:t>
      </w:r>
      <w:r>
        <w:rPr>
          <w:b/>
          <w:sz w:val="22"/>
        </w:rPr>
        <w:t>rendiconto scaricabile</w:t>
      </w:r>
      <w:r>
        <w:rPr>
          <w:sz w:val="22"/>
        </w:rPr>
        <w:t>. Il broker usa il rendiconto per emettere fattura verso Trapasso Facile. Al momento della registrazione il broker inserisce dati aziendali, dati di fatturazione e IBAN.</w:t>
      </w:r>
    </w:p>
    <w:p>
      <w:pPr>
        <w:spacing w:before="240" w:after="80"/>
      </w:pPr>
      <w:r>
        <w:rPr>
          <w:b/>
          <w:color w:val="2E75B6"/>
          <w:sz w:val="24"/>
        </w:rPr>
        <w:t>5.3  Minivoltura e lotto massivo</w:t>
      </w:r>
    </w:p>
    <w:p>
      <w:pPr>
        <w:spacing w:after="140"/>
        <w:jc w:val="both"/>
      </w:pPr>
      <w:r>
        <w:rPr>
          <w:sz w:val="22"/>
        </w:rPr>
        <w:t xml:space="preserve">Per minivolture e lotti massivi la fee di </w:t>
      </w:r>
      <w:r>
        <w:rPr>
          <w:b/>
          <w:sz w:val="22"/>
        </w:rPr>
        <w:t>€ 15 per pratica/veicolo va interamente a Trapasso Facile</w:t>
      </w:r>
      <w:r>
        <w:rPr>
          <w:sz w:val="22"/>
        </w:rPr>
        <w:t>. Non c’è wallet né distribuzione al broker perché in questi casi dealer e broker coincidono.</w:t>
      </w:r>
    </w:p>
    <w:p>
      <w:pPr>
        <w:spacing w:after="60"/>
      </w:pPr>
    </w:p>
    <w:p>
      <w:pPr>
        <w:spacing w:after="60"/>
      </w:pPr>
    </w:p>
    <w:p>
      <w:pPr>
        <w:pBdr>
          <w:bottom w:val="single" w:sz="4" w:space="1" w:color="AAAAAA"/>
        </w:pBdr>
      </w:pPr>
    </w:p>
    <w:p>
      <w:r>
        <w:rPr>
          <w:i/>
          <w:color w:val="666666"/>
          <w:sz w:val="18"/>
        </w:rPr>
        <w:t>Documento operativo interno — Trapasso Facile — Alberto De Vivo — 2026. Da validare con commercialista per il modulo pagamenti.</w:t>
      </w:r>
    </w:p>
    <w:sectPr w:rsidR="00FC693F" w:rsidRPr="0006063C" w:rsidSect="00034616">
      <w:footerReference w:type="default" r:id="rId9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66666"/>
        <w:sz w:val="16"/>
      </w:rPr>
      <w:t>Trapasso Facile — Policy Prezzi, Maggiorazioni e Sistema di Valutazione —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