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3C6E"/>
          <w:sz w:val="48"/>
        </w:rPr>
        <w:t>TRAPASSO FACILE</w:t>
      </w:r>
    </w:p>
    <w:p>
      <w:pPr>
        <w:jc w:val="center"/>
        <w:pBdr>
          <w:bottom w:val="single" w:sz="6" w:space="1" w:color="2E75B6"/>
        </w:pBdr>
      </w:pPr>
      <w:r>
        <w:rPr>
          <w:b/>
          <w:color w:val="2E75B6"/>
          <w:sz w:val="28"/>
        </w:rPr>
        <w:t>Risposta alle Considerazioni del Programmatore</w:t>
      </w:r>
    </w:p>
    <w:p>
      <w:pPr>
        <w:spacing w:after="40"/>
      </w:pPr>
    </w:p>
    <w:p>
      <w:pPr>
        <w:jc w:val="center"/>
      </w:pPr>
      <w:r>
        <w:rPr>
          <w:i/>
          <w:color w:val="666666"/>
          <w:sz w:val="20"/>
        </w:rPr>
        <w:t>Marzo 2026  |  Alberto De Vivo</w:t>
      </w:r>
    </w:p>
    <w:p>
      <w:r>
        <w:br w:type="page"/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CORREZIONE GENERALE ALLA COMPRENSIONE DEL PROGETTO</w:t>
      </w:r>
    </w:p>
    <w:p>
      <w:pPr>
        <w:spacing w:after="120"/>
        <w:jc w:val="both"/>
      </w:pPr>
      <w:r>
        <w:rPr>
          <w:sz w:val="22"/>
        </w:rPr>
        <w:t xml:space="preserve">Hai capito bene la struttura di base, ma c'e un punto fondamentale da chiarire subito: la nostra piattaforma </w:t>
      </w:r>
      <w:r>
        <w:rPr>
          <w:b/>
          <w:sz w:val="22"/>
        </w:rPr>
        <w:t>non sostituisce il lavoro dell'agenzia</w:t>
      </w:r>
      <w:r>
        <w:rPr>
          <w:sz w:val="22"/>
        </w:rPr>
        <w:t xml:space="preserve"> e </w:t>
      </w:r>
      <w:r>
        <w:rPr>
          <w:b/>
          <w:sz w:val="22"/>
        </w:rPr>
        <w:t>non integra ne esegue il processo STA</w:t>
      </w:r>
      <w:r>
        <w:rPr>
          <w:sz w:val="22"/>
        </w:rPr>
        <w:t xml:space="preserve">. Noi facciamo </w:t>
      </w:r>
      <w:r>
        <w:rPr>
          <w:b/>
          <w:sz w:val="22"/>
        </w:rPr>
        <w:t>esclusivamente da broker digitale</w:t>
      </w:r>
      <w:r>
        <w:rPr>
          <w:sz w:val="22"/>
        </w:rPr>
        <w:t xml:space="preserve"> tra il dealer/commerciante e l'agenzia pratiche.</w:t>
      </w:r>
    </w:p>
    <w:p>
      <w:pPr>
        <w:spacing w:after="120"/>
        <w:jc w:val="both"/>
      </w:pPr>
      <w:r>
        <w:rPr>
          <w:sz w:val="22"/>
        </w:rPr>
        <w:t xml:space="preserve">Il nostro valore tecnico sta nel fatto che i documenti che arrivano all'agenzia sono sempre completi e corretti: la nostra tecnologia </w:t>
      </w:r>
      <w:r>
        <w:rPr>
          <w:b/>
          <w:sz w:val="22"/>
        </w:rPr>
        <w:t>impedisce che una pratica incompleta venga inviata</w:t>
      </w:r>
      <w:r>
        <w:rPr>
          <w:sz w:val="22"/>
        </w:rPr>
        <w:t xml:space="preserve">. L'agenzia riceve il fascicolo, lo scarica, fa la pratica con i suoi strumenti come ha sempre fatto, fissa l'appuntamento e il cliente va a firmare. </w:t>
      </w:r>
      <w:r>
        <w:rPr>
          <w:b/>
          <w:sz w:val="22"/>
        </w:rPr>
        <w:t>Noi ci fermiamo al momento della presa in carico</w:t>
      </w:r>
      <w:r>
        <w:rPr>
          <w:sz w:val="22"/>
        </w:rPr>
        <w:t xml:space="preserve"> confermata dall'agenzia.</w:t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PUNTO 3 — RISPOSTA SULLE LACUNE SEGNALATE</w:t>
      </w:r>
    </w:p>
    <w:p>
      <w:pPr>
        <w:spacing w:before="280" w:after="80"/>
      </w:pPr>
      <w:r>
        <w:rPr>
          <w:b/>
          <w:color w:val="2E75B6"/>
          <w:sz w:val="22"/>
        </w:rPr>
        <w:t>Pannello admin</w:t>
      </w:r>
    </w:p>
    <w:p>
      <w:pPr>
        <w:spacing w:after="120"/>
        <w:jc w:val="both"/>
      </w:pPr>
      <w:r>
        <w:rPr>
          <w:sz w:val="22"/>
        </w:rPr>
        <w:t>Confermato, va sviluppato. Gestione utenti, approvazione registrazioni, monitoraggio pratiche e pagamenti.</w:t>
      </w:r>
    </w:p>
    <w:p>
      <w:pPr>
        <w:spacing w:before="280" w:after="80"/>
      </w:pPr>
      <w:r>
        <w:rPr>
          <w:b/>
          <w:color w:val="2E75B6"/>
          <w:sz w:val="22"/>
        </w:rPr>
        <w:t>Modello di revenue</w:t>
      </w:r>
    </w:p>
    <w:p>
      <w:pPr>
        <w:spacing w:after="120"/>
        <w:jc w:val="both"/>
      </w:pPr>
      <w:r>
        <w:rPr>
          <w:sz w:val="22"/>
        </w:rPr>
        <w:t xml:space="preserve">E definito. L'agenzia paga una fee ogni volta che accetta e conferma la presa in carico di una pratica. Importo indicativo: </w:t>
      </w:r>
      <w:r>
        <w:rPr>
          <w:b/>
          <w:sz w:val="22"/>
        </w:rPr>
        <w:t>30 euro a pratica</w:t>
      </w:r>
      <w:r>
        <w:rPr>
          <w:sz w:val="22"/>
        </w:rPr>
        <w:t xml:space="preserve"> per trapasso netto, </w:t>
      </w:r>
      <w:r>
        <w:rPr>
          <w:b/>
          <w:sz w:val="22"/>
        </w:rPr>
        <w:t>15 euro per minivoltura</w:t>
      </w:r>
      <w:r>
        <w:rPr>
          <w:sz w:val="22"/>
        </w:rPr>
        <w:t>. Sia dealer che agenzie inseriscono i dati di pagamento e firmano l'accettazione dei termini al momento della registrazione, che autorizza l'addebito automatico.</w:t>
      </w:r>
    </w:p>
    <w:p>
      <w:pPr>
        <w:spacing w:before="280" w:after="80"/>
      </w:pPr>
      <w:r>
        <w:rPr>
          <w:b/>
          <w:color w:val="2E75B6"/>
          <w:sz w:val="22"/>
        </w:rPr>
        <w:t>Gestione dei pagamenti reali</w:t>
      </w:r>
    </w:p>
    <w:p>
      <w:pPr>
        <w:spacing w:after="120"/>
        <w:jc w:val="both"/>
      </w:pPr>
      <w:r>
        <w:rPr>
          <w:sz w:val="22"/>
        </w:rPr>
        <w:t>Non ci interessa. IPT, bolli e onorario dell'agenzia vengono pagati direttamente dal cliente all'agenzia nel momento in cui va a firmare. Non passano dalla piattaforma, non e roba nostra.</w:t>
      </w:r>
    </w:p>
    <w:p>
      <w:pPr>
        <w:spacing w:before="280" w:after="80"/>
      </w:pPr>
      <w:r>
        <w:rPr>
          <w:b/>
          <w:color w:val="2E75B6"/>
          <w:sz w:val="22"/>
        </w:rPr>
        <w:t>Flussi di errore</w:t>
      </w:r>
    </w:p>
    <w:p>
      <w:pPr>
        <w:spacing w:after="120"/>
        <w:jc w:val="both"/>
      </w:pPr>
      <w:r>
        <w:rPr>
          <w:sz w:val="22"/>
        </w:rPr>
        <w:t xml:space="preserve">Questo punto non esiste nel nostro modello. La nostra tecnologia garantisce che i documenti siano sempre completi e conformi prima dell'invio: l'agenzia </w:t>
      </w:r>
      <w:r>
        <w:rPr>
          <w:b/>
          <w:sz w:val="22"/>
        </w:rPr>
        <w:t>non puo ricevere una pratica incompleta per definizione</w:t>
      </w:r>
      <w:r>
        <w:rPr>
          <w:sz w:val="22"/>
        </w:rPr>
        <w:t>. L'unico caso in cui un'agenzia puo rifiutare e se decide autonomamente di non voler fare quella pratica, caso raro e residuale.</w:t>
      </w:r>
    </w:p>
    <w:p>
      <w:pPr>
        <w:spacing w:before="280" w:after="80"/>
      </w:pPr>
      <w:r>
        <w:rPr>
          <w:b/>
          <w:color w:val="2E75B6"/>
          <w:sz w:val="22"/>
        </w:rPr>
        <w:t>GDPR e sicurezza</w:t>
      </w:r>
    </w:p>
    <w:p>
      <w:pPr>
        <w:spacing w:after="120"/>
        <w:jc w:val="both"/>
      </w:pPr>
      <w:r>
        <w:rPr>
          <w:sz w:val="22"/>
        </w:rPr>
        <w:t>Va gestito con encryption, data retention policy e informativa privacy adeguata. Aggiungiamo accettazione dei termini con clausola di limitazione di responsabilita per errori della piattaforma.</w:t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RISPOSTE ALLE DOMANDE</w:t>
      </w:r>
    </w:p>
    <w:p>
      <w:pPr>
        <w:spacing w:before="200" w:after="40"/>
      </w:pPr>
      <w:r>
        <w:rPr>
          <w:b/>
          <w:color w:val="1A3C6E"/>
          <w:sz w:val="22"/>
        </w:rPr>
        <w:t>D1 — Chi paga IPT, bolli e onorario?</w:t>
      </w:r>
    </w:p>
    <w:p>
      <w:pPr>
        <w:spacing w:after="120"/>
        <w:jc w:val="both"/>
      </w:pPr>
      <w:r>
        <w:rPr>
          <w:sz w:val="22"/>
        </w:rPr>
        <w:t>Il cliente finale, direttamente in agenzia al momento della firma. Non passa dalla piattaforma, non ci riguarda.</w:t>
      </w:r>
    </w:p>
    <w:p>
      <w:pPr>
        <w:spacing w:before="200" w:after="40"/>
      </w:pPr>
      <w:r>
        <w:rPr>
          <w:b/>
          <w:color w:val="1A3C6E"/>
          <w:sz w:val="22"/>
        </w:rPr>
        <w:t>D2 — L'agenzia paga un abbonamento?</w:t>
      </w:r>
    </w:p>
    <w:p>
      <w:pPr>
        <w:spacing w:after="120"/>
        <w:jc w:val="both"/>
      </w:pPr>
      <w:r>
        <w:rPr>
          <w:sz w:val="22"/>
        </w:rPr>
        <w:t xml:space="preserve">No. L'agenzia usa la piattaforma gratuitamente. Paga solo la fee per ogni pratica accettata e confermata: </w:t>
      </w:r>
      <w:r>
        <w:rPr>
          <w:b/>
          <w:sz w:val="22"/>
        </w:rPr>
        <w:t>30 euro</w:t>
      </w:r>
      <w:r>
        <w:rPr>
          <w:sz w:val="22"/>
        </w:rPr>
        <w:t xml:space="preserve"> per trapasso netto, </w:t>
      </w:r>
      <w:r>
        <w:rPr>
          <w:b/>
          <w:sz w:val="22"/>
        </w:rPr>
        <w:t>15 euro</w:t>
      </w:r>
      <w:r>
        <w:rPr>
          <w:sz w:val="22"/>
        </w:rPr>
        <w:t xml:space="preserve"> per minivoltura. Dati di pagamento e autorizzazione all'addebito vengono inseriti al momento della registrazione.</w:t>
      </w:r>
    </w:p>
    <w:p>
      <w:pPr>
        <w:spacing w:before="200" w:after="40"/>
      </w:pPr>
      <w:r>
        <w:rPr>
          <w:b/>
          <w:color w:val="1A3C6E"/>
          <w:sz w:val="22"/>
        </w:rPr>
        <w:t>D3 — Lo spazio news/pubblicita e una fonte di revenue?</w:t>
      </w:r>
    </w:p>
    <w:p>
      <w:pPr>
        <w:spacing w:after="120"/>
        <w:jc w:val="both"/>
      </w:pPr>
      <w:r>
        <w:rPr>
          <w:sz w:val="22"/>
        </w:rPr>
        <w:t>E solo un'idea futura, un banner eventuale. Non e prioritario, non va sviluppato adesso.</w:t>
      </w:r>
    </w:p>
    <w:p>
      <w:pPr>
        <w:spacing w:before="200" w:after="40"/>
      </w:pPr>
      <w:r>
        <w:rPr>
          <w:b/>
          <w:color w:val="1A3C6E"/>
          <w:sz w:val="22"/>
        </w:rPr>
        <w:t>D4 — Piani di pricing differenziati?</w:t>
      </w:r>
    </w:p>
    <w:p>
      <w:pPr>
        <w:spacing w:after="120"/>
        <w:jc w:val="both"/>
      </w:pPr>
      <w:r>
        <w:rPr>
          <w:sz w:val="22"/>
        </w:rPr>
        <w:t xml:space="preserve">No. Unico modello: </w:t>
      </w:r>
      <w:r>
        <w:rPr>
          <w:b/>
          <w:sz w:val="22"/>
        </w:rPr>
        <w:t>fee per pratica</w:t>
      </w:r>
      <w:r>
        <w:rPr>
          <w:sz w:val="22"/>
        </w:rPr>
        <w:t>. Unica distinzione: trapasso netto (30 euro) vs minivoltura (15 euro).</w:t>
      </w:r>
    </w:p>
    <w:p>
      <w:pPr>
        <w:spacing w:before="200" w:after="40"/>
      </w:pPr>
      <w:r>
        <w:rPr>
          <w:b/>
          <w:color w:val="1A3C6E"/>
          <w:sz w:val="22"/>
        </w:rPr>
        <w:t>D5 — Volume realistico primo anno?</w:t>
      </w:r>
    </w:p>
    <w:p>
      <w:pPr>
        <w:spacing w:after="120"/>
        <w:jc w:val="both"/>
      </w:pPr>
      <w:r>
        <w:rPr>
          <w:sz w:val="22"/>
        </w:rPr>
        <w:t xml:space="preserve">Obiettivo: 100 commercianti, 50 pratiche ciascuno = </w:t>
      </w:r>
      <w:r>
        <w:rPr>
          <w:b/>
          <w:sz w:val="22"/>
        </w:rPr>
        <w:t>5.000 pratiche nel primo anno</w:t>
      </w:r>
      <w:r>
        <w:rPr>
          <w:sz w:val="22"/>
        </w:rPr>
        <w:t>.</w:t>
      </w:r>
    </w:p>
    <w:p>
      <w:pPr>
        <w:spacing w:before="200" w:after="40"/>
      </w:pPr>
      <w:r>
        <w:rPr>
          <w:b/>
          <w:color w:val="1A3C6E"/>
          <w:sz w:val="22"/>
        </w:rPr>
        <w:t>D6 — Come si registra un'agenzia?</w:t>
      </w:r>
    </w:p>
    <w:p>
      <w:pPr>
        <w:spacing w:after="120"/>
        <w:jc w:val="both"/>
      </w:pPr>
      <w:r>
        <w:rPr>
          <w:b/>
          <w:sz w:val="22"/>
        </w:rPr>
        <w:t>Stesso processo del dealer</w:t>
      </w:r>
      <w:r>
        <w:rPr>
          <w:sz w:val="22"/>
        </w:rPr>
        <w:t>: dati azienda, dati amministratore, documenti (CI, CF, visura camerale) e accettazione dei termini. I dati di pagamento e l'autorizzazione all'addebito sono gia inclusi nel processo di registrazione.</w:t>
      </w:r>
    </w:p>
    <w:p>
      <w:pPr>
        <w:spacing w:before="200" w:after="40"/>
      </w:pPr>
      <w:r>
        <w:rPr>
          <w:b/>
          <w:color w:val="1A3C6E"/>
          <w:sz w:val="22"/>
        </w:rPr>
        <w:t>D7 — Chi approva le registrazioni?</w:t>
      </w:r>
    </w:p>
    <w:p>
      <w:pPr>
        <w:spacing w:after="120"/>
        <w:jc w:val="both"/>
      </w:pPr>
      <w:r>
        <w:rPr>
          <w:sz w:val="22"/>
        </w:rPr>
        <w:t>Processo automatico. Nessuna approvazione manuale.</w:t>
      </w:r>
    </w:p>
    <w:p>
      <w:pPr>
        <w:spacing w:before="200" w:after="40"/>
      </w:pPr>
      <w:r>
        <w:rPr>
          <w:b/>
          <w:color w:val="1A3C6E"/>
          <w:sz w:val="22"/>
        </w:rPr>
        <w:t>D8 — Un dealer puo avere piu utenti?</w:t>
      </w:r>
    </w:p>
    <w:p>
      <w:pPr>
        <w:spacing w:after="120"/>
        <w:jc w:val="both"/>
      </w:pPr>
      <w:r>
        <w:rPr>
          <w:sz w:val="22"/>
        </w:rPr>
        <w:t>Si, si puo prevedere un utente admin e utenti secondari con permessi limitati: possono operare sulle pratiche ma non modificare i dati dell'account. Stesso sistema per le agenzie.</w:t>
      </w:r>
    </w:p>
    <w:p>
      <w:pPr>
        <w:spacing w:before="200" w:after="40"/>
      </w:pPr>
      <w:r>
        <w:rPr>
          <w:b/>
          <w:color w:val="1A3C6E"/>
          <w:sz w:val="22"/>
        </w:rPr>
        <w:t>D9 — Venditore e acquirente interagiscono con la piattaforma?</w:t>
      </w:r>
    </w:p>
    <w:p>
      <w:pPr>
        <w:spacing w:after="120"/>
        <w:jc w:val="both"/>
      </w:pPr>
      <w:r>
        <w:rPr>
          <w:sz w:val="22"/>
        </w:rPr>
        <w:t xml:space="preserve">No, mai. La piattaforma e </w:t>
      </w:r>
      <w:r>
        <w:rPr>
          <w:b/>
          <w:sz w:val="22"/>
        </w:rPr>
        <w:t>esclusivamente B2B</w:t>
      </w:r>
      <w:r>
        <w:rPr>
          <w:sz w:val="22"/>
        </w:rPr>
        <w:t xml:space="preserve"> tra dealer e agenzia.</w:t>
      </w:r>
    </w:p>
    <w:p>
      <w:pPr>
        <w:spacing w:before="200" w:after="40"/>
      </w:pPr>
      <w:r>
        <w:rPr>
          <w:b/>
          <w:color w:val="1A3C6E"/>
          <w:sz w:val="22"/>
        </w:rPr>
        <w:t>D10 — Cosa succede se l'agenzia rifiuta?</w:t>
      </w:r>
    </w:p>
    <w:p>
      <w:pPr>
        <w:spacing w:after="120"/>
        <w:jc w:val="both"/>
      </w:pPr>
      <w:r>
        <w:rPr>
          <w:sz w:val="22"/>
        </w:rPr>
        <w:t xml:space="preserve">La nostra tecnologia garantisce documenti sempre completi, quindi il rifiuto per documenti incompleti non esiste. Se un'agenzia rifiuta per altri motivi, la pratica torna disponibile. Da valutare: </w:t>
      </w:r>
      <w:r>
        <w:rPr>
          <w:b/>
          <w:sz w:val="22"/>
        </w:rPr>
        <w:t>sistema di invio multiplo</w:t>
      </w:r>
      <w:r>
        <w:rPr>
          <w:sz w:val="22"/>
        </w:rPr>
        <w:t xml:space="preserve"> — il dealer invia a 3-4 agenzie contemporaneamente e </w:t>
      </w:r>
      <w:r>
        <w:rPr>
          <w:b/>
          <w:sz w:val="22"/>
        </w:rPr>
        <w:t>la prima che accetta si prende il lavoro</w:t>
      </w:r>
      <w:r>
        <w:rPr>
          <w:sz w:val="22"/>
        </w:rPr>
        <w:t>, logica Deliveroo.</w:t>
      </w:r>
    </w:p>
    <w:p>
      <w:pPr>
        <w:spacing w:before="200" w:after="40"/>
      </w:pPr>
      <w:r>
        <w:rPr>
          <w:b/>
          <w:color w:val="1A3C6E"/>
          <w:sz w:val="22"/>
        </w:rPr>
        <w:t>D11 — Il dealer puo cambiare agenzia dopo l'invio?</w:t>
      </w:r>
    </w:p>
    <w:p>
      <w:pPr>
        <w:spacing w:after="120"/>
        <w:jc w:val="both"/>
      </w:pPr>
      <w:r>
        <w:rPr>
          <w:sz w:val="22"/>
        </w:rPr>
        <w:t>No, una volta inviata non si cambia. Il sistema di invio multiplo descritto sopra risolve questo problema a monte.</w:t>
      </w:r>
    </w:p>
    <w:p>
      <w:pPr>
        <w:spacing w:before="200" w:after="40"/>
      </w:pPr>
      <w:r>
        <w:rPr>
          <w:b/>
          <w:color w:val="1A3C6E"/>
          <w:sz w:val="22"/>
        </w:rPr>
        <w:t>D12 — Come comunicano dealer e agenzia?</w:t>
      </w:r>
    </w:p>
    <w:p>
      <w:pPr>
        <w:spacing w:after="120"/>
        <w:jc w:val="both"/>
      </w:pPr>
      <w:r>
        <w:rPr>
          <w:sz w:val="22"/>
        </w:rPr>
        <w:t>Non c'e messaggistica interna. Se necessario comunicano via email esternamente. La piattaforma gestisce solo notifiche di stato automatiche.</w:t>
      </w:r>
    </w:p>
    <w:p>
      <w:pPr>
        <w:spacing w:before="200" w:after="40"/>
      </w:pPr>
      <w:r>
        <w:rPr>
          <w:b/>
          <w:color w:val="1A3C6E"/>
          <w:sz w:val="22"/>
        </w:rPr>
        <w:t>D13 — Il flag mini passaggio come cambia il flusso?</w:t>
      </w:r>
    </w:p>
    <w:p>
      <w:pPr>
        <w:spacing w:after="120"/>
        <w:jc w:val="both"/>
      </w:pPr>
      <w:r>
        <w:rPr>
          <w:sz w:val="22"/>
        </w:rPr>
        <w:t>Il flusso documentale e sostanzialmente uguale: al posto del documento d'identita si carica la visura camerale. Cambia il costo perche e una minivoltura — l'agenzia riceve la segnalazione e sa gia che il pricing e diverso. Fee ridotta anche per noi: 15 euro invece di 30.</w:t>
      </w:r>
    </w:p>
    <w:p>
      <w:pPr>
        <w:spacing w:before="200" w:after="40"/>
      </w:pPr>
      <w:r>
        <w:rPr>
          <w:b/>
          <w:color w:val="1A3C6E"/>
          <w:sz w:val="22"/>
        </w:rPr>
        <w:t>D14 — Chi carica i documenti dell'acquirente?</w:t>
      </w:r>
    </w:p>
    <w:p>
      <w:pPr>
        <w:spacing w:after="120"/>
        <w:jc w:val="both"/>
      </w:pPr>
      <w:r>
        <w:rPr>
          <w:b/>
          <w:sz w:val="22"/>
        </w:rPr>
        <w:t>Sempre il dealer</w:t>
      </w:r>
      <w:r>
        <w:rPr>
          <w:sz w:val="22"/>
        </w:rPr>
        <w:t>. Il commerciante e l'intermediario tra chi vende e chi compra, quindi ha i documenti di entrambe le parti. Li riceve via email o WhatsApp e li carica lui sulla piattaforma.</w:t>
      </w:r>
    </w:p>
    <w:p>
      <w:pPr>
        <w:spacing w:before="200" w:after="40"/>
      </w:pPr>
      <w:r>
        <w:rPr>
          <w:b/>
          <w:color w:val="1A3C6E"/>
          <w:sz w:val="22"/>
        </w:rPr>
        <w:t>D15 — Veicoli con piu proprietari?</w:t>
      </w:r>
    </w:p>
    <w:p>
      <w:pPr>
        <w:spacing w:after="120"/>
        <w:jc w:val="both"/>
      </w:pPr>
      <w:r>
        <w:rPr>
          <w:sz w:val="22"/>
        </w:rPr>
        <w:t>Flag di cointestazione con possibilita di caricare i documenti di entrambi i cointestatari.</w:t>
      </w:r>
    </w:p>
    <w:p>
      <w:pPr>
        <w:spacing w:before="200" w:after="40"/>
      </w:pPr>
      <w:r>
        <w:rPr>
          <w:b/>
          <w:color w:val="1A3C6E"/>
          <w:sz w:val="22"/>
        </w:rPr>
        <w:t>D16 — Responsabilita in caso di errori?</w:t>
      </w:r>
    </w:p>
    <w:p>
      <w:pPr>
        <w:spacing w:after="120"/>
        <w:jc w:val="both"/>
      </w:pPr>
      <w:r>
        <w:rPr>
          <w:sz w:val="22"/>
        </w:rPr>
        <w:t>Accettazione dei termini con clausola di limitazione di responsabilita standard. La piattaforma non risponde di errori dell'IA o di documenti persi. E prassi normale per qualsiasi SaaS.</w:t>
      </w:r>
    </w:p>
    <w:p>
      <w:pPr>
        <w:spacing w:before="200" w:after="40"/>
      </w:pPr>
      <w:r>
        <w:rPr>
          <w:b/>
          <w:color w:val="1A3C6E"/>
          <w:sz w:val="22"/>
        </w:rPr>
        <w:t>D19 — Serve certificazione o accreditamento PRA/ACI?</w:t>
      </w:r>
    </w:p>
    <w:p>
      <w:pPr>
        <w:spacing w:after="120"/>
        <w:jc w:val="both"/>
      </w:pPr>
      <w:r>
        <w:rPr>
          <w:sz w:val="22"/>
        </w:rPr>
        <w:t xml:space="preserve">No. La piattaforma non fa il processo STA, non accede ai registri pubblici e non trasmette nulla al PRA. </w:t>
      </w:r>
      <w:r>
        <w:rPr>
          <w:b/>
          <w:sz w:val="22"/>
        </w:rPr>
        <w:t>Nessuna certificazione necessaria</w:t>
      </w:r>
      <w:r>
        <w:rPr>
          <w:sz w:val="22"/>
        </w:rPr>
        <w:t>.</w:t>
      </w:r>
    </w:p>
    <w:p>
      <w:pPr>
        <w:spacing w:after="40"/>
      </w:pP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NOTA FINALE — FLUSSO A TRE STEP E GESTIONE DEL COMPLETAMENTO</w:t>
      </w:r>
    </w:p>
    <w:p>
      <w:pPr>
        <w:spacing w:after="120"/>
        <w:jc w:val="both"/>
      </w:pPr>
      <w:r>
        <w:rPr>
          <w:sz w:val="22"/>
        </w:rPr>
        <w:t xml:space="preserve">Il flusso operativo della piattaforma si articola in </w:t>
      </w:r>
      <w:r>
        <w:rPr>
          <w:b/>
          <w:sz w:val="22"/>
        </w:rPr>
        <w:t>tre step distinti</w:t>
      </w:r>
      <w:r>
        <w:rPr>
          <w:sz w:val="22"/>
        </w:rPr>
        <w:t>:</w:t>
      </w:r>
    </w:p>
    <w:p>
      <w:pPr>
        <w:spacing w:after="120"/>
        <w:jc w:val="both"/>
      </w:pPr>
      <w:r>
        <w:rPr>
          <w:b/>
          <w:sz w:val="22"/>
        </w:rPr>
        <w:t>Step 1 — Richiesta:</w:t>
      </w:r>
      <w:r>
        <w:rPr>
          <w:sz w:val="22"/>
        </w:rPr>
        <w:t xml:space="preserve"> il dealer invia la pratica all'agenzia.</w:t>
      </w:r>
    </w:p>
    <w:p>
      <w:pPr>
        <w:spacing w:after="120"/>
        <w:jc w:val="both"/>
      </w:pPr>
      <w:r>
        <w:rPr>
          <w:b/>
          <w:sz w:val="22"/>
        </w:rPr>
        <w:t>Step 2 — Conferma presa in carico:</w:t>
      </w:r>
      <w:r>
        <w:rPr>
          <w:sz w:val="22"/>
        </w:rPr>
        <w:t xml:space="preserve"> l'agenzia accetta la pratica. </w:t>
      </w:r>
      <w:r>
        <w:rPr>
          <w:b/>
          <w:sz w:val="22"/>
        </w:rPr>
        <w:t>Questo e il momento in cui noi addebitiamo la fee</w:t>
      </w:r>
      <w:r>
        <w:rPr>
          <w:sz w:val="22"/>
        </w:rPr>
        <w:t xml:space="preserve"> all'agenzia. Fine del nostro coinvolgimento economico.</w:t>
      </w:r>
    </w:p>
    <w:p>
      <w:pPr>
        <w:spacing w:after="120"/>
        <w:jc w:val="both"/>
      </w:pPr>
      <w:r>
        <w:rPr>
          <w:b/>
          <w:sz w:val="22"/>
        </w:rPr>
        <w:t>Step 3 — Firma avvenuta:</w:t>
      </w:r>
      <w:r>
        <w:rPr>
          <w:sz w:val="22"/>
        </w:rPr>
        <w:t xml:space="preserve"> una volta che i clienti si presentano in agenzia e firmano, l'agenzia clicca 'firma avvenuta' sulla piattaforma. Questo step </w:t>
      </w:r>
      <w:r>
        <w:rPr>
          <w:b/>
          <w:sz w:val="22"/>
        </w:rPr>
        <w:t>non ha effetti economici per noi</w:t>
      </w:r>
      <w:r>
        <w:rPr>
          <w:sz w:val="22"/>
        </w:rPr>
        <w:t xml:space="preserve"> ma serve a notificare il dealer che la pratica e conclusa e a proteggere l'agenzia che ha anticipato i costi dei bolli.</w:t>
      </w:r>
    </w:p>
    <w:p>
      <w:pPr>
        <w:spacing w:after="120"/>
        <w:jc w:val="both"/>
      </w:pPr>
      <w:r>
        <w:rPr>
          <w:sz w:val="22"/>
        </w:rPr>
        <w:t xml:space="preserve">Finche lo Step 3 non viene completato, il sistema invia </w:t>
      </w:r>
      <w:r>
        <w:rPr>
          <w:b/>
          <w:sz w:val="22"/>
        </w:rPr>
        <w:t>notifiche ricorrenti al dealer</w:t>
      </w:r>
      <w:r>
        <w:rPr>
          <w:sz w:val="22"/>
        </w:rPr>
        <w:t xml:space="preserve"> ogni X giorni per sollecitarlo a far presentare i clienti in agenzia. Questo </w:t>
      </w:r>
      <w:r>
        <w:rPr>
          <w:b/>
          <w:sz w:val="22"/>
        </w:rPr>
        <w:t>tutela l'agenzia che anticipa i costi</w:t>
      </w:r>
      <w:r>
        <w:rPr>
          <w:sz w:val="22"/>
        </w:rPr>
        <w:t xml:space="preserve"> della pratica — come avviene gia oggi — e garantisce che il processo venga chiuso entro un termine ragionevole, es. 20 giorni dalla presa in carico.</w:t>
      </w:r>
    </w:p>
    <w:p>
      <w:pPr>
        <w:spacing w:after="120"/>
        <w:jc w:val="both"/>
      </w:pPr>
      <w:r>
        <w:rPr>
          <w:sz w:val="22"/>
        </w:rPr>
        <w:t xml:space="preserve">Le istruzioni per il ritiro si intendono quindi come invio al dealer del </w:t>
      </w:r>
      <w:r>
        <w:rPr>
          <w:b/>
          <w:sz w:val="22"/>
        </w:rPr>
        <w:t>codice pratica</w:t>
      </w:r>
      <w:r>
        <w:rPr>
          <w:sz w:val="22"/>
        </w:rPr>
        <w:t xml:space="preserve"> — tipo codice prioritario — da comunicare ai clienti per presentarsi in agenzia a firmare. Non c'e nessun sistema di appuntamento gestito dalla piattaforma: l'agenzia gestisce autonomamente la firma.</w:t>
      </w:r>
    </w:p>
    <w:p>
      <w:pPr>
        <w:spacing w:after="40"/>
      </w:pPr>
    </w:p>
    <w:p>
      <w:pPr>
        <w:spacing w:after="40"/>
      </w:pPr>
    </w:p>
    <w:p>
      <w:pPr>
        <w:pBdr>
          <w:bottom w:val="single" w:sz="4" w:space="1" w:color="AAAAAA"/>
        </w:pBdr>
      </w:pPr>
    </w:p>
    <w:p>
      <w:r>
        <w:rPr>
          <w:i/>
          <w:color w:val="666666"/>
          <w:sz w:val="18"/>
        </w:rPr>
        <w:t>Documento interno — Trapasso Facile — Alberto De Vivo — 2026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66666"/>
        <w:sz w:val="16"/>
      </w:rPr>
      <w:t>Trapasso Facile — Risposta alle Considerazioni  |  Confidenziale  |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