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3C6E"/>
          <w:sz w:val="48"/>
        </w:rPr>
        <w:t>TRAPASSO FACILE</w:t>
      </w:r>
    </w:p>
    <w:p>
      <w:pPr>
        <w:jc w:val="center"/>
        <w:pBdr>
          <w:bottom w:val="single" w:sz="6" w:space="1" w:color="2E75B6"/>
        </w:pBdr>
      </w:pPr>
      <w:r>
        <w:rPr>
          <w:b/>
          <w:color w:val="2E75B6"/>
          <w:sz w:val="26"/>
        </w:rPr>
        <w:t>Visione Strategica, Raccolta Dati di Mercato e Roadmap di Evoluzione</w:t>
      </w:r>
    </w:p>
    <w:p>
      <w:pPr>
        <w:spacing w:after="60"/>
      </w:pPr>
    </w:p>
    <w:p>
      <w:pPr>
        <w:jc w:val="center"/>
      </w:pPr>
      <w:r>
        <w:rPr>
          <w:i/>
          <w:color w:val="666666"/>
          <w:sz w:val="20"/>
        </w:rPr>
        <w:t>Documento strategico riservato — 2026 — Alberto De Vivo</w:t>
      </w:r>
    </w:p>
    <w:p>
      <w:r>
        <w:br w:type="page"/>
      </w:r>
    </w:p>
    <w:p>
      <w:pPr>
        <w:spacing w:before="400" w:after="120"/>
        <w:pBdr>
          <w:bottom w:val="single" w:sz="10" w:space="1" w:color="1A3C6E"/>
        </w:pBdr>
      </w:pPr>
      <w:r>
        <w:rPr>
          <w:b/>
          <w:color w:val="1A3C6E"/>
          <w:sz w:val="26"/>
        </w:rPr>
        <w:t>1. INTRODUZIONE — PERCHÉ RACCOGLIERE I DATI DI MERCATO</w:t>
      </w:r>
    </w:p>
    <w:p>
      <w:pPr>
        <w:spacing w:after="140"/>
        <w:jc w:val="both"/>
      </w:pPr>
      <w:r>
        <w:rPr>
          <w:sz w:val="22"/>
        </w:rPr>
        <w:t xml:space="preserve">Il mercato italiano dei passaggi di proprietà auto è caratterizzato da una </w:t>
      </w:r>
      <w:r>
        <w:rPr>
          <w:b/>
          <w:sz w:val="22"/>
        </w:rPr>
        <w:t>totale opacità sui prezzi</w:t>
      </w:r>
      <w:r>
        <w:rPr>
          <w:sz w:val="22"/>
        </w:rPr>
        <w:t xml:space="preserve">. </w:t>
      </w:r>
      <w:r>
        <w:rPr>
          <w:b/>
          <w:sz w:val="22"/>
        </w:rPr>
        <w:t>Non esiste oggi in Italia un database pubblico o privato</w:t>
      </w:r>
      <w:r>
        <w:rPr>
          <w:sz w:val="22"/>
        </w:rPr>
        <w:t xml:space="preserve"> che mappi in modo sistematico e aggiornato le tariffe praticate dalle agenzie pratiche auto zona per zona, tipologia per tipologia. Ogni agenzia fissa liberamente i propri prezzi senza alcun riferimento standardizzato, e il cliente finale non ha strumenti per confrontare o valutare la congruià di quanto gli viene chiesto.</w:t>
      </w:r>
    </w:p>
    <w:p>
      <w:pPr>
        <w:spacing w:after="140"/>
        <w:jc w:val="both"/>
      </w:pPr>
      <w:r>
        <w:rPr>
          <w:sz w:val="22"/>
        </w:rPr>
        <w:t xml:space="preserve">Trapasso Facile, operando come intermediario digitale tra dealer e agenzie su scala nazionale, si trova in una </w:t>
      </w:r>
      <w:r>
        <w:rPr>
          <w:b/>
          <w:sz w:val="22"/>
        </w:rPr>
        <w:t>posizione unica per raccogliere questi dati</w:t>
      </w:r>
      <w:r>
        <w:rPr>
          <w:sz w:val="22"/>
        </w:rPr>
        <w:t xml:space="preserve"> in modo organico e continuativo. Ogni iscrizione, ogni pratica processata, ogni valutazione ricevuta e ogni listino caricato volontariamente dalle agenzie rappresenta un tassello di un </w:t>
      </w:r>
      <w:r>
        <w:rPr>
          <w:b/>
          <w:sz w:val="22"/>
        </w:rPr>
        <w:t>database di mercato che nessun altro player possiede</w:t>
      </w:r>
      <w:r>
        <w:rPr>
          <w:sz w:val="22"/>
        </w:rPr>
        <w:t>.</w:t>
      </w:r>
    </w:p>
    <w:p>
      <w:pPr>
        <w:spacing w:after="140"/>
        <w:jc w:val="both"/>
      </w:pPr>
      <w:r>
        <w:rPr>
          <w:sz w:val="22"/>
        </w:rPr>
        <w:t>Questo documento descrive la strategia di raccolta dati, il valore che genera nel breve termine e la roadmap di evoluzione del modello di business nel medio e lungo termine, fino allo scenario di agenzie branded Trapasso Facile con pricing standardizzato e pagamento diretto in piattaforma.</w:t>
      </w:r>
    </w:p>
    <w:p>
      <w:pPr>
        <w:spacing w:before="400" w:after="120"/>
        <w:pBdr>
          <w:bottom w:val="single" w:sz="10" w:space="1" w:color="1A3C6E"/>
        </w:pBdr>
      </w:pPr>
      <w:r>
        <w:rPr>
          <w:b/>
          <w:color w:val="1A3C6E"/>
          <w:sz w:val="26"/>
        </w:rPr>
        <w:t>2. RACCOLTA VOLONTARIA DEI LISTINI PREZZI DELLE AGENZIE</w:t>
      </w:r>
    </w:p>
    <w:p>
      <w:pPr>
        <w:spacing w:before="240" w:after="80"/>
      </w:pPr>
      <w:r>
        <w:rPr>
          <w:b/>
          <w:color w:val="2E75B6"/>
          <w:sz w:val="24"/>
        </w:rPr>
        <w:t>2.1  Come funziona</w:t>
      </w:r>
    </w:p>
    <w:p>
      <w:pPr>
        <w:spacing w:after="140"/>
        <w:jc w:val="both"/>
      </w:pPr>
      <w:r>
        <w:rPr>
          <w:sz w:val="22"/>
        </w:rPr>
        <w:t xml:space="preserve">Al primo accesso post-registrazione, ogni agenzia riceve un popup </w:t>
      </w:r>
      <w:r>
        <w:rPr>
          <w:b/>
          <w:sz w:val="22"/>
        </w:rPr>
        <w:t>opzionale</w:t>
      </w:r>
      <w:r>
        <w:rPr>
          <w:sz w:val="22"/>
        </w:rPr>
        <w:t xml:space="preserve"> — </w:t>
      </w:r>
      <w:r>
        <w:rPr>
          <w:b/>
          <w:sz w:val="22"/>
        </w:rPr>
        <w:t>non bloccante, non obbligatorio</w:t>
      </w:r>
      <w:r>
        <w:rPr>
          <w:sz w:val="22"/>
        </w:rPr>
        <w:t xml:space="preserve"> — che la invita a caricare il proprio listino prezzi attuale. Il popup appare </w:t>
      </w:r>
      <w:r>
        <w:rPr>
          <w:b/>
          <w:sz w:val="22"/>
        </w:rPr>
        <w:t>una sola volta</w:t>
      </w:r>
      <w:r>
        <w:rPr>
          <w:sz w:val="22"/>
        </w:rPr>
        <w:t xml:space="preserve"> e può essere saltato in qualsiasi momento. La funzione rimane sempre accessibile dalla sezione Profilo dell’agenzia.</w:t>
      </w:r>
    </w:p>
    <w:p>
      <w:pPr>
        <w:spacing w:after="140"/>
        <w:jc w:val="both"/>
      </w:pPr>
      <w:r>
        <w:rPr>
          <w:sz w:val="22"/>
        </w:rPr>
        <w:t>L’agenzia può caricare il listino in due modalità: upload di un file PDF o documento esistente, oppure compilazione diretta di un form strutturato con i prezzi per tipologia di pratica. Entrambe le modalità sono valide e i dati vengono normalizzati dal sistema per renderli comparabili.</w:t>
      </w:r>
    </w:p>
    <w:p>
      <w:pPr>
        <w:spacing w:before="240" w:after="80"/>
      </w:pPr>
      <w:r>
        <w:rPr>
          <w:b/>
          <w:color w:val="2E75B6"/>
          <w:sz w:val="24"/>
        </w:rPr>
        <w:t>2.2  Cosa raccogliamo</w:t>
      </w:r>
    </w:p>
    <w:tbl>
      <w:tblPr>
        <w:tblW w:type="auto" w:w="0"/>
        <w:jc w:val="left"/>
        <w:tblLook w:firstColumn="1" w:firstRow="1" w:lastColumn="0" w:lastRow="0" w:noHBand="0" w:noVBand="1" w:val="04A0"/>
      </w:tblPr>
      <w:tblGrid>
        <w:gridCol w:w="2835"/>
        <w:gridCol w:w="2835"/>
        <w:gridCol w:w="2835"/>
      </w:tblGrid>
      <w:tr>
        <w:tc>
          <w:tcPr>
            <w:tcW w:type="dxa" w:w="2551"/>
            <w:shd w:val="clear" w:color="auto" w:fill="1A3C6E"/>
          </w:tcPr>
          <w:p>
            <w:pPr>
              <w:jc w:val="center"/>
            </w:pPr>
            <w:r>
              <w:rPr>
                <w:b/>
                <w:color w:val="FFFFFF"/>
                <w:sz w:val="20"/>
              </w:rPr>
              <w:t>Dato raccolto</w:t>
            </w:r>
          </w:p>
        </w:tc>
        <w:tc>
          <w:tcPr>
            <w:tcW w:type="dxa" w:w="2268"/>
            <w:shd w:val="clear" w:color="auto" w:fill="1A3C6E"/>
          </w:tcPr>
          <w:p>
            <w:pPr>
              <w:jc w:val="center"/>
            </w:pPr>
            <w:r>
              <w:rPr>
                <w:b/>
                <w:color w:val="FFFFFF"/>
                <w:sz w:val="20"/>
              </w:rPr>
              <w:t>Modalità</w:t>
            </w:r>
          </w:p>
        </w:tc>
        <w:tc>
          <w:tcPr>
            <w:tcW w:type="dxa" w:w="4535"/>
            <w:shd w:val="clear" w:color="auto" w:fill="1A3C6E"/>
          </w:tcPr>
          <w:p>
            <w:pPr>
              <w:jc w:val="center"/>
            </w:pPr>
            <w:r>
              <w:rPr>
                <w:b/>
                <w:color w:val="FFFFFF"/>
                <w:sz w:val="20"/>
              </w:rPr>
              <w:t>Utilizzo</w:t>
            </w:r>
          </w:p>
        </w:tc>
      </w:tr>
      <w:tr>
        <w:tc>
          <w:tcPr>
            <w:tcW w:type="dxa" w:w="2551"/>
            <w:shd w:val="clear" w:color="auto" w:fill="F0F4F8"/>
          </w:tcPr>
          <w:p>
            <w:pPr>
              <w:jc w:val="left"/>
            </w:pPr>
            <w:r>
              <w:rPr>
                <w:sz w:val="20"/>
              </w:rPr>
              <w:t>Prezzo base trapasso netto</w:t>
            </w:r>
          </w:p>
        </w:tc>
        <w:tc>
          <w:tcPr>
            <w:tcW w:type="dxa" w:w="2268"/>
            <w:shd w:val="clear" w:color="auto" w:fill="F0F4F8"/>
          </w:tcPr>
          <w:p>
            <w:pPr>
              <w:jc w:val="center"/>
            </w:pPr>
            <w:r>
              <w:rPr>
                <w:sz w:val="20"/>
              </w:rPr>
              <w:t>Form strutturato o PDF</w:t>
            </w:r>
          </w:p>
        </w:tc>
        <w:tc>
          <w:tcPr>
            <w:tcW w:type="dxa" w:w="4535"/>
            <w:shd w:val="clear" w:color="auto" w:fill="F0F4F8"/>
          </w:tcPr>
          <w:p>
            <w:pPr>
              <w:jc w:val="center"/>
            </w:pPr>
            <w:r>
              <w:rPr>
                <w:sz w:val="20"/>
              </w:rPr>
              <w:t>Database prezzi per zona</w:t>
            </w:r>
          </w:p>
        </w:tc>
      </w:tr>
      <w:tr>
        <w:tc>
          <w:tcPr>
            <w:tcW w:type="dxa" w:w="2551"/>
            <w:shd w:val="clear" w:color="auto" w:fill="FFFFFF"/>
          </w:tcPr>
          <w:p>
            <w:pPr>
              <w:jc w:val="left"/>
            </w:pPr>
            <w:r>
              <w:rPr>
                <w:sz w:val="20"/>
              </w:rPr>
              <w:t>Prezzo minivoltura</w:t>
            </w:r>
          </w:p>
        </w:tc>
        <w:tc>
          <w:tcPr>
            <w:tcW w:type="dxa" w:w="2268"/>
            <w:shd w:val="clear" w:color="auto" w:fill="FFFFFF"/>
          </w:tcPr>
          <w:p>
            <w:pPr>
              <w:jc w:val="center"/>
            </w:pPr>
            <w:r>
              <w:rPr>
                <w:sz w:val="20"/>
              </w:rPr>
              <w:t>Form strutturato o PDF</w:t>
            </w:r>
          </w:p>
        </w:tc>
        <w:tc>
          <w:tcPr>
            <w:tcW w:type="dxa" w:w="4535"/>
            <w:shd w:val="clear" w:color="auto" w:fill="FFFFFF"/>
          </w:tcPr>
          <w:p>
            <w:pPr>
              <w:jc w:val="center"/>
            </w:pPr>
            <w:r>
              <w:rPr>
                <w:sz w:val="20"/>
              </w:rPr>
              <w:t>Database prezzi per zona</w:t>
            </w:r>
          </w:p>
        </w:tc>
      </w:tr>
      <w:tr>
        <w:tc>
          <w:tcPr>
            <w:tcW w:type="dxa" w:w="2551"/>
            <w:shd w:val="clear" w:color="auto" w:fill="F0F4F8"/>
          </w:tcPr>
          <w:p>
            <w:pPr>
              <w:jc w:val="left"/>
            </w:pPr>
            <w:r>
              <w:rPr>
                <w:sz w:val="20"/>
              </w:rPr>
              <w:t>Eventuali maggiorazioni per casi speciali</w:t>
            </w:r>
          </w:p>
        </w:tc>
        <w:tc>
          <w:tcPr>
            <w:tcW w:type="dxa" w:w="2268"/>
            <w:shd w:val="clear" w:color="auto" w:fill="F0F4F8"/>
          </w:tcPr>
          <w:p>
            <w:pPr>
              <w:jc w:val="center"/>
            </w:pPr>
            <w:r>
              <w:rPr>
                <w:sz w:val="20"/>
              </w:rPr>
              <w:t>Form strutturato o PDF</w:t>
            </w:r>
          </w:p>
        </w:tc>
        <w:tc>
          <w:tcPr>
            <w:tcW w:type="dxa" w:w="4535"/>
            <w:shd w:val="clear" w:color="auto" w:fill="F0F4F8"/>
          </w:tcPr>
          <w:p>
            <w:pPr>
              <w:jc w:val="center"/>
            </w:pPr>
            <w:r>
              <w:rPr>
                <w:sz w:val="20"/>
              </w:rPr>
              <w:t>Analisi mercato</w:t>
            </w:r>
          </w:p>
        </w:tc>
      </w:tr>
      <w:tr>
        <w:tc>
          <w:tcPr>
            <w:tcW w:type="dxa" w:w="2551"/>
            <w:shd w:val="clear" w:color="auto" w:fill="FFFFFF"/>
          </w:tcPr>
          <w:p>
            <w:pPr>
              <w:jc w:val="left"/>
            </w:pPr>
            <w:r>
              <w:rPr>
                <w:sz w:val="20"/>
              </w:rPr>
              <w:t>Zona geografica agenzia</w:t>
            </w:r>
          </w:p>
        </w:tc>
        <w:tc>
          <w:tcPr>
            <w:tcW w:type="dxa" w:w="2268"/>
            <w:shd w:val="clear" w:color="auto" w:fill="FFFFFF"/>
          </w:tcPr>
          <w:p>
            <w:pPr>
              <w:jc w:val="center"/>
            </w:pPr>
            <w:r>
              <w:rPr>
                <w:sz w:val="20"/>
              </w:rPr>
              <w:t>Automatico da registrazione</w:t>
            </w:r>
          </w:p>
        </w:tc>
        <w:tc>
          <w:tcPr>
            <w:tcW w:type="dxa" w:w="4535"/>
            <w:shd w:val="clear" w:color="auto" w:fill="FFFFFF"/>
          </w:tcPr>
          <w:p>
            <w:pPr>
              <w:jc w:val="center"/>
            </w:pPr>
            <w:r>
              <w:rPr>
                <w:sz w:val="20"/>
              </w:rPr>
              <w:t>Segmentazione geografica</w:t>
            </w:r>
          </w:p>
        </w:tc>
      </w:tr>
      <w:tr>
        <w:tc>
          <w:tcPr>
            <w:tcW w:type="dxa" w:w="2551"/>
            <w:shd w:val="clear" w:color="auto" w:fill="F0F4F8"/>
          </w:tcPr>
          <w:p>
            <w:pPr>
              <w:jc w:val="left"/>
            </w:pPr>
            <w:r>
              <w:rPr>
                <w:sz w:val="20"/>
              </w:rPr>
              <w:t>Feedback dealer sui prezzi applicati</w:t>
            </w:r>
          </w:p>
        </w:tc>
        <w:tc>
          <w:tcPr>
            <w:tcW w:type="dxa" w:w="2268"/>
            <w:shd w:val="clear" w:color="auto" w:fill="F0F4F8"/>
          </w:tcPr>
          <w:p>
            <w:pPr>
              <w:jc w:val="center"/>
            </w:pPr>
            <w:r>
              <w:rPr>
                <w:sz w:val="20"/>
              </w:rPr>
              <w:t>Sistema valutazione post-firma</w:t>
            </w:r>
          </w:p>
        </w:tc>
        <w:tc>
          <w:tcPr>
            <w:tcW w:type="dxa" w:w="4535"/>
            <w:shd w:val="clear" w:color="auto" w:fill="F0F4F8"/>
          </w:tcPr>
          <w:p>
            <w:pPr>
              <w:jc w:val="center"/>
            </w:pPr>
            <w:r>
              <w:rPr>
                <w:sz w:val="20"/>
              </w:rPr>
              <w:t>Verifica correttezza listino</w:t>
            </w:r>
          </w:p>
        </w:tc>
      </w:tr>
      <w:tr>
        <w:tc>
          <w:tcPr>
            <w:tcW w:type="dxa" w:w="2551"/>
            <w:shd w:val="clear" w:color="auto" w:fill="FFFFFF"/>
          </w:tcPr>
          <w:p>
            <w:pPr>
              <w:jc w:val="left"/>
            </w:pPr>
            <w:r>
              <w:rPr>
                <w:sz w:val="20"/>
              </w:rPr>
              <w:t>Segnalazioni prezzi anomali</w:t>
            </w:r>
          </w:p>
        </w:tc>
        <w:tc>
          <w:tcPr>
            <w:tcW w:type="dxa" w:w="2268"/>
            <w:shd w:val="clear" w:color="auto" w:fill="FFFFFF"/>
          </w:tcPr>
          <w:p>
            <w:pPr>
              <w:jc w:val="center"/>
            </w:pPr>
            <w:r>
              <w:rPr>
                <w:sz w:val="20"/>
              </w:rPr>
              <w:t>Sistema valutazione post-firma</w:t>
            </w:r>
          </w:p>
        </w:tc>
        <w:tc>
          <w:tcPr>
            <w:tcW w:type="dxa" w:w="4535"/>
            <w:shd w:val="clear" w:color="auto" w:fill="FFFFFF"/>
          </w:tcPr>
          <w:p>
            <w:pPr>
              <w:jc w:val="center"/>
            </w:pPr>
            <w:r>
              <w:rPr>
                <w:sz w:val="20"/>
              </w:rPr>
              <w:t>Controllo qualità</w:t>
            </w:r>
          </w:p>
        </w:tc>
      </w:tr>
      <w:tr>
        <w:tc>
          <w:tcPr>
            <w:tcW w:type="dxa" w:w="2551"/>
            <w:shd w:val="clear" w:color="auto" w:fill="F0F4F8"/>
          </w:tcPr>
          <w:p>
            <w:pPr>
              <w:jc w:val="left"/>
            </w:pPr>
            <w:r>
              <w:rPr>
                <w:sz w:val="20"/>
              </w:rPr>
              <w:t>Volume pratiche per agenzia</w:t>
            </w:r>
          </w:p>
        </w:tc>
        <w:tc>
          <w:tcPr>
            <w:tcW w:type="dxa" w:w="2268"/>
            <w:shd w:val="clear" w:color="auto" w:fill="F0F4F8"/>
          </w:tcPr>
          <w:p>
            <w:pPr>
              <w:jc w:val="center"/>
            </w:pPr>
            <w:r>
              <w:rPr>
                <w:sz w:val="20"/>
              </w:rPr>
              <w:t>Automatico dalla piattaforma</w:t>
            </w:r>
          </w:p>
        </w:tc>
        <w:tc>
          <w:tcPr>
            <w:tcW w:type="dxa" w:w="4535"/>
            <w:shd w:val="clear" w:color="auto" w:fill="F0F4F8"/>
          </w:tcPr>
          <w:p>
            <w:pPr>
              <w:jc w:val="center"/>
            </w:pPr>
            <w:r>
              <w:rPr>
                <w:sz w:val="20"/>
              </w:rPr>
              <w:t>Peso statistico del dato</w:t>
            </w:r>
          </w:p>
        </w:tc>
      </w:tr>
    </w:tbl>
    <w:p>
      <w:pPr>
        <w:spacing w:after="60"/>
      </w:pPr>
    </w:p>
    <w:p>
      <w:pPr>
        <w:spacing w:before="240" w:after="80"/>
      </w:pPr>
      <w:r>
        <w:rPr>
          <w:b/>
          <w:color w:val="2E75B6"/>
          <w:sz w:val="24"/>
        </w:rPr>
        <w:t>2.3  Perché le agenzie hanno interesse a caricare il listino</w:t>
      </w:r>
    </w:p>
    <w:p>
      <w:pPr>
        <w:spacing w:after="140"/>
        <w:jc w:val="both"/>
      </w:pPr>
      <w:r>
        <w:rPr>
          <w:sz w:val="22"/>
        </w:rPr>
        <w:t>La partecipazione è volontaria ma incentivata indirettamente. Le agenzie che caricano il listino offrono maggiore trasparenza ai dealer che le selezionano, aumentando la probabilità di essere scelte. In futuro, quando la piattaforma pubblicherà comparazioni di mercato, le agenzie con listino caricato avranno maggiore visibilità.</w:t>
      </w:r>
    </w:p>
    <w:p>
      <w:pPr>
        <w:spacing w:before="400" w:after="120"/>
        <w:pBdr>
          <w:bottom w:val="single" w:sz="10" w:space="1" w:color="1A3C6E"/>
        </w:pBdr>
      </w:pPr>
      <w:r>
        <w:rPr>
          <w:b/>
          <w:color w:val="1A3C6E"/>
          <w:sz w:val="26"/>
        </w:rPr>
        <w:t>3. IL VALORE STRATEGICO DEL DATABASE PREZZI</w:t>
      </w:r>
    </w:p>
    <w:p>
      <w:pPr>
        <w:spacing w:before="240" w:after="80"/>
      </w:pPr>
      <w:r>
        <w:rPr>
          <w:b/>
          <w:color w:val="2E75B6"/>
          <w:sz w:val="24"/>
        </w:rPr>
        <w:t>3.1  Un asset che nessuno ha</w:t>
      </w:r>
    </w:p>
    <w:p>
      <w:pPr>
        <w:spacing w:after="140"/>
        <w:jc w:val="both"/>
      </w:pPr>
      <w:r>
        <w:rPr>
          <w:sz w:val="22"/>
        </w:rPr>
        <w:t xml:space="preserve">Con sufficiente volume di dati — stimabile raggiungibile entro il primo anno di operatività — Trapasso Facile dispone del </w:t>
      </w:r>
      <w:r>
        <w:rPr>
          <w:b/>
          <w:sz w:val="22"/>
        </w:rPr>
        <w:t>primo database nazionale aggiornato e verificato</w:t>
      </w:r>
      <w:r>
        <w:rPr>
          <w:sz w:val="22"/>
        </w:rPr>
        <w:t xml:space="preserve"> sui prezzi reali dei passaggi di proprietà auto in Italia, segmentato per zona geografica, tipologia di pratica e volume. Questo dato </w:t>
      </w:r>
      <w:r>
        <w:rPr>
          <w:b/>
          <w:sz w:val="22"/>
        </w:rPr>
        <w:t>non esiste in nessun’altra fonte pubblica o privata</w:t>
      </w:r>
      <w:r>
        <w:rPr>
          <w:sz w:val="22"/>
        </w:rPr>
        <w:t xml:space="preserve"> oggi disponibile.</w:t>
      </w:r>
    </w:p>
    <w:p>
      <w:pPr>
        <w:spacing w:before="240" w:after="80"/>
      </w:pPr>
      <w:r>
        <w:rPr>
          <w:b/>
          <w:color w:val="2E75B6"/>
          <w:sz w:val="24"/>
        </w:rPr>
        <w:t>3.2  Utilizzi del database nel breve termine</w:t>
      </w:r>
    </w:p>
    <w:p>
      <w:pPr>
        <w:pStyle w:val="ListBullet"/>
        <w:spacing w:after="80"/>
      </w:pPr>
      <w:r>
        <w:rPr>
          <w:sz w:val="22"/>
        </w:rPr>
        <w:t>Monitoraggio interno per rilevare agenzie con prezzi anomali e proteggere i clienti finali.</w:t>
      </w:r>
    </w:p>
    <w:p>
      <w:pPr>
        <w:pStyle w:val="ListBullet"/>
        <w:spacing w:after="80"/>
      </w:pPr>
      <w:r>
        <w:rPr>
          <w:sz w:val="22"/>
        </w:rPr>
        <w:t>Dato di supporto per la comunicazione commerciale verso nuove agenzie (“il prezzo medio nella tua zona è X, le nostre agenzie partner applicano Y”).</w:t>
      </w:r>
    </w:p>
    <w:p>
      <w:pPr>
        <w:pStyle w:val="ListBullet"/>
        <w:spacing w:after="80"/>
      </w:pPr>
      <w:r>
        <w:rPr>
          <w:sz w:val="22"/>
        </w:rPr>
        <w:t>Informazione al dealer su cosa aspettarsi prima di inviare i clienti in agenzia.</w:t>
      </w:r>
    </w:p>
    <w:p>
      <w:pPr>
        <w:pStyle w:val="ListBullet"/>
        <w:spacing w:after="80"/>
      </w:pPr>
      <w:r>
        <w:rPr>
          <w:sz w:val="22"/>
        </w:rPr>
        <w:t>Argomento di valore verso investitori: “possediamo il primo database reale sui prezzi del settore”.</w:t>
      </w:r>
    </w:p>
    <w:p>
      <w:pPr>
        <w:spacing w:before="240" w:after="80"/>
      </w:pPr>
      <w:r>
        <w:rPr>
          <w:b/>
          <w:color w:val="2E75B6"/>
          <w:sz w:val="24"/>
        </w:rPr>
        <w:t>3.3  Utilizzi nel medio termine</w:t>
      </w:r>
    </w:p>
    <w:p>
      <w:pPr>
        <w:pStyle w:val="ListBullet"/>
        <w:spacing w:after="80"/>
      </w:pPr>
      <w:r>
        <w:rPr>
          <w:sz w:val="22"/>
        </w:rPr>
        <w:t>Pubblicazione di report di mercato periodici — strumento di posizionamento come autorità del settore.</w:t>
      </w:r>
    </w:p>
    <w:p>
      <w:pPr>
        <w:pStyle w:val="ListBullet"/>
        <w:spacing w:after="80"/>
      </w:pPr>
      <w:r>
        <w:rPr>
          <w:sz w:val="22"/>
        </w:rPr>
        <w:t>Benchmark per le agenzie: ogni agenzia può vedere in forma anonima dove si posiziona rispetto alla media della sua zona.</w:t>
      </w:r>
    </w:p>
    <w:p>
      <w:pPr>
        <w:pStyle w:val="ListBullet"/>
        <w:spacing w:after="80"/>
      </w:pPr>
      <w:r>
        <w:rPr>
          <w:sz w:val="22"/>
        </w:rPr>
        <w:t>Base per la costruzione di un tariffario di riferimento Trapasso Facile, adottabile volontariamente dalle agenzie partner come standard di qualità.</w:t>
      </w:r>
    </w:p>
    <w:p>
      <w:pPr>
        <w:spacing w:before="400" w:after="120"/>
        <w:pBdr>
          <w:bottom w:val="single" w:sz="10" w:space="1" w:color="1A3C6E"/>
        </w:pBdr>
      </w:pPr>
      <w:r>
        <w:rPr>
          <w:b/>
          <w:color w:val="1A3C6E"/>
          <w:sz w:val="26"/>
        </w:rPr>
        <w:t>4. ROADMAP DI EVOLUZIONE DEL MODELLO</w:t>
      </w:r>
    </w:p>
    <w:p>
      <w:pPr>
        <w:spacing w:after="140"/>
        <w:jc w:val="both"/>
      </w:pPr>
      <w:r>
        <w:rPr>
          <w:sz w:val="22"/>
        </w:rPr>
        <w:t xml:space="preserve">La visione di Trapasso Facile si articola in </w:t>
      </w:r>
      <w:r>
        <w:rPr>
          <w:b/>
          <w:sz w:val="22"/>
        </w:rPr>
        <w:t>tre fasi evolutive distinte</w:t>
      </w:r>
      <w:r>
        <w:rPr>
          <w:sz w:val="22"/>
        </w:rPr>
        <w:t>, ciascuna costruita sulle fondamenta della precedente. L’avanzamento da una fase alla successiva non richiede una discontinuità del modello attuale, ma una sua espansione organica.</w:t>
      </w:r>
    </w:p>
    <w:p>
      <w:pPr>
        <w:spacing w:before="240" w:after="80"/>
      </w:pPr>
      <w:r>
        <w:rPr>
          <w:b/>
          <w:color w:val="2E75B6"/>
          <w:sz w:val="24"/>
        </w:rPr>
        <w:t>Fase 1 — Intermediazione documentale (Oggi)</w:t>
      </w:r>
    </w:p>
    <w:p>
      <w:pPr>
        <w:spacing w:after="140"/>
        <w:jc w:val="both"/>
      </w:pPr>
      <w:r>
        <w:rPr>
          <w:sz w:val="22"/>
        </w:rPr>
        <w:t xml:space="preserve">La piattaforma opera come </w:t>
      </w:r>
      <w:r>
        <w:rPr>
          <w:b/>
          <w:sz w:val="22"/>
        </w:rPr>
        <w:t>broker digitale puro</w:t>
      </w:r>
      <w:r>
        <w:rPr>
          <w:sz w:val="22"/>
        </w:rPr>
        <w:t xml:space="preserve"> tra dealer e agenzie pratiche esistenti. Il valore creato è operativo: documenti sempre completi, processo semplificato, corsia preferenziale per il cliente finale. La </w:t>
      </w:r>
      <w:r>
        <w:rPr>
          <w:b/>
          <w:sz w:val="22"/>
        </w:rPr>
        <w:t>raccolta dati avviene in background</w:t>
      </w:r>
      <w:r>
        <w:rPr>
          <w:sz w:val="22"/>
        </w:rPr>
        <w:t xml:space="preserve"> in modo organico attraverso le normali operazioni della piattaforma.</w:t>
      </w:r>
    </w:p>
    <w:tbl>
      <w:tblPr>
        <w:tblW w:type="auto" w:w="0"/>
        <w:jc w:val="left"/>
        <w:tblLook w:firstColumn="1" w:firstRow="1" w:lastColumn="0" w:lastRow="0" w:noHBand="0" w:noVBand="1" w:val="04A0"/>
      </w:tblPr>
      <w:tblGrid>
        <w:gridCol w:w="2835"/>
        <w:gridCol w:w="2835"/>
        <w:gridCol w:w="2835"/>
      </w:tblGrid>
      <w:tr>
        <w:tc>
          <w:tcPr>
            <w:tcW w:type="dxa" w:w="3402"/>
            <w:shd w:val="clear" w:color="auto" w:fill="1A3C6E"/>
          </w:tcPr>
          <w:p>
            <w:pPr>
              <w:jc w:val="center"/>
            </w:pPr>
            <w:r>
              <w:rPr>
                <w:b/>
                <w:color w:val="FFFFFF"/>
                <w:sz w:val="20"/>
              </w:rPr>
              <w:t>Obiettivo Fase 1</w:t>
            </w:r>
          </w:p>
        </w:tc>
        <w:tc>
          <w:tcPr>
            <w:tcW w:type="dxa" w:w="3118"/>
            <w:shd w:val="clear" w:color="auto" w:fill="1A3C6E"/>
          </w:tcPr>
          <w:p>
            <w:pPr>
              <w:jc w:val="center"/>
            </w:pPr>
            <w:r>
              <w:rPr>
                <w:b/>
                <w:color w:val="FFFFFF"/>
                <w:sz w:val="20"/>
              </w:rPr>
              <w:t>Metrica target</w:t>
            </w:r>
          </w:p>
        </w:tc>
        <w:tc>
          <w:tcPr>
            <w:tcW w:type="dxa" w:w="2835"/>
            <w:shd w:val="clear" w:color="auto" w:fill="1A3C6E"/>
          </w:tcPr>
          <w:p>
            <w:pPr>
              <w:jc w:val="center"/>
            </w:pPr>
            <w:r>
              <w:rPr>
                <w:b/>
                <w:color w:val="FFFFFF"/>
                <w:sz w:val="20"/>
              </w:rPr>
              <w:t>Orizzonte</w:t>
            </w:r>
          </w:p>
        </w:tc>
      </w:tr>
      <w:tr>
        <w:tc>
          <w:tcPr>
            <w:tcW w:type="dxa" w:w="3402"/>
            <w:shd w:val="clear" w:color="auto" w:fill="F0F4F8"/>
          </w:tcPr>
          <w:p>
            <w:pPr>
              <w:jc w:val="left"/>
            </w:pPr>
            <w:r>
              <w:rPr>
                <w:sz w:val="20"/>
              </w:rPr>
              <w:t>Raggiungere 100 dealer attivi</w:t>
            </w:r>
          </w:p>
        </w:tc>
        <w:tc>
          <w:tcPr>
            <w:tcW w:type="dxa" w:w="3118"/>
            <w:shd w:val="clear" w:color="auto" w:fill="F0F4F8"/>
          </w:tcPr>
          <w:p>
            <w:pPr>
              <w:jc w:val="center"/>
            </w:pPr>
            <w:r>
              <w:rPr>
                <w:sz w:val="20"/>
              </w:rPr>
              <w:t>100 dealer registrati e operativi</w:t>
            </w:r>
          </w:p>
        </w:tc>
        <w:tc>
          <w:tcPr>
            <w:tcW w:type="dxa" w:w="2835"/>
            <w:shd w:val="clear" w:color="auto" w:fill="F0F4F8"/>
          </w:tcPr>
          <w:p>
            <w:pPr>
              <w:jc w:val="center"/>
            </w:pPr>
            <w:r>
              <w:rPr>
                <w:sz w:val="20"/>
              </w:rPr>
              <w:t>Anno 1</w:t>
            </w:r>
          </w:p>
        </w:tc>
      </w:tr>
      <w:tr>
        <w:tc>
          <w:tcPr>
            <w:tcW w:type="dxa" w:w="3402"/>
            <w:shd w:val="clear" w:color="auto" w:fill="FFFFFF"/>
          </w:tcPr>
          <w:p>
            <w:pPr>
              <w:jc w:val="left"/>
            </w:pPr>
            <w:r>
              <w:rPr>
                <w:sz w:val="20"/>
              </w:rPr>
              <w:t>Raggiungere 50 agenzie partner</w:t>
            </w:r>
          </w:p>
        </w:tc>
        <w:tc>
          <w:tcPr>
            <w:tcW w:type="dxa" w:w="3118"/>
            <w:shd w:val="clear" w:color="auto" w:fill="FFFFFF"/>
          </w:tcPr>
          <w:p>
            <w:pPr>
              <w:jc w:val="center"/>
            </w:pPr>
            <w:r>
              <w:rPr>
                <w:sz w:val="20"/>
              </w:rPr>
              <w:t>50 agenzie con almeno 5 pratiche/mese</w:t>
            </w:r>
          </w:p>
        </w:tc>
        <w:tc>
          <w:tcPr>
            <w:tcW w:type="dxa" w:w="2835"/>
            <w:shd w:val="clear" w:color="auto" w:fill="FFFFFF"/>
          </w:tcPr>
          <w:p>
            <w:pPr>
              <w:jc w:val="center"/>
            </w:pPr>
            <w:r>
              <w:rPr>
                <w:sz w:val="20"/>
              </w:rPr>
              <w:t>Anno 1</w:t>
            </w:r>
          </w:p>
        </w:tc>
      </w:tr>
      <w:tr>
        <w:tc>
          <w:tcPr>
            <w:tcW w:type="dxa" w:w="3402"/>
            <w:shd w:val="clear" w:color="auto" w:fill="F0F4F8"/>
          </w:tcPr>
          <w:p>
            <w:pPr>
              <w:jc w:val="left"/>
            </w:pPr>
            <w:r>
              <w:rPr>
                <w:sz w:val="20"/>
              </w:rPr>
              <w:t>5.000 pratiche processate</w:t>
            </w:r>
          </w:p>
        </w:tc>
        <w:tc>
          <w:tcPr>
            <w:tcW w:type="dxa" w:w="3118"/>
            <w:shd w:val="clear" w:color="auto" w:fill="F0F4F8"/>
          </w:tcPr>
          <w:p>
            <w:pPr>
              <w:jc w:val="center"/>
            </w:pPr>
            <w:r>
              <w:rPr>
                <w:sz w:val="20"/>
              </w:rPr>
              <w:t>5.000 pratiche completate</w:t>
            </w:r>
          </w:p>
        </w:tc>
        <w:tc>
          <w:tcPr>
            <w:tcW w:type="dxa" w:w="2835"/>
            <w:shd w:val="clear" w:color="auto" w:fill="F0F4F8"/>
          </w:tcPr>
          <w:p>
            <w:pPr>
              <w:jc w:val="center"/>
            </w:pPr>
            <w:r>
              <w:rPr>
                <w:sz w:val="20"/>
              </w:rPr>
              <w:t>Anno 1</w:t>
            </w:r>
          </w:p>
        </w:tc>
      </w:tr>
      <w:tr>
        <w:tc>
          <w:tcPr>
            <w:tcW w:type="dxa" w:w="3402"/>
            <w:shd w:val="clear" w:color="auto" w:fill="FFFFFF"/>
          </w:tcPr>
          <w:p>
            <w:pPr>
              <w:jc w:val="left"/>
            </w:pPr>
            <w:r>
              <w:rPr>
                <w:sz w:val="20"/>
              </w:rPr>
              <w:t>Database prezzi iniziale</w:t>
            </w:r>
          </w:p>
        </w:tc>
        <w:tc>
          <w:tcPr>
            <w:tcW w:type="dxa" w:w="3118"/>
            <w:shd w:val="clear" w:color="auto" w:fill="FFFFFF"/>
          </w:tcPr>
          <w:p>
            <w:pPr>
              <w:jc w:val="center"/>
            </w:pPr>
            <w:r>
              <w:rPr>
                <w:sz w:val="20"/>
              </w:rPr>
              <w:t>Almeno 30 listini caricati</w:t>
            </w:r>
          </w:p>
        </w:tc>
        <w:tc>
          <w:tcPr>
            <w:tcW w:type="dxa" w:w="2835"/>
            <w:shd w:val="clear" w:color="auto" w:fill="FFFFFF"/>
          </w:tcPr>
          <w:p>
            <w:pPr>
              <w:jc w:val="center"/>
            </w:pPr>
            <w:r>
              <w:rPr>
                <w:sz w:val="20"/>
              </w:rPr>
              <w:t>Anno 1</w:t>
            </w:r>
          </w:p>
        </w:tc>
      </w:tr>
      <w:tr>
        <w:tc>
          <w:tcPr>
            <w:tcW w:type="dxa" w:w="3402"/>
            <w:shd w:val="clear" w:color="auto" w:fill="F0F4F8"/>
          </w:tcPr>
          <w:p>
            <w:pPr>
              <w:jc w:val="left"/>
            </w:pPr>
            <w:r>
              <w:rPr>
                <w:sz w:val="20"/>
              </w:rPr>
              <w:t>Sistema valutazioni operativo</w:t>
            </w:r>
          </w:p>
        </w:tc>
        <w:tc>
          <w:tcPr>
            <w:tcW w:type="dxa" w:w="3118"/>
            <w:shd w:val="clear" w:color="auto" w:fill="F0F4F8"/>
          </w:tcPr>
          <w:p>
            <w:pPr>
              <w:jc w:val="center"/>
            </w:pPr>
            <w:r>
              <w:rPr>
                <w:sz w:val="20"/>
              </w:rPr>
              <w:t>Rating disponibile per tutte le agenzie attive</w:t>
            </w:r>
          </w:p>
        </w:tc>
        <w:tc>
          <w:tcPr>
            <w:tcW w:type="dxa" w:w="2835"/>
            <w:shd w:val="clear" w:color="auto" w:fill="F0F4F8"/>
          </w:tcPr>
          <w:p>
            <w:pPr>
              <w:jc w:val="center"/>
            </w:pPr>
            <w:r>
              <w:rPr>
                <w:sz w:val="20"/>
              </w:rPr>
              <w:t>Anno 1</w:t>
            </w:r>
          </w:p>
        </w:tc>
      </w:tr>
    </w:tbl>
    <w:p>
      <w:pPr>
        <w:spacing w:after="60"/>
      </w:pPr>
    </w:p>
    <w:p>
      <w:pPr>
        <w:spacing w:before="240" w:after="80"/>
      </w:pPr>
      <w:r>
        <w:rPr>
          <w:b/>
          <w:color w:val="2E75B6"/>
          <w:sz w:val="24"/>
        </w:rPr>
        <w:t>Fase 2 — Intelligence di mercato e standard di qualità (Anno 2-3)</w:t>
      </w:r>
    </w:p>
    <w:p>
      <w:pPr>
        <w:spacing w:after="140"/>
        <w:jc w:val="both"/>
      </w:pPr>
      <w:r>
        <w:rPr>
          <w:sz w:val="22"/>
        </w:rPr>
        <w:t xml:space="preserve">Con il database prezzi costruito nella Fase 1, Trapasso Facile introduce un sistema di </w:t>
      </w:r>
      <w:r>
        <w:rPr>
          <w:b/>
          <w:sz w:val="22"/>
        </w:rPr>
        <w:t>certificazione volontaria</w:t>
      </w:r>
      <w:r>
        <w:rPr>
          <w:sz w:val="22"/>
        </w:rPr>
        <w:t xml:space="preserve"> per le agenzie partner. Le agenzie che aderiscono agli standard di prezzo e qualità Trapasso Facile ricevono un </w:t>
      </w:r>
      <w:r>
        <w:rPr>
          <w:b/>
          <w:sz w:val="22"/>
        </w:rPr>
        <w:t>badge certificato visibile ai dealer</w:t>
      </w:r>
      <w:r>
        <w:rPr>
          <w:sz w:val="22"/>
        </w:rPr>
        <w:t>, accesso prioritario alle pratiche e condizioni economiche migliorate.</w:t>
      </w:r>
    </w:p>
    <w:p>
      <w:pPr>
        <w:spacing w:after="140"/>
        <w:jc w:val="both"/>
      </w:pPr>
      <w:r>
        <w:rPr>
          <w:sz w:val="22"/>
        </w:rPr>
        <w:t xml:space="preserve">In questa fase la piattaforma pubblica il primo </w:t>
      </w:r>
      <w:r>
        <w:rPr>
          <w:b/>
          <w:sz w:val="22"/>
        </w:rPr>
        <w:t>Osservatorio Prezzi Trapasso Facile</w:t>
      </w:r>
      <w:r>
        <w:rPr>
          <w:sz w:val="22"/>
        </w:rPr>
        <w:t xml:space="preserve"> — report semestrale sui prezzi medi dei passaggi di proprietà in Italia per regione e tipologia. Questo posiziona Trapasso Facile come </w:t>
      </w:r>
      <w:r>
        <w:rPr>
          <w:b/>
          <w:sz w:val="22"/>
        </w:rPr>
        <w:t>autorità di riferimento del settore</w:t>
      </w:r>
      <w:r>
        <w:rPr>
          <w:sz w:val="22"/>
        </w:rPr>
        <w:t>, con impatto diretto sulla capacità di attrarre nuove agenzie e nuovi dealer.</w:t>
      </w:r>
    </w:p>
    <w:p>
      <w:pPr>
        <w:spacing w:before="240" w:after="80"/>
      </w:pPr>
      <w:r>
        <w:rPr>
          <w:b/>
          <w:color w:val="2E75B6"/>
          <w:sz w:val="24"/>
        </w:rPr>
        <w:t>Fase 3 — Agenzie branded Trapasso Facile (Anno 3+)</w:t>
      </w:r>
    </w:p>
    <w:p>
      <w:pPr>
        <w:spacing w:after="140"/>
        <w:jc w:val="both"/>
      </w:pPr>
      <w:r>
        <w:rPr>
          <w:sz w:val="22"/>
        </w:rPr>
        <w:t xml:space="preserve">Scenario di lungo termine: se la piattaforma raggiunge massa critica sufficiente a imporre standard di mercato, si apre la possibilità di lanciare </w:t>
      </w:r>
      <w:r>
        <w:rPr>
          <w:b/>
          <w:sz w:val="22"/>
        </w:rPr>
        <w:t>agenzie branded Trapasso Facile</w:t>
      </w:r>
      <w:r>
        <w:rPr>
          <w:sz w:val="22"/>
        </w:rPr>
        <w:t xml:space="preserve">. Queste agenzie operano esclusivamente o prevalentemente sul sistema Trapasso Facile, applicano un </w:t>
      </w:r>
      <w:r>
        <w:rPr>
          <w:b/>
          <w:sz w:val="22"/>
        </w:rPr>
        <w:t>listino prezzi standardizzato nazionale</w:t>
      </w:r>
      <w:r>
        <w:rPr>
          <w:sz w:val="22"/>
        </w:rPr>
        <w:t xml:space="preserve">, e consentono il </w:t>
      </w:r>
      <w:r>
        <w:rPr>
          <w:b/>
          <w:sz w:val="22"/>
        </w:rPr>
        <w:t>pagamento diretto della pratica in piattaforma</w:t>
      </w:r>
      <w:r>
        <w:rPr>
          <w:sz w:val="22"/>
        </w:rPr>
        <w:t>.</w:t>
      </w:r>
    </w:p>
    <w:p>
      <w:pPr>
        <w:spacing w:after="140"/>
        <w:jc w:val="both"/>
      </w:pPr>
      <w:r>
        <w:rPr>
          <w:sz w:val="22"/>
        </w:rPr>
        <w:t xml:space="preserve">In questo scenario il modello di revenue evolve: da fee per pratica ricevuta dall’agenzia, a </w:t>
      </w:r>
      <w:r>
        <w:rPr>
          <w:b/>
          <w:sz w:val="22"/>
        </w:rPr>
        <w:t>revenue share sul pagamento completo</w:t>
      </w:r>
      <w:r>
        <w:rPr>
          <w:sz w:val="22"/>
        </w:rPr>
        <w:t xml:space="preserve"> della pratica processato in piattaforma. Il cliente paga tutto — bolli, IPT, tariffa agenzia, maggiorazione — direttamente sulla piattaforma Trapasso Facile. </w:t>
      </w:r>
      <w:r>
        <w:rPr>
          <w:b/>
          <w:sz w:val="22"/>
        </w:rPr>
        <w:t>Modello analogo a quello di Facile.it</w:t>
      </w:r>
      <w:r>
        <w:rPr>
          <w:sz w:val="22"/>
        </w:rPr>
        <w:t xml:space="preserve"> nel mondo assicurativo: da comparatore a produttore diretto.</w:t>
      </w:r>
    </w:p>
    <w:tbl>
      <w:tblPr>
        <w:tblW w:type="auto" w:w="0"/>
        <w:jc w:val="left"/>
        <w:tblLook w:firstColumn="1" w:firstRow="1" w:lastColumn="0" w:lastRow="0" w:noHBand="0" w:noVBand="1" w:val="04A0"/>
      </w:tblPr>
      <w:tblGrid>
        <w:gridCol w:w="2126"/>
        <w:gridCol w:w="2126"/>
        <w:gridCol w:w="2126"/>
        <w:gridCol w:w="2126"/>
      </w:tblGrid>
      <w:tr>
        <w:tc>
          <w:tcPr>
            <w:tcW w:type="dxa" w:w="1417"/>
            <w:shd w:val="clear" w:color="auto" w:fill="1A3C6E"/>
          </w:tcPr>
          <w:p>
            <w:pPr>
              <w:jc w:val="center"/>
            </w:pPr>
            <w:r>
              <w:rPr>
                <w:b/>
                <w:color w:val="FFFFFF"/>
                <w:sz w:val="20"/>
              </w:rPr>
              <w:t>Fase</w:t>
            </w:r>
          </w:p>
        </w:tc>
        <w:tc>
          <w:tcPr>
            <w:tcW w:type="dxa" w:w="2835"/>
            <w:shd w:val="clear" w:color="auto" w:fill="1A3C6E"/>
          </w:tcPr>
          <w:p>
            <w:pPr>
              <w:jc w:val="center"/>
            </w:pPr>
            <w:r>
              <w:rPr>
                <w:b/>
                <w:color w:val="FFFFFF"/>
                <w:sz w:val="20"/>
              </w:rPr>
              <w:t>Modello revenue</w:t>
            </w:r>
          </w:p>
        </w:tc>
        <w:tc>
          <w:tcPr>
            <w:tcW w:type="dxa" w:w="3118"/>
            <w:shd w:val="clear" w:color="auto" w:fill="1A3C6E"/>
          </w:tcPr>
          <w:p>
            <w:pPr>
              <w:jc w:val="center"/>
            </w:pPr>
            <w:r>
              <w:rPr>
                <w:b/>
                <w:color w:val="FFFFFF"/>
                <w:sz w:val="20"/>
              </w:rPr>
              <w:t>Posizionamento</w:t>
            </w:r>
          </w:p>
        </w:tc>
        <w:tc>
          <w:tcPr>
            <w:tcW w:type="dxa" w:w="1984"/>
            <w:shd w:val="clear" w:color="auto" w:fill="1A3C6E"/>
          </w:tcPr>
          <w:p>
            <w:pPr>
              <w:jc w:val="center"/>
            </w:pPr>
            <w:r>
              <w:rPr>
                <w:b/>
                <w:color w:val="FFFFFF"/>
                <w:sz w:val="20"/>
              </w:rPr>
              <w:t>Orizzonte</w:t>
            </w:r>
          </w:p>
        </w:tc>
      </w:tr>
      <w:tr>
        <w:tc>
          <w:tcPr>
            <w:tcW w:type="dxa" w:w="1417"/>
            <w:shd w:val="clear" w:color="auto" w:fill="F0F4F8"/>
          </w:tcPr>
          <w:p>
            <w:pPr>
              <w:jc w:val="left"/>
            </w:pPr>
            <w:r>
              <w:rPr>
                <w:sz w:val="20"/>
              </w:rPr>
              <w:t>Fase 1</w:t>
            </w:r>
          </w:p>
        </w:tc>
        <w:tc>
          <w:tcPr>
            <w:tcW w:type="dxa" w:w="2835"/>
            <w:shd w:val="clear" w:color="auto" w:fill="F0F4F8"/>
          </w:tcPr>
          <w:p>
            <w:pPr>
              <w:jc w:val="center"/>
            </w:pPr>
            <w:r>
              <w:rPr>
                <w:sz w:val="20"/>
              </w:rPr>
              <w:t>Fee per pratica all’agenzia</w:t>
            </w:r>
          </w:p>
        </w:tc>
        <w:tc>
          <w:tcPr>
            <w:tcW w:type="dxa" w:w="3118"/>
            <w:shd w:val="clear" w:color="auto" w:fill="F0F4F8"/>
          </w:tcPr>
          <w:p>
            <w:pPr>
              <w:jc w:val="center"/>
            </w:pPr>
            <w:r>
              <w:rPr>
                <w:sz w:val="20"/>
              </w:rPr>
              <w:t>Broker digitale</w:t>
            </w:r>
          </w:p>
        </w:tc>
        <w:tc>
          <w:tcPr>
            <w:tcW w:type="dxa" w:w="1984"/>
            <w:shd w:val="clear" w:color="auto" w:fill="F0F4F8"/>
          </w:tcPr>
          <w:p>
            <w:pPr>
              <w:jc w:val="center"/>
            </w:pPr>
            <w:r>
              <w:rPr>
                <w:sz w:val="20"/>
              </w:rPr>
              <w:t>Anno 1</w:t>
            </w:r>
          </w:p>
        </w:tc>
      </w:tr>
      <w:tr>
        <w:tc>
          <w:tcPr>
            <w:tcW w:type="dxa" w:w="1417"/>
            <w:shd w:val="clear" w:color="auto" w:fill="FFFFFF"/>
          </w:tcPr>
          <w:p>
            <w:pPr>
              <w:jc w:val="left"/>
            </w:pPr>
            <w:r>
              <w:rPr>
                <w:sz w:val="20"/>
              </w:rPr>
              <w:t>Fase 2</w:t>
            </w:r>
          </w:p>
        </w:tc>
        <w:tc>
          <w:tcPr>
            <w:tcW w:type="dxa" w:w="2835"/>
            <w:shd w:val="clear" w:color="auto" w:fill="FFFFFF"/>
          </w:tcPr>
          <w:p>
            <w:pPr>
              <w:jc w:val="center"/>
            </w:pPr>
            <w:r>
              <w:rPr>
                <w:sz w:val="20"/>
              </w:rPr>
              <w:t>Fee + revenue da certificazione</w:t>
            </w:r>
          </w:p>
        </w:tc>
        <w:tc>
          <w:tcPr>
            <w:tcW w:type="dxa" w:w="3118"/>
            <w:shd w:val="clear" w:color="auto" w:fill="FFFFFF"/>
          </w:tcPr>
          <w:p>
            <w:pPr>
              <w:jc w:val="center"/>
            </w:pPr>
            <w:r>
              <w:rPr>
                <w:sz w:val="20"/>
              </w:rPr>
              <w:t>Standard di qualità del settore</w:t>
            </w:r>
          </w:p>
        </w:tc>
        <w:tc>
          <w:tcPr>
            <w:tcW w:type="dxa" w:w="1984"/>
            <w:shd w:val="clear" w:color="auto" w:fill="FFFFFF"/>
          </w:tcPr>
          <w:p>
            <w:pPr>
              <w:jc w:val="center"/>
            </w:pPr>
            <w:r>
              <w:rPr>
                <w:sz w:val="20"/>
              </w:rPr>
              <w:t>Anno 2-3</w:t>
            </w:r>
          </w:p>
        </w:tc>
      </w:tr>
      <w:tr>
        <w:tc>
          <w:tcPr>
            <w:tcW w:type="dxa" w:w="1417"/>
            <w:shd w:val="clear" w:color="auto" w:fill="F0F4F8"/>
          </w:tcPr>
          <w:p>
            <w:pPr>
              <w:jc w:val="left"/>
            </w:pPr>
            <w:r>
              <w:rPr>
                <w:sz w:val="20"/>
              </w:rPr>
              <w:t>Fase 3</w:t>
            </w:r>
          </w:p>
        </w:tc>
        <w:tc>
          <w:tcPr>
            <w:tcW w:type="dxa" w:w="2835"/>
            <w:shd w:val="clear" w:color="auto" w:fill="F0F4F8"/>
          </w:tcPr>
          <w:p>
            <w:pPr>
              <w:jc w:val="center"/>
            </w:pPr>
            <w:r>
              <w:rPr>
                <w:sz w:val="20"/>
              </w:rPr>
              <w:t>Revenue share sul pagamento completo</w:t>
            </w:r>
          </w:p>
        </w:tc>
        <w:tc>
          <w:tcPr>
            <w:tcW w:type="dxa" w:w="3118"/>
            <w:shd w:val="clear" w:color="auto" w:fill="F0F4F8"/>
          </w:tcPr>
          <w:p>
            <w:pPr>
              <w:jc w:val="center"/>
            </w:pPr>
            <w:r>
              <w:rPr>
                <w:sz w:val="20"/>
              </w:rPr>
              <w:t>Agenzia digitale proprietaria</w:t>
            </w:r>
          </w:p>
        </w:tc>
        <w:tc>
          <w:tcPr>
            <w:tcW w:type="dxa" w:w="1984"/>
            <w:shd w:val="clear" w:color="auto" w:fill="F0F4F8"/>
          </w:tcPr>
          <w:p>
            <w:pPr>
              <w:jc w:val="center"/>
            </w:pPr>
            <w:r>
              <w:rPr>
                <w:sz w:val="20"/>
              </w:rPr>
              <w:t>Anno 3+</w:t>
            </w:r>
          </w:p>
        </w:tc>
      </w:tr>
    </w:tbl>
    <w:p>
      <w:pPr>
        <w:spacing w:after="60"/>
      </w:pPr>
    </w:p>
    <w:p>
      <w:pPr>
        <w:spacing w:before="400" w:after="120"/>
        <w:pBdr>
          <w:bottom w:val="single" w:sz="10" w:space="1" w:color="1A3C6E"/>
        </w:pBdr>
      </w:pPr>
      <w:r>
        <w:rPr>
          <w:b/>
          <w:color w:val="1A3C6E"/>
          <w:sz w:val="26"/>
        </w:rPr>
        <w:t>5. PROTEZIONE E VANTAGGIO IN CASO DI EVOLUZIONE NORMATIVA</w:t>
      </w:r>
    </w:p>
    <w:p>
      <w:pPr>
        <w:spacing w:after="140"/>
        <w:jc w:val="both"/>
      </w:pPr>
      <w:r>
        <w:rPr>
          <w:sz w:val="22"/>
        </w:rPr>
        <w:t xml:space="preserve">Il settore delle agenzie pratiche auto </w:t>
      </w:r>
      <w:r>
        <w:rPr>
          <w:b/>
          <w:sz w:val="22"/>
        </w:rPr>
        <w:t>non è oggi regolato sui prezzi</w:t>
      </w:r>
      <w:r>
        <w:rPr>
          <w:sz w:val="22"/>
        </w:rPr>
        <w:t>. Non esiste un tariffario obbligatorio, non esiste un massimale legale sulla tariffa di servizio. Tuttavia, se la piattaforma cresce fino a diventare un player rilevante del mercato, l’attenzione regolatoria potrebbe aumentare — sia da parte del Ministero dei Trasporti che da parte delle associazioni dei consumatori.</w:t>
      </w:r>
    </w:p>
    <w:p>
      <w:pPr>
        <w:spacing w:after="140"/>
        <w:jc w:val="both"/>
      </w:pPr>
      <w:r>
        <w:rPr>
          <w:sz w:val="22"/>
        </w:rPr>
        <w:t xml:space="preserve">In questo scenario, Trapasso Facile si trova in una </w:t>
      </w:r>
      <w:r>
        <w:rPr>
          <w:b/>
          <w:sz w:val="22"/>
        </w:rPr>
        <w:t>posizione di vantaggio strutturale</w:t>
      </w:r>
      <w:r>
        <w:rPr>
          <w:sz w:val="22"/>
        </w:rPr>
        <w:t xml:space="preserve"> rispetto a qualsiasi altro operatore del mercato:</w:t>
      </w:r>
    </w:p>
    <w:p>
      <w:pPr>
        <w:pStyle w:val="ListBullet"/>
        <w:spacing w:after="80"/>
      </w:pPr>
      <w:r>
        <w:rPr>
          <w:sz w:val="22"/>
        </w:rPr>
        <w:t>Possiede il database più completo e aggiornato sui prezzi reali del settore.</w:t>
      </w:r>
    </w:p>
    <w:p>
      <w:pPr>
        <w:pStyle w:val="ListBullet"/>
        <w:spacing w:after="80"/>
      </w:pPr>
      <w:r>
        <w:rPr>
          <w:sz w:val="22"/>
        </w:rPr>
        <w:t>Ha già implementato volontariamente uno standard di trasparenza e qualità.</w:t>
      </w:r>
    </w:p>
    <w:p>
      <w:pPr>
        <w:pStyle w:val="ListBullet"/>
        <w:spacing w:after="80"/>
      </w:pPr>
      <w:r>
        <w:rPr>
          <w:sz w:val="22"/>
        </w:rPr>
        <w:t>Può essere il primo operatore a conformarsi a eventuali nuove norme, trasformando un obbligo regolatorio in un vantaggio competitivo.</w:t>
      </w:r>
    </w:p>
    <w:p>
      <w:pPr>
        <w:pStyle w:val="ListBullet"/>
        <w:spacing w:after="80"/>
      </w:pPr>
      <w:r>
        <w:rPr>
          <w:sz w:val="22"/>
        </w:rPr>
        <w:t>Può candidarsi come interlocutore privilegiato con le istituzioni nella definizione degli eventuali nuovi standard di settore.</w:t>
      </w:r>
    </w:p>
    <w:p>
      <w:pPr>
        <w:spacing w:after="140"/>
        <w:jc w:val="both"/>
      </w:pPr>
      <w:r>
        <w:rPr>
          <w:sz w:val="22"/>
        </w:rPr>
        <w:t xml:space="preserve">La raccolta sistematica dei dati di mercato non è quindi solo un vantaggio operativo immediato — </w:t>
      </w:r>
      <w:r>
        <w:rPr>
          <w:b/>
          <w:sz w:val="22"/>
        </w:rPr>
        <w:t>è una polizza di protezione strategica</w:t>
      </w:r>
      <w:r>
        <w:rPr>
          <w:sz w:val="22"/>
        </w:rPr>
        <w:t xml:space="preserve"> per qualsiasi evoluzione del quadro normativo futuro.</w:t>
      </w:r>
    </w:p>
    <w:p>
      <w:pPr>
        <w:spacing w:after="60"/>
      </w:pPr>
    </w:p>
    <w:p>
      <w:pPr>
        <w:spacing w:after="60"/>
      </w:pPr>
    </w:p>
    <w:p>
      <w:pPr>
        <w:pBdr>
          <w:bottom w:val="single" w:sz="4" w:space="1" w:color="AAAAAA"/>
        </w:pBdr>
      </w:pPr>
    </w:p>
    <w:p>
      <w:r>
        <w:rPr>
          <w:i/>
          <w:color w:val="666666"/>
          <w:sz w:val="18"/>
        </w:rPr>
        <w:t>Documento strategico riservato — Trapasso Facile — Alberto De Vivo — 2026. Non distribuire senza autorizzazione.</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66666"/>
        <w:sz w:val="16"/>
      </w:rPr>
      <w:t>Trapasso Facile — Visione Strategica &amp; Roadmap — Documento Riservato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