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Consequence-Weighted AI Evaluation Framework</w:t>
      </w:r>
    </w:p>
    <w:p>
      <w:pPr>
        <w:spacing w:before="200" w:after="400"/>
        <w:jc w:val="center"/>
      </w:pPr>
      <w:r>
        <w:rPr>
          <w:i/>
          <w:iCs/>
          <w:color w:val="666666"/>
          <w:sz w:val="28"/>
          <w:szCs w:val="28"/>
        </w:rPr>
        <w:t xml:space="preserve">Moving Beyond Accuracy to Assurance</w:t>
      </w:r>
    </w:p>
    <w:p>
      <w:pPr>
        <w:spacing w:before="800"/>
        <w:jc w:val="center"/>
      </w:pPr>
      <w:r>
        <w:rPr>
          <w:sz w:val="24"/>
          <w:szCs w:val="24"/>
        </w:rPr>
        <w:t xml:space="preserve">A Practical Framework for Enterprise AI Systems</w:t>
      </w:r>
    </w:p>
    <w:p>
      <w:pPr>
        <w:spacing w:before="400"/>
        <w:jc w:val="center"/>
      </w:pPr>
      <w:r>
        <w:rPr>
          <w:sz w:val="24"/>
          <w:szCs w:val="24"/>
        </w:rPr>
        <w:t xml:space="preserve">Saiprapul R. Thotapally</w:t>
      </w:r>
    </w:p>
    <w:p>
      <w:pPr>
        <w:spacing w:before="100"/>
        <w:jc w:val="center"/>
      </w:pPr>
      <w:r>
        <w:rPr>
          <w:color w:val="666666"/>
          <w:sz w:val="22"/>
          <w:szCs w:val="22"/>
        </w:rPr>
        <w:t xml:space="preserve">December 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Current AI evaluation metrics treat all errors equally. A 0.01% error on revenue and a 20% error on revenue both score as "wrong." This binary approach fails enterprises deploying AI in high-stakes environments where the consequence of an error matters as much as its occurrence.</w:t>
      </w:r>
    </w:p>
    <w:p>
      <w:pPr>
        <w:spacing w:after="200"/>
      </w:pPr>
      <w:r>
        <w:t xml:space="preserve">This document introduces a </w:t>
      </w:r>
      <w:r>
        <w:rPr>
          <w:b/>
          <w:bCs/>
        </w:rPr>
        <w:t xml:space="preserve">Consequence-Weighted Evaluation Framework</w:t>
      </w:r>
      <w:r>
        <w:t xml:space="preserve"> that addresses gaps in the current evaluation stack by adding metrics at the classification and execution layers—areas where existing tools provide limited coverage.</w:t>
      </w:r>
    </w:p>
    <w:p>
      <w:r>
        <w:br w:type="page"/>
      </w:r>
    </w:p>
    <w:p>
      <w:pPr>
        <w:pStyle w:val="Heading1"/>
      </w:pPr>
      <w:r>
        <w:t xml:space="preserve">1. The Three-Layer AI Failure Model</w:t>
      </w:r>
    </w:p>
    <w:p>
      <w:pPr>
        <w:spacing w:after="200"/>
      </w:pPr>
      <w:r>
        <w:t xml:space="preserve">AI systems in enterprise environments can fail at three distinct layers. Understanding where failures occur is essential to selecting the right evaluation metrics and tools.</w:t>
      </w:r>
    </w:p>
    <w:p>
      <w:pPr>
        <w:pStyle w:val="Heading2"/>
      </w:pPr>
      <w:r>
        <w:t xml:space="preserve">1.1 The Three Layers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808"/>
        <w:gridCol w:w="2652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Failure Type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Goes Wrong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r>
              <w:rPr>
                <w:b/>
                <w:bCs/>
              </w:rPr>
              <w:t xml:space="preserve">Layer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r>
              <w:t xml:space="preserve">Classification Drift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r>
              <w:t xml:space="preserve">Query routed to wrong oversight level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r>
              <w:t xml:space="preserve">High-stakes revenue query sent to auto-execute without review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</w:rPr>
              <w:t xml:space="preserve">Layer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Execution Errors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Model generates wrong answer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SQL query returns $8M instead of $10M revenue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</w:rPr>
              <w:t xml:space="preserve">Layer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Evaluation Gaps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Metrics don't weight by consequence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0.01% error on revenue scored same as 20% error</w:t>
            </w:r>
          </w:p>
        </w:tc>
      </w:tr>
    </w:tbl>
    <w:p>
      <w:pPr>
        <w:pStyle w:val="Heading2"/>
      </w:pPr>
      <w:r>
        <w:t xml:space="preserve">1.2 Where Existing Tools Focus</w:t>
      </w:r>
    </w:p>
    <w:p>
      <w:pPr>
        <w:spacing w:after="200"/>
      </w:pPr>
      <w:r>
        <w:t xml:space="preserve">Current evaluation tools primarily address </w:t>
      </w:r>
      <w:r>
        <w:rPr>
          <w:b/>
          <w:bCs/>
        </w:rPr>
        <w:t xml:space="preserve">Layer 3</w:t>
      </w:r>
      <w:r>
        <w:t xml:space="preserve">—measuring output quality after execution. They provide limited coverage for classification routing (Layer 1) and consequence-aware execution monitoring (Layer 2).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 1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 2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 3 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DeepEval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❌ 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⚠️ Binary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✅ Strong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RAGAS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jc w:val="center"/>
            </w:pPr>
            <w:r>
              <w:t xml:space="preserve">❌ 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jc w:val="center"/>
            </w:pPr>
            <w:r>
              <w:t xml:space="preserve">⚠️ Binary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✅ Strong (RAG)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Galileo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❌ 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⚠️ Drift alerts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✅ Strong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BIRD Benchmark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jc w:val="center"/>
            </w:pPr>
            <w:r>
              <w:t xml:space="preserve">❌ None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jc w:val="center"/>
            </w:pPr>
            <w:r>
              <w:t xml:space="preserve">⚠️ EX metric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⚠️ Partial</w:t>
            </w:r>
          </w:p>
        </w:tc>
      </w:tr>
    </w:tbl>
    <w:p>
      <w:pPr>
        <w:pStyle w:val="Heading2"/>
      </w:pPr>
      <w:r>
        <w:t xml:space="preserve">1.3 The Gap This Framework Addresses</w:t>
      </w:r>
    </w:p>
    <w:p>
      <w:pPr>
        <w:spacing w:after="200"/>
      </w:pPr>
      <w:r>
        <w:t xml:space="preserve">This framework </w:t>
      </w:r>
      <w:r>
        <w:rPr>
          <w:b/>
          <w:bCs/>
        </w:rPr>
        <w:t xml:space="preserve">does not replace</w:t>
      </w:r>
      <w:r>
        <w:t xml:space="preserve"> existing tools. Instead, it </w:t>
      </w:r>
      <w:r>
        <w:rPr>
          <w:b/>
          <w:bCs/>
        </w:rPr>
        <w:t xml:space="preserve">adds coverage at Layers 1 and 2</w:t>
      </w:r>
      <w:r>
        <w:t xml:space="preserve"> where current tools are weakest: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1 (Classification): </w:t>
      </w:r>
      <w:r>
        <w:t xml:space="preserve">Adds Classification Accuracy, Underclassification Rate, and Classification Drift Detection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2 (Execution): </w:t>
      </w:r>
      <w:r>
        <w:t xml:space="preserve">Adds Financial Materiality Score (FMS), Risk-Adjusted Confidence (RAC), and consequence-weighted loss functions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3 (Evaluation): </w:t>
      </w:r>
      <w:r>
        <w:t xml:space="preserve">Integrates with existing tools (DeepEval, RAGAS) via custom metrics</w:t>
      </w:r>
    </w:p>
    <w:p>
      <w:pPr>
        <w:spacing w:before="200" w:after="200"/>
      </w:pPr>
      <w:r>
        <w:rPr>
          <w:b/>
          <w:bCs/>
          <w:color w:val="1a365d"/>
        </w:rPr>
        <w:t xml:space="preserve">Key Insight: </w:t>
      </w:r>
      <w:r>
        <w:t xml:space="preserve">The most dangerous failure mode is not a wrong answer (Layer 2)—it's a wrong answer that bypasses review because it was misclassified as low-risk (Layer 1).</w:t>
      </w:r>
    </w:p>
    <w:p>
      <w:r>
        <w:br w:type="page"/>
      </w:r>
    </w:p>
    <w:p>
      <w:pPr>
        <w:pStyle w:val="Heading1"/>
      </w:pPr>
      <w:r>
        <w:t xml:space="preserve">2. Complete Formula Reference</w:t>
      </w:r>
    </w:p>
    <w:p>
      <w:pPr>
        <w:spacing w:after="200"/>
      </w:pPr>
      <w:r>
        <w:t xml:space="preserve">This section provides the mathematical definitions for all metrics in the framework, organized by the layer they address.</w:t>
      </w:r>
    </w:p>
    <w:p>
      <w:pPr>
        <w:pStyle w:val="Heading2"/>
      </w:pPr>
      <w:r>
        <w:t xml:space="preserve">2.1 Layer 1 Metrics: Classification &amp; Routing</w:t>
      </w:r>
    </w:p>
    <w:p>
      <w:pPr>
        <w:pStyle w:val="Heading3"/>
      </w:pPr>
      <w:r>
        <w:t xml:space="preserve">Classification Accuracy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Measure how often queries are routed to the correct oversight level.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Classification Accuracy = (Correctly Classified Queries) / (Total Queries)</w:t>
      </w:r>
    </w:p>
    <w:p>
      <w:pPr>
        <w:pStyle w:val="Heading3"/>
      </w:pPr>
      <w:r>
        <w:t xml:space="preserve">Underclassification Rate (CRITICAL)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 the most dangerous failure: high-criticality queries routed to low-oversight paths.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UCR = (HH queries routed to LL or HL) / (Total HH queries)</w:t>
      </w:r>
    </w:p>
    <w:p>
      <w:pPr>
        <w:spacing w:after="200"/>
      </w:pPr>
      <w:r>
        <w:rPr>
          <w:b/>
          <w:bCs/>
          <w:color w:val="cc0000"/>
        </w:rPr>
        <w:t xml:space="preserve">Warning: </w:t>
      </w:r>
      <w:r>
        <w:t xml:space="preserve">A system with 95% Classification Accuracy but 10% Underclassification Rate on Critical queries is unsafe. UCR must be monitored separately.</w:t>
      </w:r>
    </w:p>
    <w:p>
      <w:pPr>
        <w:pStyle w:val="Heading3"/>
      </w:pPr>
      <w:r>
        <w:t xml:space="preserve">Classification Drift Score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Detect when the classifier's accuracy degrades over time.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D_class = 1 - (Current Classification Accuracy / Baseline Accuracy)</w:t>
      </w:r>
    </w:p>
    <w:p>
      <w:pPr>
        <w:spacing w:after="200"/>
      </w:pPr>
      <w:r>
        <w:rPr>
          <w:b/>
          <w:bCs/>
        </w:rPr>
        <w:t xml:space="preserve">Trigger: </w:t>
      </w:r>
      <w:r>
        <w:t xml:space="preserve">Alert when D_class &gt; 0.05 (5% degradation from baseline).</w:t>
      </w:r>
    </w:p>
    <w:p>
      <w:pPr>
        <w:pStyle w:val="Heading2"/>
      </w:pPr>
      <w:r>
        <w:t xml:space="preserve">2.2 Layer 2 Metrics: Execution &amp; Consequence</w:t>
      </w:r>
    </w:p>
    <w:p>
      <w:pPr>
        <w:pStyle w:val="Heading3"/>
      </w:pPr>
      <w:r>
        <w:t xml:space="preserve">Financial Materiality Score (FMS)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Replace binary correctness with consequence-weighted accuracy.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FMS(q) = 1 - L_mat(q)</w:t>
      </w:r>
    </w:p>
    <w:p>
      <w:pPr>
        <w:spacing w:after="100"/>
      </w:pPr>
      <w:r>
        <w:t xml:space="preserve">Where the </w:t>
      </w:r>
      <w:r>
        <w:rPr>
          <w:b/>
          <w:bCs/>
        </w:rPr>
        <w:t xml:space="preserve">Materiality Loss</w:t>
      </w:r>
      <w:r>
        <w:t xml:space="preserve"> combines quantitative and qualitative errors: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L_mat(q) = w_quant × L_quant(q) + w_qual × L_qual(q)</w:t>
      </w:r>
    </w:p>
    <w:p>
      <w:pPr>
        <w:pStyle w:val="Heading3"/>
      </w:pPr>
      <w:r>
        <w:t xml:space="preserve">Quantitative Loss (L_quant)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Penalize numeric errors based on magnitude and materiality class.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E_r = |V_pred - V_gold| / max(|V_gold|, ε)  [Relative Error]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If E_r ≤ τ (tolerance):  L_quant = 0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If E_r &gt; τ (Critical):   L_quant = min(1, α_c × (E_r - τ)/(1 - τ))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If E_r &gt; τ (Operational): L_quant = min(1, α_o × (E_r - τ)/(1 - τ))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If E_r &gt; τ (Informational): L_quant = min(1, α_i × (E_r - τ)/(1 - τ))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Materiality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Penalty Multiplier (α)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Default Tolerance (τ)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α_c = 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0.5%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α_o = 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Informational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α_i = 0.5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10%</w:t>
            </w:r>
          </w:p>
        </w:tc>
      </w:tr>
    </w:tbl>
    <w:p>
      <w:pPr>
        <w:pStyle w:val="Heading3"/>
      </w:pPr>
      <w:r>
        <w:t xml:space="preserve">Qualitative Loss (L_qual)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Measure whether the AI used the right logic, not just whether it got the right answer by accident.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L_qual(q) = 1 - sim(Intent(q), Semantics(SQL_pred))</w:t>
      </w:r>
    </w:p>
    <w:p>
      <w:pPr>
        <w:spacing w:after="200"/>
      </w:pPr>
      <w:r>
        <w:t xml:space="preserve">Where </w:t>
      </w:r>
      <w:r>
        <w:rPr>
          <w:i/>
          <w:iCs/>
        </w:rPr>
        <w:t xml:space="preserve">sim</w:t>
      </w:r>
      <w:r>
        <w:t xml:space="preserve"> is computed via LLM-as-judge or embedding similarity between the user's intent and the generated SQL's semantic meaning.</w:t>
      </w:r>
    </w:p>
    <w:p>
      <w:pPr>
        <w:pStyle w:val="Heading3"/>
      </w:pPr>
      <w:r>
        <w:t xml:space="preserve">Risk-Adjusted Confidence (RAC)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Depress confidence on high-stakes queries to force human review even when the model thinks it's right.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RAC(q) = C_model(q) × γ_mat(q) × γ_complexity(q)</w:t>
      </w:r>
    </w:p>
    <w:p>
      <w:pPr>
        <w:spacing w:after="200"/>
      </w:pPr>
      <w:r>
        <w:t xml:space="preserve">Where: γ_mat = 0.7 for Critical, 0.85 for Operational, 1.0 for Informational. γ_complexity decreases for multi-join queries, subqueries, window functions, etc.</w:t>
      </w:r>
    </w:p>
    <w:p>
      <w:pPr>
        <w:pStyle w:val="Heading3"/>
      </w:pPr>
      <w:r>
        <w:t xml:space="preserve">Enterprise Trust Score (ETS)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Aggregate FMS across all queries, weighted by strategic importance.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ETS = Σ(w_q × FMS_q) / Σ(w_q)</w:t>
      </w:r>
    </w:p>
    <w:p>
      <w:pPr>
        <w:spacing w:after="200"/>
      </w:pPr>
      <w:r>
        <w:t xml:space="preserve">Where w_q reflects query frequency, business criticality, and requesting user's role.</w:t>
      </w:r>
    </w:p>
    <w:p>
      <w:r>
        <w:br w:type="page"/>
      </w:r>
    </w:p>
    <w:p>
      <w:pPr>
        <w:pStyle w:val="Heading2"/>
      </w:pPr>
      <w:r>
        <w:t xml:space="preserve">2.3 Drift Detection Metrics (All Layers)</w:t>
      </w:r>
    </w:p>
    <w:p>
      <w:pPr>
        <w:pStyle w:val="Heading3"/>
      </w:pPr>
      <w:r>
        <w:t xml:space="preserve">Four-Dimensional Drift Model</w:t>
      </w:r>
    </w:p>
    <w:p>
      <w:pPr>
        <w:spacing w:after="200"/>
      </w:pPr>
      <w:r>
        <w:t xml:space="preserve">AI systems can drift in four dimensions. Each requires different detection methods.</w:t>
      </w:r>
    </w:p>
    <w:p>
      <w:pPr>
        <w:spacing w:after="100"/>
      </w:pPr>
      <w:r>
        <w:rPr>
          <w:b/>
          <w:bCs/>
        </w:rPr>
        <w:t xml:space="preserve">Schema Drift (D_S):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D_S = |Schema_t △ Schema_(t-1)| / |Schema_(t-1)|</w:t>
      </w:r>
    </w:p>
    <w:p>
      <w:pPr>
        <w:spacing w:after="200"/>
      </w:pPr>
      <w:r>
        <w:t xml:space="preserve">Where △ is symmetric difference (added + removed tables/columns).</w:t>
      </w:r>
    </w:p>
    <w:p>
      <w:pPr>
        <w:spacing w:after="100"/>
      </w:pPr>
      <w:r>
        <w:rPr>
          <w:b/>
          <w:bCs/>
        </w:rPr>
        <w:t xml:space="preserve">Semantic Drift (D_Sem):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D_Sem = 1 - cos(e_t, e_(t-1))</w:t>
      </w:r>
    </w:p>
    <w:p>
      <w:pPr>
        <w:spacing w:after="200"/>
      </w:pPr>
      <w:r>
        <w:t xml:space="preserve">Where e is the embedding of business definitions (e.g., what "Active Customer" means). Detects when business logic changes without schema changes.</w:t>
      </w:r>
    </w:p>
    <w:p>
      <w:pPr>
        <w:spacing w:after="100"/>
      </w:pPr>
      <w:r>
        <w:rPr>
          <w:b/>
          <w:bCs/>
        </w:rPr>
        <w:t xml:space="preserve">Statistical Drift (D_Stat):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D_Stat = PSI(P_t, P_(t-1)) = Σ(P_t^i - P_(t-1)^i) × ln(P_t^i / P_(t-1)^i)</w:t>
      </w:r>
    </w:p>
    <w:p>
      <w:pPr>
        <w:spacing w:after="200"/>
      </w:pPr>
      <w:r>
        <w:t xml:space="preserve">Population Stability Index (PSI) measures distribution shift in underlying data.</w:t>
      </w:r>
    </w:p>
    <w:p>
      <w:pPr>
        <w:spacing w:after="100"/>
      </w:pPr>
      <w:r>
        <w:rPr>
          <w:b/>
          <w:bCs/>
        </w:rPr>
        <w:t xml:space="preserve">Intent Drift (D_I):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D_I = |New query clusters| / |Total queries in period|</w:t>
      </w:r>
    </w:p>
    <w:p>
      <w:pPr>
        <w:spacing w:after="200"/>
      </w:pPr>
      <w:r>
        <w:t xml:space="preserve">Measures whether users are asking new types of questions the system wasn't designed for.</w:t>
      </w:r>
    </w:p>
    <w:p>
      <w:pPr>
        <w:spacing w:after="100"/>
      </w:pPr>
      <w:r>
        <w:rPr>
          <w:b/>
          <w:bCs/>
        </w:rPr>
        <w:t xml:space="preserve">Composite Drift Score: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D_total = Σ w_d × D_d × 𝟙[D_d &gt; τ_d]</w:t>
      </w:r>
    </w:p>
    <w:p>
      <w:pPr>
        <w:spacing w:after="200"/>
      </w:pPr>
      <w:r>
        <w:t xml:space="preserve">Only counts drift that exceeds noise thresholds. The indicator function 𝟙 prevents false alarms from normal variance.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Drift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Threshold (τ)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 (w)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 (D_S)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&gt; 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Trigger repair agent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Semantic (D_Sem)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jc w:val="center"/>
            </w:pPr>
            <w:r>
              <w:t xml:space="preserve">&gt; 0.15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jc w:val="center"/>
            </w:pPr>
            <w:r>
              <w:t xml:space="preserve">0.3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Flag Golden Set for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Statistical (D_Stat)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PSI &gt; 0.25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Alert data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Intent (D_I)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jc w:val="center"/>
            </w:pPr>
            <w:r>
              <w:t xml:space="preserve">&gt; 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pPr>
              <w:jc w:val="center"/>
            </w:pPr>
            <w:r>
              <w:t xml:space="preserve">0.2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Add to AL queue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Behavioral Trust Metrics</w:t>
      </w:r>
    </w:p>
    <w:p>
      <w:pPr>
        <w:pStyle w:val="Heading3"/>
      </w:pPr>
      <w:r>
        <w:t xml:space="preserve">Verification Overhead Score (VOS)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Measure implicit user trust through interaction behavior, replacing survey-based measurement.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VOS = (T_dwell - T_expected) / T_expected</w:t>
      </w:r>
    </w:p>
    <w:p>
      <w:pPr>
        <w:spacing w:after="200"/>
      </w:pPr>
      <w:r>
        <w:t xml:space="preserve">Where T_dwell is actual time on result, T_expected is estimated reading time (~250 words/min + table scanning).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VOS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VOS ≈ 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User consumed and moved on (high trust)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VOS &gt;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t xml:space="preserve">User spent 2x expected time (verifying, skeptical)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r>
              <w:t xml:space="preserve">VOS &gt; 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r>
              <w:t xml:space="preserve">User likely cross-checking elsewhere (low trust)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Refined VOS with interaction signals: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VOS_refined = VOS + β₁ × 𝟙[reformulated] + β₂ × 𝟙[exported]</w:t>
      </w:r>
    </w:p>
    <w:p>
      <w:pPr>
        <w:spacing w:after="200"/>
      </w:pPr>
      <w:r>
        <w:t xml:space="preserve">Where reformulation (asking the same question differently) and data export (to verify in Excel) are strong distrust signals.</w:t>
      </w:r>
    </w:p>
    <w:p>
      <w:pPr>
        <w:pStyle w:val="Heading3"/>
      </w:pPr>
      <w:r>
        <w:t xml:space="preserve">Trust Calibration Error (TCE)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Detect gap between model confidence and actual correctness, weighted by materiality.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TCE = (1/|Q|) × Σ w_mat(q) × |C_q - A_q|</w:t>
      </w:r>
    </w:p>
    <w:p>
      <w:pPr>
        <w:spacing w:after="200"/>
      </w:pPr>
      <w:r>
        <w:t xml:space="preserve">Where C_q is model confidence (0-1), A_q is actual correctness (1 if materially correct, 0 if not), and w_mat is materiality weight.</w:t>
      </w:r>
    </w:p>
    <w:p>
      <w:pPr>
        <w:spacing w:after="200"/>
      </w:pPr>
      <w:r>
        <w:rPr>
          <w:b/>
          <w:bCs/>
        </w:rPr>
        <w:t xml:space="preserve">Critical Use: </w:t>
      </w:r>
      <w:r>
        <w:t xml:space="preserve">A model that's 95% confident on Critical queries but only 70% correct is dangerously miscalibrated. TCE catches this.</w:t>
      </w:r>
    </w:p>
    <w:p>
      <w:r>
        <w:br w:type="page"/>
      </w:r>
    </w:p>
    <w:p>
      <w:pPr>
        <w:pStyle w:val="Heading1"/>
      </w:pPr>
      <w:r>
        <w:t xml:space="preserve">3. Integration with Existing Tools</w:t>
      </w:r>
    </w:p>
    <w:p>
      <w:pPr>
        <w:spacing w:after="200"/>
      </w:pPr>
      <w:r>
        <w:t xml:space="preserve">This framework is designed to </w:t>
      </w:r>
      <w:r>
        <w:rPr>
          <w:b/>
          <w:bCs/>
        </w:rPr>
        <w:t xml:space="preserve">extend, not replace</w:t>
      </w:r>
      <w:r>
        <w:t xml:space="preserve"> existing evaluation tools. Here's how to integrate with the major platforms.</w:t>
      </w:r>
    </w:p>
    <w:p>
      <w:pPr>
        <w:pStyle w:val="Heading2"/>
      </w:pPr>
      <w:r>
        <w:t xml:space="preserve">3.1 DeepEval Integration</w:t>
      </w:r>
    </w:p>
    <w:p>
      <w:pPr>
        <w:spacing w:after="200"/>
      </w:pPr>
      <w:r>
        <w:t xml:space="preserve">Implement FMS as a custom DeepEval metric that runs alongside existing metrics.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from deepeval.metrics import BaseMetric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from deepeval.test_case import LLMTestCase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class MaterialityMetric(BaseMetric):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materiality_config, threshold=0.7):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self.config = materiality_config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self.threshold = threshold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def measure(self, test_case: LLMTestCase):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# 1. Infer materiality class from query metadata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# 2. Compute L_quant and L_qual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    # 3. Return FMS = 1 - L_mat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self.score</w:t>
      </w:r>
    </w:p>
    <w:p>
      <w:pPr>
        <w:pStyle w:val="Heading2"/>
      </w:pPr>
      <w:r>
        <w:t xml:space="preserve">3.2 Metric Layering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Use Existing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Add From This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 1 (Classification)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Classification Accuracy, UCR, Classification Drift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Layer 2 (Execution)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Execution Accuracy (EX)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FMS, RAC, 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Layer 3 (Evaluation)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DeepEval (50+ metrics), RAGAS, Galileo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VOS, TCE (trust calibration)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Galileo (observability)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Four-dimensional drift (D_S, D_Sem, D_Stat, D_I)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Summary: Metrics at a Glance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When Used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1 - (w_quant × L_quant + w_qual × L_qual)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Every query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Σ(w_q × FMS_q) / Σ(w_q)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Model comparison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C_model × γ_mat × γ_complexity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Runtime routing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VOS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(T_dwell - T_expected) / T_expected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Post-response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(1/|Q|) × Σ w_mat × |C - A|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 tuning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rPr>
                <w:b/>
                <w:bCs/>
              </w:rPr>
              <w:t xml:space="preserve">D_total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Σ w_d × D_d × 𝟙[D_d &gt; τ_d]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</w:tcPr>
          <w:p>
            <w:r>
              <w:t xml:space="preserve">Background monitoring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UCR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(HH→Low) / (Total HH)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Safety monitoring</w:t>
            </w:r>
          </w:p>
        </w:tc>
      </w:tr>
    </w:tbl>
    <w:p>
      <w:pPr>
        <w:pStyle w:val="Heading2"/>
      </w:pPr>
      <w:r>
        <w:t xml:space="preserve">4.1 The Core Insight</w:t>
      </w:r>
    </w:p>
    <w:p>
      <w:pPr>
        <w:spacing w:after="200"/>
      </w:pPr>
      <w:r>
        <w:rPr>
          <w:b/>
          <w:bCs/>
        </w:rPr>
        <w:t xml:space="preserve">Current state: </w:t>
      </w:r>
      <w:r>
        <w:t xml:space="preserve">"Did the AI get it right?"</w:t>
      </w:r>
    </w:p>
    <w:p>
      <w:pPr>
        <w:spacing w:after="200"/>
      </w:pPr>
      <w:r>
        <w:rPr>
          <w:b/>
          <w:bCs/>
        </w:rPr>
        <w:t xml:space="preserve">This framework: </w:t>
      </w:r>
      <w:r>
        <w:t xml:space="preserve">"Did the AI get it right </w:t>
      </w:r>
      <w:r>
        <w:rPr>
          <w:i/>
          <w:iCs/>
        </w:rPr>
        <w:t xml:space="preserve">where it matters</w:t>
      </w:r>
      <w:r>
        <w:t xml:space="preserve">?"</w:t>
      </w:r>
    </w:p>
    <w:p>
      <w:pPr>
        <w:spacing w:before="200" w:after="200"/>
      </w:pPr>
      <w:r>
        <w:t xml:space="preserve">The framework enables a shift from binary accuracy to consequence-weighted evaluation, from reactive failure detection to proactive drift monitoring, and from explicit surveys to implicit behavioral trust measurement—all while integrating with the existing evaluation toolchain.</w:t>
      </w:r>
    </w:p>
    <w:p>
      <w:pPr>
        <w:pStyle w:val="Heading1"/>
      </w:pPr>
      <w:r>
        <w:t xml:space="preserve">References</w:t>
      </w:r>
    </w:p>
    <w:p>
      <w:pPr>
        <w:spacing w:after="100"/>
      </w:pPr>
      <w:r>
        <w:t xml:space="preserve">[1] Thotapally, S.R. (2024). "Leveraging the Complexity and Criticality Matrix as a Governance Framework for Compliance in Generative AI Systems." IRJET, Vol. 11, Issue 12.</w:t>
      </w:r>
    </w:p>
    <w:p>
      <w:pPr>
        <w:spacing w:after="100"/>
      </w:pPr>
      <w:r>
        <w:t xml:space="preserve">[2] ISA 320 - Materiality in Planning and Performing an Audit. International Auditing Standards.</w:t>
      </w:r>
    </w:p>
    <w:p>
      <w:pPr>
        <w:spacing w:after="100"/>
      </w:pPr>
      <w:r>
        <w:t xml:space="preserve">[3] SEC Staff Accounting Bulletin No. 99 - Materiality.</w:t>
      </w:r>
    </w:p>
    <w:p>
      <w:pPr>
        <w:spacing w:after="100"/>
      </w:pPr>
      <w:r>
        <w:t xml:space="preserve">[4] DeepEval Documentation. https://deepeval.com</w:t>
      </w:r>
    </w:p>
    <w:p>
      <w:pPr>
        <w:spacing w:after="100"/>
      </w:pPr>
      <w:r>
        <w:t xml:space="preserve">[5] BIRD Benchmark. https://bird-bench.github.io/</w:t>
      </w:r>
    </w:p>
    <w:p>
      <w:pPr>
        <w:spacing w:after="100"/>
      </w:pPr>
      <w:r>
        <w:t xml:space="preserve">[6] NIST AI Risk Management Framework (AI RMF).</w:t>
      </w:r>
    </w:p>
    <w:p>
      <w:pPr>
        <w:spacing w:after="100"/>
      </w:pPr>
      <w:r>
        <w:t xml:space="preserve">[7] Galileo AI Observability. https://www.rungalileo.io/</w:t>
      </w:r>
    </w:p>
    <w:p>
      <w:pPr>
        <w:spacing w:after="100"/>
      </w:pPr>
      <w:r>
        <w:t xml:space="preserve">[8] RAGAS: RAG Assessment Framework. https://docs.ragas.io/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Consequence-Weighted AI Evaluation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4a6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2025-12-27T15:35:10.660Z</dcterms:created>
  <dcterms:modified xsi:type="dcterms:W3CDTF">2025-12-27T15:35:10.661Z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