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56"/>
          <w:szCs w:val="56"/>
        </w:rPr>
        <w:t xml:space="preserve">Workbook Roll-Forward Analyzer</w:t>
      </w:r>
    </w:p>
    <w:p>
      <w:pPr>
        <w:spacing w:after="60"/>
      </w:pPr>
      <w:r>
        <w:rPr>
          <w:i/>
          <w:iCs/>
          <w:color w:val="444444"/>
          <w:sz w:val="28"/>
          <w:szCs w:val="28"/>
        </w:rPr>
        <w:t xml:space="preserve">Complete Logic Reference — engine.py &amp; app.py</w:t>
      </w:r>
    </w:p>
    <w:p>
      <w:pPr>
        <w:spacing w:after="400"/>
      </w:pPr>
      <w:r>
        <w:rPr>
          <w:color w:val="555555"/>
          <w:sz w:val="22"/>
          <w:szCs w:val="22"/>
        </w:rPr>
        <w:t xml:space="preserve">Covers every function currently in the codebase, including today's additions: the fix for the missing "Download Entire Workbook Content" button and the new combined Input/Process/Output + full-content export.</w:t>
      </w:r>
    </w:p>
    <w:p>
      <w:pPr>
        <w:pStyle w:val="Heading1"/>
        <w:spacing w:after="160" w:before="360"/>
      </w:pPr>
      <w:r>
        <w:t xml:space="preserve">1. What this tool does, and how the two files divide the work</w:t>
      </w:r>
    </w:p>
    <w:p>
      <w:pPr>
        <w:spacing w:after="160"/>
      </w:pPr>
      <w:r>
        <w:t xml:space="preserve">The tool compares a “previous version” and a “current version” of a set of Excel workbooks (for example, last year’s and this year’s working papers) and reports what carried forward unchanged, what changed, and how much manual effort that represents — then estimates how much of that effort could be automated.</w:t>
      </w:r>
    </w:p>
    <w:p>
      <w:pPr>
        <w:spacing w:after="120"/>
      </w:pPr>
      <w:r>
        <w:rPr>
          <w:b/>
          <w:bCs/>
        </w:rPr>
        <w:t xml:space="preserve">engine.py — </w:t>
      </w:r>
      <w:r>
        <w:t xml:space="preserve">pure logic, no UI. Every function takes plain data in (workbook objects, lists, numbers) and returns plain data out (dataclasses, dicts, lists of dicts). Nothing here imports Streamlit. This is deliberate: it means the comparison logic can be unit-tested or reused in a completely different interface (a script, an API, a notebook) without dragging the dashboard along.</w:t>
      </w:r>
    </w:p>
    <w:p>
      <w:pPr>
        <w:spacing w:after="120"/>
      </w:pPr>
      <w:r>
        <w:rPr>
          <w:b/>
          <w:bCs/>
        </w:rPr>
        <w:t xml:space="preserve">app.py — </w:t>
      </w:r>
      <w:r>
        <w:t xml:space="preserve">the Streamlit dashboard. It owns every screen element — file pickers, sliders, tables, charts, download buttons — and calls into engine.py to get the numbers it displays. It never re-implements comparison logic itself.</w:t>
      </w:r>
    </w:p>
    <w:p>
      <w:pPr>
        <w:spacing w:after="160"/>
      </w:pPr>
      <w:r>
        <w:t xml:space="preserve">The rest of this document walks through engine.py’s pipeline in the order it actually runs, then covers how app.py wires each piece into a screen, and finishes with a detailed explanation of what was added today.</w:t>
      </w:r>
    </w:p>
    <w:p>
      <w:pPr>
        <w:pStyle w:val="Heading1"/>
        <w:spacing w:after="160" w:before="360"/>
      </w:pPr>
      <w:r>
        <w:t xml:space="preserve">2. The nine-step pipeline (engine.py)</w:t>
      </w:r>
    </w:p>
    <w:p>
      <w:pPr>
        <w:spacing w:after="160"/>
      </w:pPr>
      <w:r>
        <w:t xml:space="preserve">engine.py’s own header comment lays out nine steps. Each is a function or small family of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5760"/>
      </w:tblGrid>
      <w:tr>
        <w:trPr>
          <w:tblHeader/>
        </w:trPr>
        <w:tc>
          <w:tcPr>
            <w:tcW w:type="pct" w:w="12%"/>
            <w:shd w:fill="1F4E79" w:val="clear"/>
          </w:tcPr>
          <w:p>
            <w:r>
              <w:rPr>
                <w:b/>
                <w:bCs/>
                <w:color w:val="FFFFFF"/>
                <w:sz w:val="20"/>
                <w:szCs w:val="20"/>
              </w:rPr>
              <w:t xml:space="preserve">Step</w:t>
            </w:r>
          </w:p>
        </w:tc>
        <w:tc>
          <w:tcPr>
            <w:tcW w:type="pct" w:w="24%"/>
            <w:shd w:fill="1F4E79" w:val="clear"/>
          </w:tcPr>
          <w:p>
            <w:r>
              <w:rPr>
                <w:b/>
                <w:bCs/>
                <w:color w:val="FFFFFF"/>
                <w:sz w:val="20"/>
                <w:szCs w:val="20"/>
              </w:rPr>
              <w:t xml:space="preserve">Function(s)</w:t>
            </w:r>
          </w:p>
        </w:tc>
        <w:tc>
          <w:tcPr>
            <w:tcW w:type="pct" w:w="64%"/>
            <w:shd w:fill="1F4E79" w:val="clear"/>
          </w:tcPr>
          <w:p>
            <w:r>
              <w:rPr>
                <w:b/>
                <w:bCs/>
                <w:color w:val="FFFFFF"/>
                <w:sz w:val="20"/>
                <w:szCs w:val="20"/>
              </w:rPr>
              <w:t xml:space="preserve">What it produces</w:t>
            </w:r>
          </w:p>
        </w:tc>
      </w:tr>
      <w:tr>
        <w:tc>
          <w:tcPr>
            <w:tcW w:type="pct" w:w="12%"/>
          </w:tcPr>
          <w:p>
            <w:r>
              <w:rPr>
                <w:b w:val="false"/>
                <w:bCs w:val="false"/>
                <w:color w:val="000000"/>
                <w:sz w:val="20"/>
                <w:szCs w:val="20"/>
              </w:rPr>
              <w:t xml:space="preserve">1. Load</w:t>
            </w:r>
          </w:p>
        </w:tc>
        <w:tc>
          <w:tcPr>
            <w:tcW w:type="pct" w:w="24%"/>
          </w:tcPr>
          <w:p>
            <w:r>
              <w:rPr>
                <w:b w:val="false"/>
                <w:bCs w:val="false"/>
                <w:color w:val="000000"/>
                <w:sz w:val="20"/>
                <w:szCs w:val="20"/>
              </w:rPr>
              <w:t xml:space="preserve">load_workbooks()</w:t>
            </w:r>
          </w:p>
        </w:tc>
        <w:tc>
          <w:tcPr>
            <w:tcW w:type="pct" w:w="64%"/>
          </w:tcPr>
          <w:p>
            <w:r>
              <w:rPr>
                <w:b w:val="false"/>
                <w:bCs w:val="false"/>
                <w:color w:val="000000"/>
                <w:sz w:val="20"/>
                <w:szCs w:val="20"/>
              </w:rPr>
              <w:t xml:space="preserve">Raw bytes → openpyxl Workbook objects (read-only mode by default, for speed/memory).</w:t>
            </w:r>
          </w:p>
        </w:tc>
      </w:tr>
      <w:tr>
        <w:tc>
          <w:tcPr>
            <w:tcW w:type="pct" w:w="12%"/>
          </w:tcPr>
          <w:p>
            <w:r>
              <w:rPr>
                <w:b w:val="false"/>
                <w:bCs w:val="false"/>
                <w:color w:val="000000"/>
                <w:sz w:val="20"/>
                <w:szCs w:val="20"/>
              </w:rPr>
              <w:t xml:space="preserve">2. Match workbooks</w:t>
            </w:r>
          </w:p>
        </w:tc>
        <w:tc>
          <w:tcPr>
            <w:tcW w:type="pct" w:w="24%"/>
          </w:tcPr>
          <w:p>
            <w:r>
              <w:rPr>
                <w:b w:val="false"/>
                <w:bCs w:val="false"/>
                <w:color w:val="000000"/>
                <w:sz w:val="20"/>
                <w:szCs w:val="20"/>
              </w:rPr>
              <w:t xml:space="preserve">match_workbooks()</w:t>
            </w:r>
          </w:p>
        </w:tc>
        <w:tc>
          <w:tcPr>
            <w:tcW w:type="pct" w:w="64%"/>
          </w:tcPr>
          <w:p>
            <w:r>
              <w:rPr>
                <w:b w:val="false"/>
                <w:bCs w:val="false"/>
                <w:color w:val="000000"/>
                <w:sz w:val="20"/>
                <w:szCs w:val="20"/>
              </w:rPr>
              <w:t xml:space="preserve">Pairs up previous-version and current-version files by filename similarity.</w:t>
            </w:r>
          </w:p>
        </w:tc>
      </w:tr>
      <w:tr>
        <w:tc>
          <w:tcPr>
            <w:tcW w:type="pct" w:w="12%"/>
          </w:tcPr>
          <w:p>
            <w:r>
              <w:rPr>
                <w:b w:val="false"/>
                <w:bCs w:val="false"/>
                <w:color w:val="000000"/>
                <w:sz w:val="20"/>
                <w:szCs w:val="20"/>
              </w:rPr>
              <w:t xml:space="preserve">3. Match sheets</w:t>
            </w:r>
          </w:p>
        </w:tc>
        <w:tc>
          <w:tcPr>
            <w:tcW w:type="pct" w:w="24%"/>
          </w:tcPr>
          <w:p>
            <w:r>
              <w:rPr>
                <w:b w:val="false"/>
                <w:bCs w:val="false"/>
                <w:color w:val="000000"/>
                <w:sz w:val="20"/>
                <w:szCs w:val="20"/>
              </w:rPr>
              <w:t xml:space="preserve">match_sheets()</w:t>
            </w:r>
          </w:p>
        </w:tc>
        <w:tc>
          <w:tcPr>
            <w:tcW w:type="pct" w:w="64%"/>
          </w:tcPr>
          <w:p>
            <w:r>
              <w:rPr>
                <w:b w:val="false"/>
                <w:bCs w:val="false"/>
                <w:color w:val="000000"/>
                <w:sz w:val="20"/>
                <w:szCs w:val="20"/>
              </w:rPr>
              <w:t xml:space="preserve">Pairs up sheets inside a matched workbook pair, tolerating renames.</w:t>
            </w:r>
          </w:p>
        </w:tc>
      </w:tr>
      <w:tr>
        <w:tc>
          <w:tcPr>
            <w:tcW w:type="pct" w:w="12%"/>
          </w:tcPr>
          <w:p>
            <w:r>
              <w:rPr>
                <w:b w:val="false"/>
                <w:bCs w:val="false"/>
                <w:color w:val="000000"/>
                <w:sz w:val="20"/>
                <w:szCs w:val="20"/>
              </w:rPr>
              <w:t xml:space="preserve">4. Compare cells</w:t>
            </w:r>
          </w:p>
        </w:tc>
        <w:tc>
          <w:tcPr>
            <w:tcW w:type="pct" w:w="24%"/>
          </w:tcPr>
          <w:p>
            <w:r>
              <w:rPr>
                <w:b w:val="false"/>
                <w:bCs w:val="false"/>
                <w:color w:val="000000"/>
                <w:sz w:val="20"/>
                <w:szCs w:val="20"/>
              </w:rPr>
              <w:t xml:space="preserve">compare_sheet_cells()</w:t>
            </w:r>
          </w:p>
        </w:tc>
        <w:tc>
          <w:tcPr>
            <w:tcW w:type="pct" w:w="64%"/>
          </w:tcPr>
          <w:p>
            <w:r>
              <w:rPr>
                <w:b w:val="false"/>
                <w:bCs w:val="false"/>
                <w:color w:val="000000"/>
                <w:sz w:val="20"/>
                <w:szCs w:val="20"/>
              </w:rPr>
              <w:t xml:space="preserve">Cell-level diff: unchanged / changed / new / cleared, plus a formula-specific diff.</w:t>
            </w:r>
          </w:p>
        </w:tc>
      </w:tr>
      <w:tr>
        <w:tc>
          <w:tcPr>
            <w:tcW w:type="pct" w:w="12%"/>
          </w:tcPr>
          <w:p>
            <w:r>
              <w:rPr>
                <w:b w:val="false"/>
                <w:bCs w:val="false"/>
                <w:color w:val="000000"/>
                <w:sz w:val="20"/>
                <w:szCs w:val="20"/>
              </w:rPr>
              <w:t xml:space="preserve">5. Complexity</w:t>
            </w:r>
          </w:p>
        </w:tc>
        <w:tc>
          <w:tcPr>
            <w:tcW w:type="pct" w:w="24%"/>
          </w:tcPr>
          <w:p>
            <w:r>
              <w:rPr>
                <w:b w:val="false"/>
                <w:bCs w:val="false"/>
                <w:color w:val="000000"/>
                <w:sz w:val="20"/>
                <w:szCs w:val="20"/>
              </w:rPr>
              <w:t xml:space="preserve">sheet_complexity()</w:t>
            </w:r>
          </w:p>
        </w:tc>
        <w:tc>
          <w:tcPr>
            <w:tcW w:type="pct" w:w="64%"/>
          </w:tcPr>
          <w:p>
            <w:r>
              <w:rPr>
                <w:b w:val="false"/>
                <w:bCs w:val="false"/>
                <w:color w:val="000000"/>
                <w:sz w:val="20"/>
                <w:szCs w:val="20"/>
              </w:rPr>
              <w:t xml:space="preserve">Formula counts, cross-sheet/external references → a 0–100 complexity score.</w:t>
            </w:r>
          </w:p>
        </w:tc>
      </w:tr>
      <w:tr>
        <w:tc>
          <w:tcPr>
            <w:tcW w:type="pct" w:w="12%"/>
          </w:tcPr>
          <w:p>
            <w:r>
              <w:rPr>
                <w:b w:val="false"/>
                <w:bCs w:val="false"/>
                <w:color w:val="000000"/>
                <w:sz w:val="20"/>
                <w:szCs w:val="20"/>
              </w:rPr>
              <w:t xml:space="preserve">6. Build report</w:t>
            </w:r>
          </w:p>
        </w:tc>
        <w:tc>
          <w:tcPr>
            <w:tcW w:type="pct" w:w="24%"/>
          </w:tcPr>
          <w:p>
            <w:r>
              <w:rPr>
                <w:b w:val="false"/>
                <w:bCs w:val="false"/>
                <w:color w:val="000000"/>
                <w:sz w:val="20"/>
                <w:szCs w:val="20"/>
              </w:rPr>
              <w:t xml:space="preserve">build_workbook_report()</w:t>
            </w:r>
          </w:p>
        </w:tc>
        <w:tc>
          <w:tcPr>
            <w:tcW w:type="pct" w:w="64%"/>
          </w:tcPr>
          <w:p>
            <w:r>
              <w:rPr>
                <w:b w:val="false"/>
                <w:bCs w:val="false"/>
                <w:color w:val="000000"/>
                <w:sz w:val="20"/>
                <w:szCs w:val="20"/>
              </w:rPr>
              <w:t xml:space="preserve">Ties steps 3–5 together into one SheetMatch per sheet pair.</w:t>
            </w:r>
          </w:p>
        </w:tc>
      </w:tr>
      <w:tr>
        <w:tc>
          <w:tcPr>
            <w:tcW w:type="pct" w:w="12%"/>
          </w:tcPr>
          <w:p>
            <w:r>
              <w:rPr>
                <w:b w:val="false"/>
                <w:bCs w:val="false"/>
                <w:color w:val="000000"/>
                <w:sz w:val="20"/>
                <w:szCs w:val="20"/>
              </w:rPr>
              <w:t xml:space="preserve">7. Summarize</w:t>
            </w:r>
          </w:p>
        </w:tc>
        <w:tc>
          <w:tcPr>
            <w:tcW w:type="pct" w:w="24%"/>
          </w:tcPr>
          <w:p>
            <w:r>
              <w:rPr>
                <w:b w:val="false"/>
                <w:bCs w:val="false"/>
                <w:color w:val="000000"/>
                <w:sz w:val="20"/>
                <w:szCs w:val="20"/>
              </w:rPr>
              <w:t xml:space="preserve">summarize_workbook()</w:t>
            </w:r>
          </w:p>
        </w:tc>
        <w:tc>
          <w:tcPr>
            <w:tcW w:type="pct" w:w="64%"/>
          </w:tcPr>
          <w:p>
            <w:r>
              <w:rPr>
                <w:b w:val="false"/>
                <w:bCs w:val="false"/>
                <w:color w:val="000000"/>
                <w:sz w:val="20"/>
                <w:szCs w:val="20"/>
              </w:rPr>
              <w:t xml:space="preserve">One consolidated row per workbook: totals, complexity, automation, hours.</w:t>
            </w:r>
          </w:p>
        </w:tc>
      </w:tr>
      <w:tr>
        <w:tc>
          <w:tcPr>
            <w:tcW w:type="pct" w:w="12%"/>
          </w:tcPr>
          <w:p>
            <w:r>
              <w:rPr>
                <w:b w:val="false"/>
                <w:bCs w:val="false"/>
                <w:color w:val="000000"/>
                <w:sz w:val="20"/>
                <w:szCs w:val="20"/>
              </w:rPr>
              <w:t xml:space="preserve">8. Effort</w:t>
            </w:r>
          </w:p>
        </w:tc>
        <w:tc>
          <w:tcPr>
            <w:tcW w:type="pct" w:w="24%"/>
          </w:tcPr>
          <w:p>
            <w:r>
              <w:rPr>
                <w:b w:val="false"/>
                <w:bCs w:val="false"/>
                <w:color w:val="000000"/>
                <w:sz w:val="20"/>
                <w:szCs w:val="20"/>
              </w:rPr>
              <w:t xml:space="preserve">estimate_manual_effort()</w:t>
            </w:r>
          </w:p>
        </w:tc>
        <w:tc>
          <w:tcPr>
            <w:tcW w:type="pct" w:w="64%"/>
          </w:tcPr>
          <w:p>
            <w:r>
              <w:rPr>
                <w:b w:val="false"/>
                <w:bCs w:val="false"/>
                <w:color w:val="000000"/>
                <w:sz w:val="20"/>
                <w:szCs w:val="20"/>
              </w:rPr>
              <w:t xml:space="preserve">Converts diff counts into estimated manual hours and potential savings.</w:t>
            </w:r>
          </w:p>
        </w:tc>
      </w:tr>
      <w:tr>
        <w:tc>
          <w:tcPr>
            <w:tcW w:type="pct" w:w="12%"/>
          </w:tcPr>
          <w:p>
            <w:r>
              <w:rPr>
                <w:b w:val="false"/>
                <w:bCs w:val="false"/>
                <w:color w:val="000000"/>
                <w:sz w:val="20"/>
                <w:szCs w:val="20"/>
              </w:rPr>
              <w:t xml:space="preserve">9. Automation label</w:t>
            </w:r>
          </w:p>
        </w:tc>
        <w:tc>
          <w:tcPr>
            <w:tcW w:type="pct" w:w="24%"/>
          </w:tcPr>
          <w:p>
            <w:r>
              <w:rPr>
                <w:b w:val="false"/>
                <w:bCs w:val="false"/>
                <w:color w:val="000000"/>
                <w:sz w:val="20"/>
                <w:szCs w:val="20"/>
              </w:rPr>
              <w:t xml:space="preserve">automation_opportunity()</w:t>
            </w:r>
          </w:p>
        </w:tc>
        <w:tc>
          <w:tcPr>
            <w:tcW w:type="pct" w:w="64%"/>
          </w:tcPr>
          <w:p>
            <w:r>
              <w:rPr>
                <w:b w:val="false"/>
                <w:bCs w:val="false"/>
                <w:color w:val="000000"/>
                <w:sz w:val="20"/>
                <w:szCs w:val="20"/>
              </w:rPr>
              <w:t xml:space="preserve">High / Medium / Low label per sheet.</w:t>
            </w:r>
          </w:p>
        </w:tc>
      </w:tr>
    </w:tbl>
    <w:p>
      <w:pPr>
        <w:pStyle w:val="Heading1"/>
        <w:spacing w:after="160" w:before="360"/>
      </w:pPr>
      <w:r>
        <w:t xml:space="preserve">3. Step-by-step logic</w:t>
      </w:r>
    </w:p>
    <w:p>
      <w:pPr>
        <w:pStyle w:val="Heading2"/>
        <w:spacing w:after="120" w:before="260"/>
      </w:pPr>
      <w:r>
        <w:t xml:space="preserve">3.1 Loading &amp; matching workbooks</w:t>
      </w:r>
    </w:p>
    <w:p>
      <w:pPr>
        <w:spacing w:after="160"/>
      </w:pPr>
      <w:r>
        <w:t xml:space="preserve">load_workbooks() opens each uploaded/scanned file with openpyxl in read-only mode. Read-only mode is noticeably faster and lighter on memory because openpyxl doesn’t build an editable Cell object for every cell — the only cost is that merged-cell information isn’t available in that mode, which sheet_complexity() simply reports as 0 rather than failing on.</w:t>
      </w:r>
    </w:p>
    <w:p>
      <w:pPr>
        <w:spacing w:after="160"/>
      </w:pPr>
      <w:r>
        <w:t xml:space="preserve">match_workbooks() pairs a previous-year filename to a current-year filename using a similarity score (_similarity(), built on Python’s difflib.SequenceMatcher). Before comparing, _strip_year() replaces any 4-digit year in the name with the placeholder “YYYY”, so “USN5_Tangibles_2024.xlsx” and “USN5_Tangibles_2025.xlsx” score as a near-perfect match instead of being penalized for the year change. All possible pairs are scored, sorted best-first, and greedily assigned (each file used at most once); anything below the 0.5 threshold, or left over once matches are assigned, is reported as “Previous Only” or “Current Only”.</w:t>
      </w:r>
    </w:p>
    <w:p>
      <w:pPr>
        <w:pStyle w:val="Heading2"/>
        <w:spacing w:after="120" w:before="260"/>
      </w:pPr>
      <w:r>
        <w:t xml:space="preserve">3.2 Matching sheets inside a workbook</w:t>
      </w:r>
    </w:p>
    <w:p>
      <w:pPr>
        <w:spacing w:after="160"/>
      </w:pPr>
      <w:r>
        <w:t xml:space="preserve">match_sheets() does the same greedy-best-match process one level down, for the sheets inside a matched workbook pair. It combines two signals: name similarity (again year-agnostic) and structure similarity (_structure_similarity(), comparing row/column extent, populated-cell count, and header text via a _sheet_signature() of each sheet). The two are blended 50/50 unless the names match exactly, in which case that pair always wins even if the structure drifted — an intentional rule so a sheet that was simply cleared out and refilled doesn’t get treated as “not the same sheet.” Hidden sheets (openpyxl sheet_state ≠ ‘visible’) are excluded from this matching entirely, and therefore from every downstream comparison, formula count, and Input/Process/Output classification — they only ever appear as a plain count in the Sheet Overview.</w:t>
      </w:r>
    </w:p>
    <w:p>
      <w:pPr>
        <w:pStyle w:val="Heading2"/>
        <w:spacing w:after="120" w:before="260"/>
      </w:pPr>
      <w:r>
        <w:t xml:space="preserve">3.3 Cell-level and formula-level comparison</w:t>
      </w:r>
    </w:p>
    <w:p>
      <w:pPr>
        <w:spacing w:after="160"/>
      </w:pPr>
      <w:r>
        <w:t xml:space="preserve">compare_sheet_cells() is the core diff engine. It walks both sheets row-by-row using openpyxl’s iter_rows(values_only=True) rather than looking up one cell at a time — the latter is a well-known performance trap because it re-materializes a full Cell object per call. For every populated cell it classifies the pair of previous/current values into one of: unchanged, changed, new (blank → populated), or cleared (populated → blank). Formulas get their own parallel tracking (FormulaDiff): a formula pair is unchanged, a year_ref_change (identical once _strip_year() is applied — e.g. ’ 2024 Data’!F20 becoming ’2025 Data’!F20 is treated as a roll-forward mechanic, not a real edit), or a genuine changed formula. New/removed formulas are tracked separately again. A capped sample of changed cells and changed formulas (default 300) is kept for display, without needing to hold every single diff in memory for very large sheets.</w:t>
      </w:r>
    </w:p>
    <w:p>
      <w:pPr>
        <w:pStyle w:val="Heading2"/>
        <w:spacing w:after="120" w:before="260"/>
      </w:pPr>
      <w:r>
        <w:t xml:space="preserve">3.4 Complexity scoring</w:t>
      </w:r>
    </w:p>
    <w:p>
      <w:pPr>
        <w:spacing w:after="160"/>
      </w:pPr>
      <w:r>
        <w:t xml:space="preserve">sheet_complexity() counts formulas, flags cross-sheet references (a ‘!’ in the formula), external workbook references (a ‘[’ in the formula, indicating a link to another file), and a rough “nested formula” flag (two or more opening parentheses). These are combined into a raw score (formula_count + cross_sheet_refs×2 + external_refs×3) and normalized against a cap of 300 to a 0–100 percentage — a sheet scoring 300+ on that raw scale is treated as maximum complexity. The cap is a tunable constant, not a hard law of Excel.</w:t>
      </w:r>
    </w:p>
    <w:p>
      <w:pPr>
        <w:pStyle w:val="Heading2"/>
        <w:spacing w:after="120" w:before="260"/>
      </w:pPr>
      <w:r>
        <w:t xml:space="preserve">3.5 Roll-forward score, status, and automation label</w:t>
      </w:r>
    </w:p>
    <w:p>
      <w:pPr>
        <w:spacing w:after="120"/>
      </w:pPr>
      <w:r>
        <w:rPr>
          <w:b/>
          <w:bCs/>
        </w:rPr>
        <w:t xml:space="preserve">roll_forward_score() </w:t>
      </w:r>
      <w:r>
        <w:t xml:space="preserve">blends three ratios into a single 0–100 score: 30% structural similarity, 40% the share of populated cells that are unchanged, 30% the share of formulas that are unchanged (including year-reference-only changes, which count as “still effectively the same formula”).</w:t>
      </w:r>
    </w:p>
    <w:p>
      <w:pPr>
        <w:spacing w:after="120"/>
      </w:pPr>
      <w:r>
        <w:rPr>
          <w:b/>
          <w:bCs/>
        </w:rPr>
        <w:t xml:space="preserve">classify_status() </w:t>
      </w:r>
      <w:r>
        <w:t xml:space="preserve">turns that score into Roll-forward (≥80), Review (&lt;80, but the sheet exists on both sides), New (only on the current side), or Removed (only on the previous side).</w:t>
      </w:r>
    </w:p>
    <w:p>
      <w:pPr>
        <w:spacing w:after="120"/>
      </w:pPr>
      <w:r>
        <w:rPr>
          <w:b/>
          <w:bCs/>
        </w:rPr>
        <w:t xml:space="preserve">automation_opportunity() </w:t>
      </w:r>
      <w:r>
        <w:t xml:space="preserve">labels a sheet High / Medium / Low. High requires a score ≥85 and either low complexity, or high complexity with at least 70% of formulas unchanged (a complex sheet can still be a good automation candidate if its formulas are stable, rather than being penalized purely for size). Medium covers score ≥55; everything else is Low.</w:t>
      </w:r>
    </w:p>
    <w:p>
      <w:pPr>
        <w:pStyle w:val="Heading2"/>
        <w:spacing w:after="120" w:before="260"/>
      </w:pPr>
      <w:r>
        <w:t xml:space="preserve">3.6 Rolling it up: summarize_workbook() and manual-effort estimation</w:t>
      </w:r>
    </w:p>
    <w:p>
      <w:pPr>
        <w:spacing w:after="160"/>
      </w:pPr>
      <w:r>
        <w:t xml:space="preserve">summarize_workbook() produces the single consolidated row shown in the “Workbook Summary” table: sheet counts, how many rolled forward, total formulas, formulas specifically inside roll-forward sheets, total populated cells, average complexity, and the effort/automation figures from estimate_manual_effort().</w:t>
      </w:r>
    </w:p>
    <w:p>
      <w:pPr>
        <w:spacing w:after="160"/>
      </w:pPr>
      <w:r>
        <w:t xml:space="preserve">estimate_manual_effort() converts four “effort drivers” — changed cells, formula changes, sheets needing review, and high-complexity sheets — into minutes using the four adjustable assumptions from the sidebar (minutes per changed cell / formula change / review sheet / complex sheet), sums to estimated_manual_hours, then applies a blended automation percentage (a weighted average of fixed High/Medium/Low automation rates, weighted by how many sheets fall in each bucket) to get potential_hours_saved. effort_drivers() is factored out on its own specifically so the calibration feature (below) can reuse the exact same counting logic instead of recomputing it a second, possibly inconsistent, way.</w:t>
      </w:r>
    </w:p>
    <w:p>
      <w:pPr>
        <w:pStyle w:val="Heading2"/>
        <w:spacing w:after="120" w:before="260"/>
      </w:pPr>
      <w:r>
        <w:t xml:space="preserve">3.7 Calibrating the effort assumptions against real hours</w:t>
      </w:r>
    </w:p>
    <w:p>
      <w:pPr>
        <w:spacing w:after="160"/>
      </w:pPr>
      <w:r>
        <w:t xml:space="preserve">The sidebar sliders are only a starting guess. The “Calibrate ‘Estimated Manual Hours’ Against Actual Reported Hours” panel lets you type in real hours your team actually spent on workbooks you’ve already analyzed, match each to the corresponding analyzed workbook, and calibrate_effort_assumptions() then solves a non-negative least-squares fit: it finds the four minutes-per-driver values that best reproduce your real hours from the driver counts (changed cells, formula changes, review sheets, complex sheets) across every workbook you supplied. It prefers scipy’s true NNLS solver, and falls back to an ordinary least-squares fit clipped to non-negative values if scipy isn’t available. An R² figure and a predicted-vs-actual table are returned alongside the fitted assumptions so the fit’s quality can be sanity-checked before you apply it.</w:t>
      </w:r>
    </w:p>
    <w:p>
      <w:pPr>
        <w:pStyle w:val="Heading1"/>
        <w:spacing w:after="160" w:before="360"/>
      </w:pPr>
      <w:r>
        <w:t xml:space="preserve">4. Input / Process / Output classification</w:t>
      </w:r>
    </w:p>
    <w:p>
      <w:pPr>
        <w:spacing w:after="160"/>
      </w:pPr>
      <w:r>
        <w:t xml:space="preserve">A large part of the tool is dedicated to sorting every current-year sheet into Input, Process, or Output. classify_current_sheets() drives this: for each visible sheet it first tries classify_ipo_reference_logic() against the sheet name alone; if that returns nothing conclusive, it retries the same function with a text sample pulled from the sheet’s own cells (_sheet_sample_text()) and its formula count (_sheet_formula_count()) as extra evidence. In effect the priority order is: an explicit name match, then keyword-based name classification, then a look at what’s actually inside the sheet. _find_ipo_sheet_match() applies the same escalating logic when the tool needs to locate one specific Input/Process/Output sheet inside a workbook (rather than classify every sheet), so abbreviations, renamed tabs, and unlabeled-but-recognizable sheets are all still found.</w:t>
      </w:r>
    </w:p>
    <w:p>
      <w:pPr>
        <w:spacing w:after="160"/>
      </w:pPr>
      <w:r>
        <w:t xml:space="preserve">Two different views are built from that same classification: category_sheet_rollforward_summary() produces this-year-only category totals (how many Input/Process/Output sheets exist, how many are new vs. rolled forward, and the formula/general-info change counts inside the rolled-forward ones), while ipo_sheet_detail_table() produces the row-level companion — one row per sheet, not just a count — which is what feeds the per-workbook drill-down and the complete Input/Process/Output download.</w:t>
      </w:r>
    </w:p>
    <w:p>
      <w:pPr>
        <w:spacing w:after="160"/>
      </w:pPr>
      <w:r>
        <w:t xml:space="preserve">extract_ipo_rollforward() and ipo_cell_level_changes() go one level deeper still: for the specific Input/Process/Output sheets, they walk cell-by-cell and report exactly which cells were retained (rolled forward as-is) versus replaced, split further into “formula changes” and “general info (value) changes,” compressed into readable A1-style ranges by _compress_to_ranges() (which groups cells into contiguous row-runs, then stacks runs with matching column spans, so “B2:B40” is reported instead of 39 separate single-cell entries).</w:t>
      </w:r>
    </w:p>
    <w:p>
      <w:pPr>
        <w:pStyle w:val="Heading1"/>
        <w:spacing w:after="160" w:before="360"/>
      </w:pPr>
      <w:r>
        <w:t xml:space="preserve">5. Cell- and formula-level roll-forward mapping</w:t>
      </w:r>
    </w:p>
    <w:p>
      <w:pPr>
        <w:spacing w:after="160"/>
      </w:pPr>
      <w:r>
        <w:t xml:space="preserve">Two functions produce the explicit “Previous Year cell → Current Year cell” mapping requested for every roll-forward sheet, not just Input/Process/Output ones:</w:t>
      </w:r>
    </w:p>
    <w:p>
      <w:pPr>
        <w:pStyle w:val="ListParagraph"/>
        <w:numPr>
          <w:ilvl w:val="0"/>
          <w:numId w:val="1"/>
        </w:numPr>
        <w:spacing w:after="80"/>
      </w:pPr>
      <w:r>
        <w:t xml:space="preserve">extract_cell_level_rollforward() / cell_rollforward_table() — every retained (unchanged) cell, as “Sheet1!A1 → Sheet1!A1”.</w:t>
      </w:r>
    </w:p>
    <w:p>
      <w:pPr>
        <w:pStyle w:val="ListParagraph"/>
        <w:numPr>
          <w:ilvl w:val="0"/>
          <w:numId w:val="1"/>
        </w:numPr>
        <w:spacing w:after="80"/>
      </w:pPr>
      <w:r>
        <w:t xml:space="preserve">extract_formula_level_rollforward() / formula_rollforward_table() — the same idea restricted to formula cells, but additionally showing the formula text on both sides and a Rolled Forward / Formula Changed status, e.g. “Previous Year: Sheet1!B2 (=A2*1.1) → Current Year: Sheet1!B2 (=A2*1.1).”</w:t>
      </w:r>
    </w:p>
    <w:p>
      <w:pPr>
        <w:spacing w:after="160"/>
      </w:pPr>
      <w:r>
        <w:t xml:space="preserve">Both are capped per sheet (max_mappings_per_sheet, default 1000) so a very large sheet doesn’t produce an unusable wall of text on screen — the true count is still reported, and a `truncated` flag tells the caller the on-screen/export list is a capped sample.</w:t>
      </w:r>
    </w:p>
    <w:p>
      <w:pPr>
        <w:pStyle w:val="Heading1"/>
        <w:spacing w:after="160" w:before="360"/>
      </w:pPr>
      <w:r>
        <w:t xml:space="preserve">6. Full raw workbook content extract (the “entire workbook content” feature)</w:t>
      </w:r>
    </w:p>
    <w:p>
      <w:pPr>
        <w:spacing w:after="160"/>
      </w:pPr>
      <w:r>
        <w:t xml:space="preserve">extract_full_workbook_content() is a straight content dump, not a diff: it walks every visible sheet of both the previous-year and current-year workbook and records every populated cell, one row per cell, tagged with Workbook (pair label), Year (Previous/Current), File, Sheet, a combined “Sheet Reference” (e.g. Sheet1!B2), the cell address, whether it’s a formula, and the value itself. This is what powers the “Download Entire Workbook Content” button in the app — the idea being that, unlike every other export in this tool, this one isn’t about what changed, it’s the complete contents of both workbooks in one flat table.</w:t>
      </w:r>
    </w:p>
    <w:p>
      <w:pPr>
        <w:pStyle w:val="Heading1"/>
        <w:spacing w:after="160" w:before="360"/>
      </w:pPr>
      <w:r>
        <w:t xml:space="preserve">7. What was fixed and added today</w:t>
      </w:r>
    </w:p>
    <w:p>
      <w:pPr>
        <w:pStyle w:val="Heading2"/>
        <w:spacing w:after="120" w:before="260"/>
      </w:pPr>
      <w:r>
        <w:t xml:space="preserve">7.1 Why the download button could fail to appear at all</w:t>
      </w:r>
    </w:p>
    <w:p>
      <w:pPr>
        <w:spacing w:after="160"/>
      </w:pPr>
      <w:r>
        <w:t xml:space="preserve">The original “Download Entire Workbook Content” button only renders after a plain pandas ExcelWriter block runs to completion. Three realistic conditions in genuine accounting workbooks can make that block raise an exception partway through — and when a Streamlit script raises an unhandled exception, everything below that point on the page simply never runs, including the button. From the user’s side that looks exactly like “no download button appeared,” even though Streamlit is actually showing an error higher up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4140"/>
        <w:gridCol w:w="2880"/>
      </w:tblGrid>
      <w:tr>
        <w:trPr>
          <w:tblHeader/>
        </w:trPr>
        <w:tc>
          <w:tcPr>
            <w:tcW w:type="pct" w:w="22%"/>
            <w:shd w:fill="1F4E79" w:val="clear"/>
          </w:tcPr>
          <w:p>
            <w:r>
              <w:rPr>
                <w:b/>
                <w:bCs/>
                <w:color w:val="FFFFFF"/>
                <w:sz w:val="20"/>
                <w:szCs w:val="20"/>
              </w:rPr>
              <w:t xml:space="preserve">Cause</w:t>
            </w:r>
          </w:p>
        </w:tc>
        <w:tc>
          <w:tcPr>
            <w:tcW w:type="pct" w:w="46%"/>
            <w:shd w:fill="1F4E79" w:val="clear"/>
          </w:tcPr>
          <w:p>
            <w:r>
              <w:rPr>
                <w:b/>
                <w:bCs/>
                <w:color w:val="FFFFFF"/>
                <w:sz w:val="20"/>
                <w:szCs w:val="20"/>
              </w:rPr>
              <w:t xml:space="preserve">Why it happens</w:t>
            </w:r>
          </w:p>
        </w:tc>
        <w:tc>
          <w:tcPr>
            <w:tcW w:type="pct" w:w="32%"/>
            <w:shd w:fill="1F4E79" w:val="clear"/>
          </w:tcPr>
          <w:p>
            <w:r>
              <w:rPr>
                <w:b/>
                <w:bCs/>
                <w:color w:val="FFFFFF"/>
                <w:sz w:val="20"/>
                <w:szCs w:val="20"/>
              </w:rPr>
              <w:t xml:space="preserve">What it looks like</w:t>
            </w:r>
          </w:p>
        </w:tc>
      </w:tr>
      <w:tr>
        <w:tc>
          <w:tcPr>
            <w:tcW w:type="pct" w:w="22%"/>
          </w:tcPr>
          <w:p>
            <w:r>
              <w:rPr>
                <w:b w:val="false"/>
                <w:bCs w:val="false"/>
                <w:color w:val="000000"/>
                <w:sz w:val="20"/>
                <w:szCs w:val="20"/>
              </w:rPr>
              <w:t xml:space="preserve">Illegal characters</w:t>
            </w:r>
          </w:p>
        </w:tc>
        <w:tc>
          <w:tcPr>
            <w:tcW w:type="pct" w:w="46%"/>
          </w:tcPr>
          <w:p>
            <w:r>
              <w:rPr>
                <w:b w:val="false"/>
                <w:bCs w:val="false"/>
                <w:color w:val="000000"/>
                <w:sz w:val="20"/>
                <w:szCs w:val="20"/>
              </w:rPr>
              <w:t xml:space="preserve">Some cells — especially values pasted in from other systems — contain control characters (e.g. a stray \x0b) that are technically present in the .xlsx file but violate the XML spec that the .xlsx format is built on.</w:t>
            </w:r>
          </w:p>
        </w:tc>
        <w:tc>
          <w:tcPr>
            <w:tcW w:type="pct" w:w="32%"/>
          </w:tcPr>
          <w:p>
            <w:r>
              <w:rPr>
                <w:b w:val="false"/>
                <w:bCs w:val="false"/>
                <w:color w:val="000000"/>
                <w:sz w:val="20"/>
                <w:szCs w:val="20"/>
              </w:rPr>
              <w:t xml:space="preserve">openpyxl raises IllegalCharacterError the moment it tries to write that value out.</w:t>
            </w:r>
          </w:p>
        </w:tc>
      </w:tr>
      <w:tr>
        <w:tc>
          <w:tcPr>
            <w:tcW w:type="pct" w:w="22%"/>
          </w:tcPr>
          <w:p>
            <w:r>
              <w:rPr>
                <w:b w:val="false"/>
                <w:bCs w:val="false"/>
                <w:color w:val="000000"/>
                <w:sz w:val="20"/>
                <w:szCs w:val="20"/>
              </w:rPr>
              <w:t xml:space="preserve">Duplicate tab names</w:t>
            </w:r>
          </w:p>
        </w:tc>
        <w:tc>
          <w:tcPr>
            <w:tcW w:type="pct" w:w="46%"/>
          </w:tcPr>
          <w:p>
            <w:r>
              <w:rPr>
                <w:b w:val="false"/>
                <w:bCs w:val="false"/>
                <w:color w:val="000000"/>
                <w:sz w:val="20"/>
                <w:szCs w:val="20"/>
              </w:rPr>
              <w:t xml:space="preserve">Excel worksheet names are capped at 31 characters. Two different workbook-pair labels (e.g. two similarly-named files with long, similar prefixes) can collapse to the exact same 31-character string once truncated.</w:t>
            </w:r>
          </w:p>
        </w:tc>
        <w:tc>
          <w:tcPr>
            <w:tcW w:type="pct" w:w="32%"/>
          </w:tcPr>
          <w:p>
            <w:r>
              <w:rPr>
                <w:b w:val="false"/>
                <w:bCs w:val="false"/>
                <w:color w:val="000000"/>
                <w:sz w:val="20"/>
                <w:szCs w:val="20"/>
              </w:rPr>
              <w:t xml:space="preserve">openpyxl raises “Sheet ... already exists.”</w:t>
            </w:r>
          </w:p>
        </w:tc>
      </w:tr>
      <w:tr>
        <w:tc>
          <w:tcPr>
            <w:tcW w:type="pct" w:w="22%"/>
          </w:tcPr>
          <w:p>
            <w:r>
              <w:rPr>
                <w:b w:val="false"/>
                <w:bCs w:val="false"/>
                <w:color w:val="000000"/>
                <w:sz w:val="20"/>
                <w:szCs w:val="20"/>
              </w:rPr>
              <w:t xml:space="preserve">Row limit</w:t>
            </w:r>
          </w:p>
        </w:tc>
        <w:tc>
          <w:tcPr>
            <w:tcW w:type="pct" w:w="46%"/>
          </w:tcPr>
          <w:p>
            <w:r>
              <w:rPr>
                <w:b w:val="false"/>
                <w:bCs w:val="false"/>
                <w:color w:val="000000"/>
                <w:sz w:val="20"/>
                <w:szCs w:val="20"/>
              </w:rPr>
              <w:t xml:space="preserve">A single tab holding every cell from every sheet of every workbook, across both years, can exceed Excel’s hard 1,048,576-row-per-sheet limit once there are more than a handful of real-sized workbooks in the batch.</w:t>
            </w:r>
          </w:p>
        </w:tc>
        <w:tc>
          <w:tcPr>
            <w:tcW w:type="pct" w:w="32%"/>
          </w:tcPr>
          <w:p>
            <w:r>
              <w:rPr>
                <w:b w:val="false"/>
                <w:bCs w:val="false"/>
                <w:color w:val="000000"/>
                <w:sz w:val="20"/>
                <w:szCs w:val="20"/>
              </w:rPr>
              <w:t xml:space="preserve">pandas/openpyxl raises on write once the limit is exceeded.</w:t>
            </w:r>
          </w:p>
        </w:tc>
      </w:tr>
    </w:tbl>
    <w:p>
      <w:pPr>
        <w:pStyle w:val="Heading2"/>
        <w:spacing w:after="120" w:before="260"/>
      </w:pPr>
      <w:r>
        <w:t xml:space="preserve">7.2 The fix: a hardened, additive export pipeline</w:t>
      </w:r>
    </w:p>
    <w:p>
      <w:pPr>
        <w:spacing w:after="160"/>
      </w:pPr>
      <w:r>
        <w:t xml:space="preserve">Nothing in the existing code was changed. Everything below is new, appended to the end of each file, and only called from the new download section.</w:t>
      </w:r>
    </w:p>
    <w:p>
      <w:pPr>
        <w:pStyle w:val="Heading3"/>
        <w:spacing w:after="100" w:before="200"/>
      </w:pPr>
      <w:r>
        <w:t xml:space="preserve">engine.py additions</w:t>
      </w:r>
    </w:p>
    <w:p>
      <w:pPr>
        <w:pStyle w:val="ListParagraph"/>
        <w:numPr>
          <w:ilvl w:val="0"/>
          <w:numId w:val="1"/>
        </w:numPr>
        <w:spacing w:after="80"/>
      </w:pPr>
      <w:r>
        <w:t xml:space="preserve">safe_excel_value() / sanitize_rows_for_excel() — strip characters Excel’s file format forbids, and truncate any string over ~32,000 characters (Excel’s own per-cell limit is 32,767), before anything is written.</w:t>
      </w:r>
    </w:p>
    <w:p>
      <w:pPr>
        <w:pStyle w:val="ListParagraph"/>
        <w:numPr>
          <w:ilvl w:val="0"/>
          <w:numId w:val="1"/>
        </w:numPr>
        <w:spacing w:after="80"/>
      </w:pPr>
      <w:r>
        <w:t xml:space="preserve">unique_excel_sheet_name() — sanitizes a proposed tab name, truncates it to 31 characters, and appends a numeric suffix if that collides with a name already used in the same workbook, guaranteeing every tab name is both valid and unique.</w:t>
      </w:r>
    </w:p>
    <w:p>
      <w:pPr>
        <w:pStyle w:val="ListParagraph"/>
        <w:numPr>
          <w:ilvl w:val="0"/>
          <w:numId w:val="1"/>
        </w:numPr>
        <w:spacing w:after="80"/>
      </w:pPr>
      <w:r>
        <w:t xml:space="preserve">chunk_rows_for_excel_sheet() — splits a list of rows into chunks that each stay under Excel’s per-sheet row limit, so an oversized tab becomes “Name_1 / Name_2 / …” instead of failing to write at all.</w:t>
      </w:r>
    </w:p>
    <w:p>
      <w:pPr>
        <w:pStyle w:val="ListParagraph"/>
        <w:numPr>
          <w:ilvl w:val="0"/>
          <w:numId w:val="1"/>
        </w:numPr>
        <w:spacing w:after="80"/>
      </w:pPr>
      <w:r>
        <w:t xml:space="preserve">extract_full_workbook_content_with_category() — calls the existing extract_full_workbook_content() unchanged, then tags every row with its sheet’s Input/Process/Output/Unclassified category (using the same classify_current_sheets() logic already used elsewhere), applied to whichever workbook — previous or current — that row actually came from.</w:t>
      </w:r>
    </w:p>
    <w:p>
      <w:pPr>
        <w:pStyle w:val="ListParagraph"/>
        <w:numPr>
          <w:ilvl w:val="0"/>
          <w:numId w:val="1"/>
        </w:numPr>
        <w:spacing w:after="80"/>
      </w:pPr>
      <w:r>
        <w:t xml:space="preserve">build_complete_workbook_bundle() — the orchestrator. Sanitizes every row, then writes one .xlsx containing an All_Content tab (every cell, every sheet, every workbook pair, both years), one tab per category (Input / Process / Output / Unclassified), and one tab per workbook pair — splitting and deduplicating names as needed — and returns the file bytes together with a list of plain-English warnings describing anything that had to be adjusted (characters stripped, a tab split, a tab renamed).</w:t>
      </w:r>
    </w:p>
    <w:p>
      <w:pPr>
        <w:pStyle w:val="Heading3"/>
        <w:spacing w:after="100" w:before="200"/>
      </w:pPr>
      <w:r>
        <w:t xml:space="preserve">app.py additions</w:t>
      </w:r>
    </w:p>
    <w:p>
      <w:pPr>
        <w:spacing w:after="160"/>
      </w:pPr>
      <w:r>
        <w:t xml:space="preserve">A new section, “Download Complete Workbook (All Content + Input/Process/Output, All Workbooks),” is appended after the three existing download sections. It builds the row set with extract_full_workbook_content_with_category() inside a try/except per workbook (so one bad workbook can’t take down the whole export — it’s reported with st.warning() and the rest continue), then calls build_complete_workbook_bundle() and surfaces any warnings it returns directly on the page, so if anything was adjusted you’ll see exactly what and why, rather than getting a silently incomplete file or no file at all.</w:t>
      </w:r>
    </w:p>
    <w:p>
      <w:pPr>
        <w:spacing w:after="160"/>
      </w:pPr>
      <w:r>
        <w:t xml:space="preserve">This new download is deliberately kept alongside the original three, not a replacement for any of them — the original “Download Entire Workbook Content” and “Download Complete Input/Process/Output Workbook” buttons still work exactly as before for workbooks that don’t hit any of the three failure conditions above. The new combined download is the one to reach for when you specifically need the full raw content and the Input/Process/Output split together, or when the older download has previously failed to appear.</w:t>
      </w:r>
    </w:p>
    <w:p>
      <w:pPr>
        <w:pStyle w:val="Heading1"/>
        <w:spacing w:after="160" w:before="360"/>
      </w:pPr>
      <w:r>
        <w:t xml:space="preserve">8. Every Excel file this app can produce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2880"/>
      </w:tblGrid>
      <w:tr>
        <w:trPr>
          <w:tblHeader/>
        </w:trPr>
        <w:tc>
          <w:tcPr>
            <w:tcW w:type="pct" w:w="24%"/>
            <w:shd w:fill="1F4E79" w:val="clear"/>
          </w:tcPr>
          <w:p>
            <w:r>
              <w:rPr>
                <w:b/>
                <w:bCs/>
                <w:color w:val="FFFFFF"/>
                <w:sz w:val="20"/>
                <w:szCs w:val="20"/>
              </w:rPr>
              <w:t xml:space="preserve">Download button</w:t>
            </w:r>
          </w:p>
        </w:tc>
        <w:tc>
          <w:tcPr>
            <w:tcW w:type="pct" w:w="44%"/>
            <w:shd w:fill="1F4E79" w:val="clear"/>
          </w:tcPr>
          <w:p>
            <w:r>
              <w:rPr>
                <w:b/>
                <w:bCs/>
                <w:color w:val="FFFFFF"/>
                <w:sz w:val="20"/>
                <w:szCs w:val="20"/>
              </w:rPr>
              <w:t xml:space="preserve">Tabs inside</w:t>
            </w:r>
          </w:p>
        </w:tc>
        <w:tc>
          <w:tcPr>
            <w:tcW w:type="pct" w:w="32%"/>
            <w:shd w:fill="1F4E79" w:val="clear"/>
          </w:tcPr>
          <w:p>
            <w:r>
              <w:rPr>
                <w:b/>
                <w:bCs/>
                <w:color w:val="FFFFFF"/>
                <w:sz w:val="20"/>
                <w:szCs w:val="20"/>
              </w:rPr>
              <w:t xml:space="preserve">Source function(s)</w:t>
            </w:r>
          </w:p>
        </w:tc>
      </w:tr>
      <w:tr>
        <w:tc>
          <w:tcPr>
            <w:tcW w:type="pct" w:w="24%"/>
          </w:tcPr>
          <w:p>
            <w:r>
              <w:rPr>
                <w:b w:val="false"/>
                <w:bCs w:val="false"/>
                <w:color w:val="000000"/>
                <w:sz w:val="20"/>
                <w:szCs w:val="20"/>
              </w:rPr>
              <w:t xml:space="preserve">Rollforward_Analysis.xlsx</w:t>
            </w:r>
          </w:p>
        </w:tc>
        <w:tc>
          <w:tcPr>
            <w:tcW w:type="pct" w:w="44%"/>
          </w:tcPr>
          <w:p>
            <w:r>
              <w:rPr>
                <w:b w:val="false"/>
                <w:bCs w:val="false"/>
                <w:color w:val="000000"/>
                <w:sz w:val="20"/>
                <w:szCs w:val="20"/>
              </w:rPr>
              <w:t xml:space="preserve">Workbook_Summary, Sheet_Overview, Rollforward_Sheet_Names, Cell_Rollforward_Mapping, IPO_Rollforward_ThisYear, Formula_Rollforward_Mapping</w:t>
            </w:r>
          </w:p>
        </w:tc>
        <w:tc>
          <w:tcPr>
            <w:tcW w:type="pct" w:w="32%"/>
          </w:tcPr>
          <w:p>
            <w:r>
              <w:rPr>
                <w:b w:val="false"/>
                <w:bCs w:val="false"/>
                <w:color w:val="000000"/>
                <w:sz w:val="20"/>
                <w:szCs w:val="20"/>
              </w:rPr>
              <w:t xml:space="preserve">summarize_workbook, current_year_overview, rollforward_sheet_names, cell_rollforward_table, category_sheet_rollforward_summary, formula_rollforward_table</w:t>
            </w:r>
          </w:p>
        </w:tc>
      </w:tr>
      <w:tr>
        <w:tc>
          <w:tcPr>
            <w:tcW w:type="pct" w:w="24%"/>
          </w:tcPr>
          <w:p>
            <w:r>
              <w:rPr>
                <w:b w:val="false"/>
                <w:bCs w:val="false"/>
                <w:color w:val="000000"/>
                <w:sz w:val="20"/>
                <w:szCs w:val="20"/>
              </w:rPr>
              <w:t xml:space="preserve">Full_Workbook_Content.xlsx</w:t>
            </w:r>
          </w:p>
        </w:tc>
        <w:tc>
          <w:tcPr>
            <w:tcW w:type="pct" w:w="44%"/>
          </w:tcPr>
          <w:p>
            <w:r>
              <w:rPr>
                <w:b w:val="false"/>
                <w:bCs w:val="false"/>
                <w:color w:val="000000"/>
                <w:sz w:val="20"/>
                <w:szCs w:val="20"/>
              </w:rPr>
              <w:t xml:space="preserve">One tab per workbook pair, plus All_Content</w:t>
            </w:r>
          </w:p>
        </w:tc>
        <w:tc>
          <w:tcPr>
            <w:tcW w:type="pct" w:w="32%"/>
          </w:tcPr>
          <w:p>
            <w:r>
              <w:rPr>
                <w:b w:val="false"/>
                <w:bCs w:val="false"/>
                <w:color w:val="000000"/>
                <w:sz w:val="20"/>
                <w:szCs w:val="20"/>
              </w:rPr>
              <w:t xml:space="preserve">extract_full_workbook_content</w:t>
            </w:r>
          </w:p>
        </w:tc>
      </w:tr>
      <w:tr>
        <w:tc>
          <w:tcPr>
            <w:tcW w:type="pct" w:w="24%"/>
          </w:tcPr>
          <w:p>
            <w:r>
              <w:rPr>
                <w:b w:val="false"/>
                <w:bCs w:val="false"/>
                <w:color w:val="000000"/>
                <w:sz w:val="20"/>
                <w:szCs w:val="20"/>
              </w:rPr>
              <w:t xml:space="preserve">Input_Process_Output_Complete.xlsx</w:t>
            </w:r>
          </w:p>
        </w:tc>
        <w:tc>
          <w:tcPr>
            <w:tcW w:type="pct" w:w="44%"/>
          </w:tcPr>
          <w:p>
            <w:r>
              <w:rPr>
                <w:b w:val="false"/>
                <w:bCs w:val="false"/>
                <w:color w:val="000000"/>
                <w:sz w:val="20"/>
                <w:szCs w:val="20"/>
              </w:rPr>
              <w:t xml:space="preserve">Totals_By_Category, All_Sheets, Input, Process, Output, Unclassified, Cell_Level_Changes, and per-category *_Cell_Changes tabs</w:t>
            </w:r>
          </w:p>
        </w:tc>
        <w:tc>
          <w:tcPr>
            <w:tcW w:type="pct" w:w="32%"/>
          </w:tcPr>
          <w:p>
            <w:r>
              <w:rPr>
                <w:b w:val="false"/>
                <w:bCs w:val="false"/>
                <w:color w:val="000000"/>
                <w:sz w:val="20"/>
                <w:szCs w:val="20"/>
              </w:rPr>
              <w:t xml:space="preserve">ipo_sheet_detail_table, ipo_cell_level_changes</w:t>
            </w:r>
          </w:p>
        </w:tc>
      </w:tr>
      <w:tr>
        <w:tc>
          <w:tcPr>
            <w:tcW w:type="pct" w:w="24%"/>
          </w:tcPr>
          <w:p>
            <w:r>
              <w:rPr>
                <w:b w:val="false"/>
                <w:bCs w:val="false"/>
                <w:color w:val="000000"/>
                <w:sz w:val="20"/>
                <w:szCs w:val="20"/>
              </w:rPr>
              <w:t xml:space="preserve">Complete_Workbook_Content.xlsx (new today)</w:t>
            </w:r>
          </w:p>
        </w:tc>
        <w:tc>
          <w:tcPr>
            <w:tcW w:type="pct" w:w="44%"/>
          </w:tcPr>
          <w:p>
            <w:r>
              <w:rPr>
                <w:b w:val="false"/>
                <w:bCs w:val="false"/>
                <w:color w:val="000000"/>
                <w:sz w:val="20"/>
                <w:szCs w:val="20"/>
              </w:rPr>
              <w:t xml:space="preserve">All_Content, Input, Process, Output, Unclassified, and one tab per workbook pair — all split/deduped as needed</w:t>
            </w:r>
          </w:p>
        </w:tc>
        <w:tc>
          <w:tcPr>
            <w:tcW w:type="pct" w:w="32%"/>
          </w:tcPr>
          <w:p>
            <w:r>
              <w:rPr>
                <w:b w:val="false"/>
                <w:bCs w:val="false"/>
                <w:color w:val="000000"/>
                <w:sz w:val="20"/>
                <w:szCs w:val="20"/>
              </w:rPr>
              <w:t xml:space="preserve">extract_full_workbook_content_with_category, build_complete_workbook_bundle</w:t>
            </w:r>
          </w:p>
        </w:tc>
      </w:tr>
    </w:tbl>
    <w:p>
      <w:pPr>
        <w:pStyle w:val="Heading1"/>
        <w:spacing w:after="160" w:before="360"/>
      </w:pPr>
      <w:r>
        <w:t xml:space="preserve">9. Summary</w:t>
      </w:r>
    </w:p>
    <w:p>
      <w:pPr>
        <w:spacing w:after="160"/>
      </w:pPr>
      <w:r>
        <w:t xml:space="preserve">engine.py is a self-contained comparison engine: load → match workbooks → match sheets → diff cells and formulas → score complexity → roll everything into a per-sheet and per-workbook summary → estimate manual effort and automation potential. On top of that base sits a second layer purpose-built for accounting-style Input/Process/Output workflows, plus a set of extraction functions that turn every diff into an explicit, exportable cell-reference mapping. app.py is a thin Streamlit shell around all of that: it never computes a diff itself, only displays what engine.py hands it and turns it into downloadable Excel files. Today’s change adds one new, hardened export to that shell — and, more importantly, fixes the specific silent-failure modes that were most likely why the previous “Download Entire Workbook Content” button sometimes didn’t show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2026-09-10T00:42:48.081Z</dcterms:created>
  <dcterms:modified xsi:type="dcterms:W3CDTF">2026-09-10T00:42:48.092Z</dcterms:modified>
</cp:coreProperties>
</file>

<file path=docProps/custom.xml><?xml version="1.0" encoding="utf-8"?>
<Properties xmlns="http://schemas.openxmlformats.org/officeDocument/2006/custom-properties" xmlns:vt="http://schemas.openxmlformats.org/officeDocument/2006/docPropsVTypes"/>
</file>