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C198r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Campos, Eduardo Toniolo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Matemática - 2º ano / Eduardo Toniolo Campos.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978-65-6011-008-3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978-65-6011-017-5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Campos, Eduardo Toniolo.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