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R586r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Rios, Ana Paula Souza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- 1º ano / Ana Paula Souza Rios.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978-65-84778-89-4 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978-65-84778-98-6  (Livro do Professor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Rios, Ana Paula Souza.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