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Movimiento armónico, experiencia y sonido</w:t>
      </w:r>
    </w:p>
    <w:p>
      <w:pPr>
        <w:pStyle w:val="Subtitle"/>
      </w:pPr>
      <w:r>
        <w:t>Investigación del equipo de Harmonic Beacon sobre movimiento y sonido</w:t>
      </w:r>
    </w:p>
    <w:p>
      <w:r>
        <w:rPr>
          <w:b/>
        </w:rPr>
        <w:t>Versión de presentación · 24 de septiembre de 2026</w:t>
      </w:r>
    </w:p>
    <w:p>
      <w:r>
        <w:rPr>
          <w:b/>
        </w:rPr>
        <w:t>Estado:</w:t>
      </w:r>
      <w:r>
        <w:t xml:space="preserve"> propuesta metodológica y banco sintético reproducible. No hay aún resultados experimentales del caso principal.</w:t>
      </w:r>
    </w:p>
    <w:p>
      <w:pPr>
        <w:pStyle w:val="Heading1"/>
      </w:pPr>
      <w:r>
        <w:t>La pregunta</w:t>
      </w:r>
    </w:p>
    <w:p>
      <w:r>
        <w:t xml:space="preserve">Queremos saber si ciertas maneras de organizar un movimiento de rope flow se relacionan con una experiencia vivida de fluidez o consonancia, con su belleza y sensualidad percibidas, y con menor costo fisiológico para </w:t>
      </w:r>
      <w:r>
        <w:rPr>
          <w:b/>
        </w:rPr>
        <w:t>una tarea comparable</w:t>
      </w:r>
      <w:r>
        <w:t>. Una hipótesis del programa plantea que en ciertos momentos puede haber una reorganización corporal y subjetiva extraordinaria. Esta hipótesis orienta preguntas; no se usará como etiqueta anticipada de los videos ni como resultado ya demostrado.</w:t>
      </w:r>
    </w:p>
    <w:p>
      <w:r>
        <w:t xml:space="preserve">El primer estudio será un caso intensivo de rope flow. El alcance inicial es </w:t>
      </w:r>
      <w:r>
        <w:rPr>
          <w:b/>
        </w:rPr>
        <w:t>otra sesión de la misma persona realizando figuras comparables</w:t>
      </w:r>
      <w:r>
        <w:t>, no todas las personas ni todas las danzas. Primero averiguaremos qué se puede observar de verdad con las cámaras disponibles; después probaremos asociaciones en sesiones nuevas; finalmente estudiaremos si escuchar el movimiento mediante Beacon cambia la ejecución o la experiencia.</w:t>
      </w:r>
    </w:p>
    <w:p>
      <w:pPr>
        <w:pStyle w:val="Heading1"/>
      </w:pPr>
      <w:r>
        <w:t>Qué tomamos de cada marco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17535C"/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Referencia</w:t>
            </w:r>
          </w:p>
        </w:tc>
        <w:tc>
          <w:tcPr>
            <w:tcW w:type="dxa" w:w="2466"/>
            <w:vAlign w:val="center"/>
            <w:shd w:fill="17535C"/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Elemento útil</w:t>
            </w:r>
          </w:p>
        </w:tc>
        <w:tc>
          <w:tcPr>
            <w:tcW w:type="dxa" w:w="2466"/>
            <w:vAlign w:val="center"/>
            <w:shd w:fill="17535C"/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Traducción al estudio</w:t>
            </w:r>
          </w:p>
        </w:tc>
        <w:tc>
          <w:tcPr>
            <w:tcW w:type="dxa" w:w="2466"/>
            <w:vAlign w:val="center"/>
            <w:shd w:fill="17535C"/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Límite que cuidaremos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Rudolf Laban</w:t>
            </w:r>
          </w:p>
        </w:tc>
        <w:tc>
          <w:tcPr>
            <w:tcW w:type="dxa" w:w="2466"/>
            <w:vAlign w:val="center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Space Harmony/Choreutics: kinesfera, dirección, planos, recorridos, secuencias; Effort como vocabulario cualitativo.</w:t>
            </w:r>
          </w:p>
        </w:tc>
        <w:tc>
          <w:tcPr>
            <w:tcW w:type="dxa" w:w="2466"/>
            <w:vAlign w:val="center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Describir trayectorias de mano/cuerpo, ubicación frente a dirección de movimiento, continuidad y organización espacial. Una persona formada en Laban revisará anotaciones y categorías.</w:t>
            </w:r>
          </w:p>
        </w:tc>
        <w:tc>
          <w:tcPr>
            <w:tcW w:type="dxa" w:w="2466"/>
            <w:vAlign w:val="center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 xml:space="preserve">Nuestras ecuaciones de trayectoria son operacionalizaciones actuales, </w:t>
            </w:r>
            <w:r>
              <w:rPr>
                <w:b/>
                <w:sz w:val="14"/>
              </w:rPr>
              <w:t>no ecuaciones históricas de Laban</w:t>
            </w:r>
            <w:r>
              <w:rPr>
                <w:sz w:val="14"/>
              </w:rPr>
              <w:t>. Sus libros *Choreographie* y *Choreutics* siguen pendientes de lectura integral.</w:t>
            </w:r>
          </w:p>
        </w:tc>
      </w:tr>
      <w:tr>
        <w:tc>
          <w:tcPr>
            <w:tcW w:type="dxa" w:w="2466"/>
            <w:vAlign w:val="center"/>
            <w:shd w:fill="EDF3F2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Harmonic Information Theory (HIT)</w:t>
            </w:r>
          </w:p>
        </w:tc>
        <w:tc>
          <w:tcPr>
            <w:tcW w:type="dxa" w:w="2466"/>
            <w:vAlign w:val="center"/>
            <w:shd w:fill="EDF3F2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Hipótesis de relaciones simples, fase, recurrencia, estabilidad y procesamiento de patrones.</w:t>
            </w:r>
          </w:p>
        </w:tc>
        <w:tc>
          <w:tcPr>
            <w:tcW w:type="dxa" w:w="2466"/>
            <w:vAlign w:val="center"/>
            <w:shd w:fill="EDF3F2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Predicciones temporales concretas: después de controlar cadencia, rapidez y geometría, ¿una relación entre señales independientes anticipa mejor el siguiente ciclo o una respuesta externa?</w:t>
            </w:r>
          </w:p>
        </w:tc>
        <w:tc>
          <w:tcPr>
            <w:tcW w:type="dxa" w:w="2466"/>
            <w:vAlign w:val="center"/>
            <w:shd w:fill="EDF3F2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Las conjeturas de menor costo y sensibilidad biológica no están validadas en rope flow. Fase estable tampoco significa por sí sola placer o eficiencia.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Risa F. Kaparo</w:t>
            </w:r>
          </w:p>
        </w:tc>
        <w:tc>
          <w:tcPr>
            <w:tcW w:type="dxa" w:w="2466"/>
            <w:vAlign w:val="center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Atención somática y vocabulario de sensación, respiración y movimiento.</w:t>
            </w:r>
          </w:p>
        </w:tc>
        <w:tc>
          <w:tcPr>
            <w:tcW w:type="dxa" w:w="2466"/>
            <w:vAlign w:val="center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Preguntas neutrales a la persona participante inmediatamente después de cada bloque sobre facilidad, placer, atención, esfuerzo y continuidad vivida.</w:t>
            </w:r>
          </w:p>
        </w:tc>
        <w:tc>
          <w:tcPr>
            <w:tcW w:type="dxa" w:w="2466"/>
            <w:vAlign w:val="center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Es una guía para escuchar la primera persona, no un biomarcador ni evidencia de un estado místico. La obra completa aún no fue cotejada.</w:t>
            </w:r>
          </w:p>
        </w:tc>
      </w:tr>
      <w:tr>
        <w:tc>
          <w:tcPr>
            <w:tcW w:type="dxa" w:w="2466"/>
            <w:vAlign w:val="center"/>
            <w:shd w:fill="EDF3F2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Michael Levin</w:t>
            </w:r>
          </w:p>
        </w:tc>
        <w:tc>
          <w:tcPr>
            <w:tcW w:type="dxa" w:w="2466"/>
            <w:vAlign w:val="center"/>
            <w:shd w:fill="EDF3F2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Organización y control bioeléctrico multiescala en otros sistemas biológicos.</w:t>
            </w:r>
          </w:p>
        </w:tc>
        <w:tc>
          <w:tcPr>
            <w:tcW w:type="dxa" w:w="2466"/>
            <w:vAlign w:val="center"/>
            <w:shd w:fill="EDF3F2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Pregunta futura sobre adaptación y reorganización ante perturbaciones; separar nivel celular, neural y cinemático.</w:t>
            </w:r>
          </w:p>
        </w:tc>
        <w:tc>
          <w:tcPr>
            <w:tcW w:type="dxa" w:w="2466"/>
            <w:vAlign w:val="center"/>
            <w:shd w:fill="EDF3F2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Sus resultados en morfogénesis no prueban bioelectricidad celular específica ni conciencia elevada durante rope flow. ECG/EMG, si se agregan, miden otras señales.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Práctica de rope flow y Harmonic Weaver</w:t>
            </w:r>
          </w:p>
        </w:tc>
        <w:tc>
          <w:tcPr>
            <w:tcW w:type="dxa" w:w="2466"/>
            <w:vAlign w:val="center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Repertorio corporal real; coautoría de HIT; router de fuentes hacia instrumentos.</w:t>
            </w:r>
          </w:p>
        </w:tc>
        <w:tc>
          <w:tcPr>
            <w:tcW w:type="dxa" w:w="2466"/>
            <w:vAlign w:val="center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Elegir figuras que la persona participante realmente practica, formular predicciones HIT y preparar sonificación trazable de señales validadas.</w:t>
            </w:r>
          </w:p>
        </w:tc>
        <w:tc>
          <w:tcPr>
            <w:tcW w:type="dxa" w:w="2466"/>
            <w:vAlign w:val="center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El software transporta controles; no decide por sí mismo qué es bello, eficiente o consciente.</w:t>
            </w:r>
          </w:p>
        </w:tc>
      </w:tr>
    </w:tbl>
    <w:p>
      <w:pPr>
        <w:spacing w:after="0"/>
      </w:pPr>
    </w:p>
    <w:p>
      <w:pPr>
        <w:pStyle w:val="Heading1"/>
      </w:pPr>
      <w:r>
        <w:t>Qué queremos probar, en orden</w:t>
      </w:r>
    </w:p>
    <w:p>
      <w:r>
        <w:rPr>
          <w:b/>
        </w:rPr>
        <w:t>1. Identificabilidad instrumental.</w:t>
      </w:r>
      <w:r>
        <w:t xml:space="preserve"> ¿Podemos recuperar de videos originales la posición y el recorrido de manos y cuerpo, distinguir plano y giro, contar ciclos y estimar fase dentro del ciclo? Compararemos cada descriptor con marcas independientes, visibilidad, error y cobertura. Si una cámara sólo ofrece 2D confiable, diremos 2D.</w:t>
      </w:r>
    </w:p>
    <w:p>
      <w:r>
        <w:rPr>
          <w:b/>
        </w:rPr>
        <w:t>2. Aporte espacial de Laban.</w:t>
      </w:r>
      <w:r>
        <w:t xml:space="preserve"> En sesiones reservadas completas, compararemos un modelo base de patrón, cadencia, rapidez y amplitud con el mismo modelo más descriptores espaciales inspirados en Laban. Una mejora fuera de desarrollo apoyaría su utilidad descriptiva o predictiva, sin certificar todavía una teoría estética.</w:t>
      </w:r>
    </w:p>
    <w:p>
      <w:r>
        <w:rPr>
          <w:b/>
        </w:rPr>
        <w:t>3. Aporte relacional de HIT.</w:t>
      </w:r>
      <w:r>
        <w:t xml:space="preserve"> Sobre las mismas unidades y sin usar información futura, añadiremos desfase, concentración de fase y recurrencia entre señales identificadas por separado. Preguntaremos si aportan algo por encima de la base y de Laban. Un pulso musical común o el mero cierre simultáneo de vueltas son explicaciones alternativas obligatorias.</w:t>
      </w:r>
    </w:p>
    <w:p>
      <w:r>
        <w:rPr>
          <w:b/>
        </w:rPr>
        <w:t>4. Experiencia y estética.</w:t>
      </w:r>
      <w:r>
        <w:t xml:space="preserve"> La persona participante informará por bloque qué sintió sin escuchar una respuesta sugerida. Evaluadores independientes verán clips completos, elegidos sin seleccionar sólo los más bellos, y puntuarán belleza, sensualidad, fluidez y esfuerzo aparente. La vivencia de la persona participante y el juicio de terceros son dos resultados distintos.</w:t>
      </w:r>
    </w:p>
    <w:p>
      <w:r>
        <w:rPr>
          <w:b/>
        </w:rPr>
        <w:t>5. Economía y Beacon.</w:t>
      </w:r>
      <w:r>
        <w:t xml:space="preserve"> Sólo con acceso a calorimetría indirecta y bloques fisiológicamente interpretables contrastaremos costo </w:t>
      </w:r>
      <w:r>
        <w:rPr>
          <w:b/>
        </w:rPr>
        <w:t>oxidativo</w:t>
      </w:r>
      <w:r>
        <w:t xml:space="preserve">; video, pulso o el proxy cinemático </w:t>
      </w:r>
      <w:r>
        <w:rPr>
          <w:rFonts w:ascii="DejaVu Sans Mono" w:hAnsi="DejaVu Sans Mono"/>
          <w:sz w:val="16"/>
        </w:rPr>
        <w:t>kinetic_energy</w:t>
      </w:r>
      <w:r>
        <w:t xml:space="preserve"> no lo sustituyen. La intervención Beacon será otro estudio: sonido contingente frente a controles, con audio efectivamente grabado, latencia medida y posible aprendizaje o deterioro evaluados.</w:t>
      </w:r>
    </w:p>
    <w:p>
      <w:r>
        <w:t>La cadena fuerte «consonancia → belleza → sensualidad → menor costo → estado extraordinario» se tratará como un conjunto de relaciones separables. Si alguna falla, el resultado sigue siendo informativo.</w:t>
      </w:r>
    </w:p>
    <w:p>
      <w:pPr>
        <w:pStyle w:val="Heading1"/>
      </w:pPr>
      <w:r>
        <w:t>Lo que ya verificamos con datos sintéticos</w:t>
      </w:r>
    </w:p>
    <w:p>
      <w:r>
        <w:t xml:space="preserve">Generamos </w:t>
      </w:r>
      <w:r>
        <w:rPr>
          <w:b/>
        </w:rPr>
        <w:t>960 filas</w:t>
      </w:r>
      <w:r>
        <w:t>, cuatro condiciones de ocho segundos a 30 cuadros/s: dos planos de recorrido de la mano derecha (lateral–anterior y lateral–vertical) cruzados con dos relaciones temporales entre manos (alineada y opuesta). Las condiciones temporales mantienen para cada mano ocho vueltas, duración, recorrido, longitud y distribución de rapidez; cambia el emparejamiento de los avances dentro de cada vuelta.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vAlign w:val="center"/>
            <w:shd w:fill="17535C"/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Plano</w:t>
            </w:r>
          </w:p>
        </w:tc>
        <w:tc>
          <w:tcPr>
            <w:tcW w:type="dxa" w:w="1973"/>
            <w:vAlign w:val="center"/>
            <w:shd w:fill="17535C"/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Relación</w:t>
            </w:r>
          </w:p>
        </w:tc>
        <w:tc>
          <w:tcPr>
            <w:tcW w:type="dxa" w:w="1973"/>
            <w:vAlign w:val="center"/>
            <w:shd w:fill="17535C"/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Q lateral/anterior/vertical</w:t>
            </w:r>
          </w:p>
        </w:tc>
        <w:tc>
          <w:tcPr>
            <w:tcW w:type="dxa" w:w="1973"/>
            <w:vAlign w:val="center"/>
            <w:shd w:fill="17535C"/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 de fase continua</w:t>
            </w:r>
          </w:p>
        </w:tc>
        <w:tc>
          <w:tcPr>
            <w:tcW w:type="dxa" w:w="1973"/>
            <w:vAlign w:val="center"/>
            <w:shd w:fill="17535C"/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 sólo con cierres de vuelta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lateral–anterior</w:t>
            </w:r>
          </w:p>
        </w:tc>
        <w:tc>
          <w:tcPr>
            <w:tcW w:type="dxa" w:w="1973"/>
            <w:vAlign w:val="center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alineada</w:t>
            </w:r>
          </w:p>
        </w:tc>
        <w:tc>
          <w:tcPr>
            <w:tcW w:type="dxa" w:w="1973"/>
            <w:vAlign w:val="center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0,500 / 0,500 / 0,000</w:t>
            </w:r>
          </w:p>
        </w:tc>
        <w:tc>
          <w:tcPr>
            <w:tcW w:type="dxa" w:w="1973"/>
            <w:vAlign w:val="center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1,000</w:t>
            </w:r>
          </w:p>
        </w:tc>
        <w:tc>
          <w:tcPr>
            <w:tcW w:type="dxa" w:w="1973"/>
            <w:vAlign w:val="center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1,000</w:t>
            </w:r>
          </w:p>
        </w:tc>
      </w:tr>
      <w:tr>
        <w:tc>
          <w:tcPr>
            <w:tcW w:type="dxa" w:w="1973"/>
            <w:vAlign w:val="center"/>
            <w:shd w:fill="EDF3F2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lateral–anterior</w:t>
            </w:r>
          </w:p>
        </w:tc>
        <w:tc>
          <w:tcPr>
            <w:tcW w:type="dxa" w:w="1973"/>
            <w:vAlign w:val="center"/>
            <w:shd w:fill="EDF3F2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opuesta</w:t>
            </w:r>
          </w:p>
        </w:tc>
        <w:tc>
          <w:tcPr>
            <w:tcW w:type="dxa" w:w="1973"/>
            <w:vAlign w:val="center"/>
            <w:shd w:fill="EDF3F2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0,500 / 0,500 / 0,000</w:t>
            </w:r>
          </w:p>
        </w:tc>
        <w:tc>
          <w:tcPr>
            <w:tcW w:type="dxa" w:w="1973"/>
            <w:vAlign w:val="center"/>
            <w:shd w:fill="EDF3F2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0,077</w:t>
            </w:r>
          </w:p>
        </w:tc>
        <w:tc>
          <w:tcPr>
            <w:tcW w:type="dxa" w:w="1973"/>
            <w:vAlign w:val="center"/>
            <w:shd w:fill="EDF3F2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1,000</w:t>
            </w:r>
          </w:p>
        </w:tc>
      </w:tr>
      <w:tr>
        <w:tc>
          <w:tcPr>
            <w:tcW w:type="dxa" w:w="1973"/>
            <w:vAlign w:val="center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lateral–vertical</w:t>
            </w:r>
          </w:p>
        </w:tc>
        <w:tc>
          <w:tcPr>
            <w:tcW w:type="dxa" w:w="1973"/>
            <w:vAlign w:val="center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alineada</w:t>
            </w:r>
          </w:p>
        </w:tc>
        <w:tc>
          <w:tcPr>
            <w:tcW w:type="dxa" w:w="1973"/>
            <w:vAlign w:val="center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0,500 / 0,000 / 0,500</w:t>
            </w:r>
          </w:p>
        </w:tc>
        <w:tc>
          <w:tcPr>
            <w:tcW w:type="dxa" w:w="1973"/>
            <w:vAlign w:val="center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1,000</w:t>
            </w:r>
          </w:p>
        </w:tc>
        <w:tc>
          <w:tcPr>
            <w:tcW w:type="dxa" w:w="1973"/>
            <w:vAlign w:val="center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1,000</w:t>
            </w:r>
          </w:p>
        </w:tc>
      </w:tr>
      <w:tr>
        <w:tc>
          <w:tcPr>
            <w:tcW w:type="dxa" w:w="1973"/>
            <w:vAlign w:val="center"/>
            <w:shd w:fill="EDF3F2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lateral–vertical</w:t>
            </w:r>
          </w:p>
        </w:tc>
        <w:tc>
          <w:tcPr>
            <w:tcW w:type="dxa" w:w="1973"/>
            <w:vAlign w:val="center"/>
            <w:shd w:fill="EDF3F2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opuesta</w:t>
            </w:r>
          </w:p>
        </w:tc>
        <w:tc>
          <w:tcPr>
            <w:tcW w:type="dxa" w:w="1973"/>
            <w:vAlign w:val="center"/>
            <w:shd w:fill="EDF3F2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0,500 / 0,000 / 0,500</w:t>
            </w:r>
          </w:p>
        </w:tc>
        <w:tc>
          <w:tcPr>
            <w:tcW w:type="dxa" w:w="1973"/>
            <w:vAlign w:val="center"/>
            <w:shd w:fill="EDF3F2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0,077</w:t>
            </w:r>
          </w:p>
        </w:tc>
        <w:tc>
          <w:tcPr>
            <w:tcW w:type="dxa" w:w="1973"/>
            <w:vAlign w:val="center"/>
            <w:shd w:fill="EDF3F2"/>
          </w:tcPr>
          <w:p>
            <w:pPr>
              <w:spacing w:after="20"/>
            </w:pPr>
            <w:r>
              <w:rPr>
                <w:sz w:val="14"/>
              </w:rPr>
            </w:r>
            <w:r>
              <w:rPr>
                <w:sz w:val="14"/>
              </w:rPr>
              <w:t>1,000</w:t>
            </w:r>
          </w:p>
        </w:tc>
      </w:tr>
    </w:tbl>
    <w:p>
      <w:pPr>
        <w:spacing w:after="0"/>
      </w:pPr>
    </w:p>
    <w:p>
      <w:r>
        <w:rPr>
          <w:rFonts w:ascii="DejaVu Sans Mono" w:hAnsi="DejaVu Sans Mono"/>
          <w:sz w:val="16"/>
        </w:rPr>
        <w:t>Q</w:t>
      </w:r>
      <w:r>
        <w:t xml:space="preserve"> es un descriptor </w:t>
      </w:r>
      <w:r>
        <w:rPr>
          <w:b/>
        </w:rPr>
        <w:t>propuesto</w:t>
      </w:r>
      <w:r>
        <w:t xml:space="preserve"> de distribución de direcciones del recorrido; </w:t>
      </w:r>
      <w:r>
        <w:rPr>
          <w:rFonts w:ascii="DejaVu Sans Mono" w:hAnsi="DejaVu Sans Mono"/>
          <w:sz w:val="16"/>
        </w:rPr>
        <w:t>R</w:t>
      </w:r>
      <w:r>
        <w:t xml:space="preserve"> es concentración de una relación de fase, no un puntaje de bondad. El control revela un riesgo real de diseño: si sólo marcamos cuándo termina cada vuelta, el algoritmo devuelve </w:t>
      </w:r>
      <w:r>
        <w:rPr>
          <w:rFonts w:ascii="DejaVu Sans Mono" w:hAnsi="DejaVu Sans Mono"/>
          <w:sz w:val="16"/>
        </w:rPr>
        <w:t>R=1</w:t>
      </w:r>
      <w:r>
        <w:t xml:space="preserve"> en ambas condiciones y pierde la diferencia intracíclo. El código, CSV, resultados y cuatro audios de demostración están en </w:t>
      </w:r>
      <w:r>
        <w:rPr>
          <w:rFonts w:ascii="DejaVu Sans Mono" w:hAnsi="DejaVu Sans Mono"/>
          <w:sz w:val="16"/>
        </w:rPr>
        <w:t>estudio-movimiento-armonico/datos_sinteticos_presentacion/</w:t>
      </w:r>
      <w:r>
        <w:t xml:space="preserve">. Los sonidos son una traducción diagnóstica de curvas fabricadas; </w:t>
      </w:r>
      <w:r>
        <w:rPr>
          <w:b/>
        </w:rPr>
        <w:t>no son audio live de Beacon ni prueban belleza, metabolismo o conciencia</w:t>
      </w:r>
      <w:r>
        <w:t>.</w:t>
      </w:r>
    </w:p>
    <w:p>
      <w:pPr>
        <w:pStyle w:val="Heading1"/>
      </w:pPr>
      <w:r>
        <w:t>De un video de baile al sonido, y después al caso principal</w:t>
      </w:r>
    </w:p>
    <w:p>
      <w:r>
        <w:t xml:space="preserve">La primera demostración audiovisual usará un video de baile </w:t>
      </w:r>
      <w:r>
        <w:rPr>
          <w:b/>
        </w:rPr>
        <w:t>con licencia/permiso y archivo original</w:t>
      </w:r>
      <w:r>
        <w:t xml:space="preserve"> donde se vean claramente cuerpo y ritmo. Conservaremos original, tiempos por cuadro y condiciones de uso. Extraeremos pose y calidad con HarMoCAP u otra herramienta contrastada; corregiremos manualmente una muestra; calcularemos en análisis offline un descriptor espacial y uno temporal que superen el control sintético y el de cámara. Cada señal llevará unidad, ventana, latencia, incertidumbre y estado </w:t>
      </w:r>
      <w:r>
        <w:rPr>
          <w:rFonts w:ascii="DejaVu Sans Mono" w:hAnsi="DejaVu Sans Mono"/>
          <w:sz w:val="16"/>
        </w:rPr>
        <w:t>observed/held/invalid</w:t>
      </w:r>
      <w:r>
        <w:t>.</w:t>
      </w:r>
    </w:p>
    <w:p>
      <w:r>
        <w:t xml:space="preserve">Una escena versionada en Harmonic Weaver enviará esos dos canales a controles separados del instrumento Beacon; registraremos señal, transformación, control aplicado y audio grabado. Compararemos el audio con controles donde se permuta el plano o la fase sin cambiar las otras entradas. Si las dos condiciones no se distinguen en la salida, el mapeo perdió información y debe corregirse. La demo de baile prueba la </w:t>
      </w:r>
      <w:r>
        <w:rPr>
          <w:b/>
        </w:rPr>
        <w:t>cadena técnica</w:t>
      </w:r>
      <w:r>
        <w:t>, no la hipótesis del estudio. Sólo después se usará un video original consentido de rope flow y, más adelante, feedback en vivo durante el movimiento.</w:t>
      </w:r>
    </w:p>
    <w:p>
      <w:pPr>
        <w:pStyle w:val="Heading1"/>
        <w:pageBreakBefore/>
      </w:pPr>
      <w:r>
        <w:t>Qué necesitamos</w:t>
      </w:r>
    </w:p>
    <w:p>
      <w:r>
        <w:rPr>
          <w:b/>
        </w:rPr>
        <w:t>Ya disponible:</w:t>
      </w:r>
      <w:r>
        <w:t xml:space="preserve"> aproximadamente cuatro Reolink, cuatro cámaras «logicam» y un Moto G; repositorios HarMoCAP, Harmonic Weaver y Beacon; protocolo y bancos sintéticos. </w:t>
      </w:r>
      <w:r>
        <w:rPr>
          <w:b/>
        </w:rPr>
        <w:t>Para el banco físico:</w:t>
      </w:r>
      <w:r>
        <w:t xml:space="preserve"> comprobar modelos/archivos originales; tablero ChArUco o damero mate rígido, dos o tres soportes, cinta/marcas, luz visible de sincronía; iluminación y disco sólo si la prueba lo exige. No comprar IMU, ECG, EMG ni equipo metabólico antes de decidir qué variable falta.</w:t>
      </w:r>
    </w:p>
    <w:p>
      <w:r>
        <w:rPr>
          <w:b/>
        </w:rPr>
        <w:t>Equipo humano:</w:t>
      </w:r>
      <w:r>
        <w:t xml:space="preserve"> la coordinación define alcance, permisos y criterio de uso de imagen; la persona participante elige figuras habituales y decide si participa y cómo se usan sus videos; una persona con formación en Laban revisa la traducción de categorías; dos o más anotadores independientes ayudan a evaluar acuerdo; alguien de biomecánica/captura y, para costo oxidativo, fisiología del ejercicio o laboratorio con calorimetría. La lista con entregables concretos está en </w:t>
      </w:r>
      <w:r>
        <w:rPr>
          <w:rFonts w:ascii="DejaVu Sans Mono" w:hAnsi="DejaVu Sans Mono"/>
          <w:sz w:val="16"/>
        </w:rPr>
        <w:t>EQUIPO_HUMANO_Y_COMPRAS.md</w:t>
      </w:r>
      <w:r>
        <w:t>.</w:t>
      </w:r>
    </w:p>
    <w:p>
      <w:pPr>
        <w:pStyle w:val="Heading1"/>
      </w:pPr>
      <w:r>
        <w:t>Entregables y decisiones</w:t>
      </w:r>
    </w:p>
    <w:p>
      <w:pPr>
        <w:pStyle w:val="ListNumber"/>
      </w:pPr>
      <w:r>
        <w:rPr>
          <w:b/>
        </w:rPr>
        <w:t>Banco técnico sin personas:</w:t>
      </w:r>
      <w:r>
        <w:t xml:space="preserve"> confirmar FPS/PTS, calibración, sincronía, blur, cobertura y error físico; decidir 2D/3D por descriptor.</w:t>
      </w:r>
    </w:p>
    <w:p>
      <w:pPr>
        <w:pStyle w:val="ListNumber"/>
      </w:pPr>
      <w:r>
        <w:rPr>
          <w:b/>
        </w:rPr>
        <w:t>Desarrollo con videos consentidos:</w:t>
      </w:r>
      <w:r>
        <w:t xml:space="preserve"> inventariar originales, escoger una o dos figuras habituales y congelar guía de anotación y análisis.</w:t>
      </w:r>
    </w:p>
    <w:p>
      <w:pPr>
        <w:pStyle w:val="ListNumber"/>
      </w:pPr>
      <w:r>
        <w:rPr>
          <w:b/>
        </w:rPr>
        <w:t>Sesiones reservadas:</w:t>
      </w:r>
      <w:r>
        <w:t xml:space="preserve"> estimar error, acuerdo y predicción base → Laban → HIT sin reajustar con esas sesiones.</w:t>
      </w:r>
    </w:p>
    <w:p>
      <w:pPr>
        <w:pStyle w:val="ListNumber"/>
      </w:pPr>
      <w:r>
        <w:rPr>
          <w:b/>
        </w:rPr>
        <w:t>Paper 1:</w:t>
      </w:r>
      <w:r>
        <w:t xml:space="preserve"> método y factibilidad; posteriores artículos sólo si hay datos para asociaciones, metabolismo o efecto de Beacon.</w:t>
      </w:r>
    </w:p>
    <w:p>
      <w:pPr>
        <w:pStyle w:val="ListNumber"/>
      </w:pPr>
      <w:r>
        <w:rPr>
          <w:b/>
        </w:rPr>
        <w:t>Demo de sonificación:</w:t>
      </w:r>
      <w:r>
        <w:t xml:space="preserve"> primero archivo sintético y video de baile autorizado, después video del caso principal, finalmente intervención live con protocolo independiente.</w:t>
      </w:r>
    </w:p>
    <w:p>
      <w:r>
        <w:t xml:space="preserve">El programa de investigación (https://github.com/SairaAsua/movimiento-armonico-investigacion/issues/14) ya contiene trece issues para estas fases; su índice local está en </w:t>
      </w:r>
      <w:r>
        <w:rPr>
          <w:rFonts w:ascii="DejaVu Sans Mono" w:hAnsi="DejaVu Sans Mono"/>
          <w:sz w:val="16"/>
        </w:rPr>
        <w:t>PLAN_GITHUB_INVESTIGACION.md</w:t>
      </w:r>
      <w:r>
        <w:t>. Mantendremos datos personales, consentimientos y videos crudos fuera de GitHub; las futuras issues públicas de código contendrán sólo tareas técnicas y criterios de aceptación.</w:t>
      </w:r>
    </w:p>
    <w:p>
      <w:pPr>
        <w:pStyle w:val="Heading1"/>
      </w:pPr>
      <w:r>
        <w:t>Fuentes y documentación base</w:t>
      </w:r>
    </w:p>
    <w:p>
      <w:pPr>
        <w:pStyle w:val="ListBullet"/>
      </w:pPr>
      <w:r>
        <w:t>Laban/Bartenieff and Somatic Studies International: Space Harmony (https://labaninternational.org/space/) y el cotejo histórico local (estudio-movimiento-armonico/LABAN_ACCESO_OBRAS.md).</w:t>
      </w:r>
    </w:p>
    <w:p>
      <w:pPr>
        <w:pStyle w:val="ListBullet"/>
      </w:pPr>
      <w:r>
        <w:t>Fernández Méndez y Echániz, *Harmonic Information Theory: Foundations* (primera edición digital, 2026); predicciones escalonadas (estudio-movimiento-armonico/HIT_PREDICCIONES_ESCALONADAS.md).</w:t>
      </w:r>
    </w:p>
    <w:p>
      <w:pPr>
        <w:pStyle w:val="ListBullet"/>
      </w:pPr>
      <w:r>
        <w:t>Kaparo, Somatic Learning (https://www.somaticlearning.com/) y Levin, 2023, *Animal Cognition* (https://link.springer.com/article/10.1007/s10071-023-01780-3).</w:t>
      </w:r>
    </w:p>
    <w:p>
      <w:pPr>
        <w:pStyle w:val="ListBullet"/>
      </w:pPr>
      <w:r>
        <w:t>HarMoCAP (https://github.com/Mar-IA-no/HarMoCAP), Harmonic Weaver (https://github.com/nicoechaniz/harmonic-weaver) y auditoría de la ruta (estudio-movimiento-armonico/RUTA_HARMOCAP_WEAVER_BEACON.md).</w:t>
      </w:r>
    </w:p>
    <w:p>
      <w:pPr>
        <w:pStyle w:val="ListBullet"/>
      </w:pPr>
      <w:r>
        <w:t>Protocolo piloto (estudio-movimiento-armonico/PROTOCOLO_PILOTO_V0.md), estimandos y contrastes (estudio-movimiento-armonico/ESTIMANDOS_Y_CONTRASTES.md), montaje y compras (estudio-movimiento-armonico/MONTAJE_COMPRAS_Y_VIDEOS_NICO.md).</w:t>
      </w:r>
    </w:p>
    <w:p>
      <w:r>
        <w:rPr>
          <w:b/>
        </w:rPr>
        <w:t>Advertencia metodológica central:</w:t>
      </w:r>
      <w:r>
        <w:t xml:space="preserve"> un dato sintético demuestra que una implementación distingue construcciones conocidas; no confirma que la naturaleza, una persona participante o una audiencia produzcan las relaciones hipotetizadas.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96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37078"/>
        <w:sz w:val="15"/>
      </w:rPr>
      <w:t xml:space="preserve">Propuesta · 24.09.2026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2A7074"/>
        <w:sz w:val="15"/>
      </w:rPr>
      <w:t>HARMONIC BEACON  /  PROGRAMA DE INVESTIGACIÓN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Liberation Sans" w:hAnsi="Liberation Sans"/>
      <w:color w:val="232F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4525B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60"/>
      <w:contextualSpacing/>
    </w:pPr>
    <w:rPr>
      <w:rFonts w:asciiTheme="majorHAnsi" w:eastAsiaTheme="majorEastAsia" w:hAnsiTheme="majorHAnsi" w:cstheme="majorBidi" w:ascii="Liberation Sans" w:hAnsi="Liberation Sans"/>
      <w:b/>
      <w:color w:val="1137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60" w:after="100"/>
    </w:pPr>
    <w:rPr>
      <w:rFonts w:asciiTheme="majorHAnsi" w:eastAsiaTheme="majorEastAsia" w:hAnsiTheme="majorHAnsi" w:cstheme="majorBidi" w:ascii="Liberation Sans" w:hAnsi="Liberation Sans"/>
      <w:b/>
      <w:i/>
      <w:iCs/>
      <w:color w:val="2A707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