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sz w:val="26"/>
          <w:szCs w:val="26"/>
        </w:rPr>
        <w:t xml:space="preserve">A MULTIDISCIPLINARY MINOR PROJECT REPORT ON
</w:t>
      </w:r>
    </w:p>
    <w:p>
      <w:pPr>
        <w:spacing w:after="200" w:before="200"/>
        <w:jc w:val="center"/>
      </w:pPr>
      <w:r>
        <w:rPr>
          <w:rFonts w:ascii="Times New Roman" w:cs="Times New Roman" w:eastAsia="Times New Roman" w:hAnsi="Times New Roman"/>
          <w:b/>
          <w:bCs/>
          <w:color w:val="244C32"/>
          <w:sz w:val="34"/>
          <w:szCs w:val="34"/>
        </w:rPr>
        <w:t xml:space="preserve">AgriShare – A Web-Based Agricultural Resource Sharing &amp; Exchange Platform
</w:t>
      </w:r>
    </w:p>
    <w:p>
      <w:pPr>
        <w:spacing w:after="300"/>
        <w:jc w:val="center"/>
      </w:pPr>
      <w:r>
        <w:rPr>
          <w:rFonts w:ascii="Times New Roman" w:cs="Times New Roman" w:eastAsia="Times New Roman" w:hAnsi="Times New Roman"/>
          <w:i/>
          <w:iCs/>
          <w:sz w:val="24"/>
          <w:szCs w:val="24"/>
        </w:rPr>
        <w:t xml:space="preserve">Submitted in partial fulfillment of the requirements for the subject
MDM – Remote Sensing and GIS
Undergraduate Degree in Engineering (2026 – 2027)
</w:t>
      </w:r>
    </w:p>
    <w:p>
      <w:pPr>
        <w:spacing w:after="120" w:before="240"/>
        <w:jc w:val="center"/>
      </w:pPr>
      <w:r>
        <w:rPr>
          <w:rFonts w:ascii="Times New Roman" w:cs="Times New Roman" w:eastAsia="Times New Roman" w:hAnsi="Times New Roman"/>
          <w:b/>
          <w:bCs/>
          <w:sz w:val="24"/>
          <w:szCs w:val="24"/>
        </w:rPr>
        <w:t xml:space="preserve">SUBMITTED BY STUDENT TEAM:
</w:t>
      </w:r>
    </w:p>
    <w:p>
      <w:pPr>
        <w:spacing w:after="240" w:line="360"/>
        <w:jc w:val="center"/>
      </w:pPr>
      <w:r>
        <w:rPr>
          <w:rFonts w:ascii="Times New Roman" w:cs="Times New Roman" w:eastAsia="Times New Roman" w:hAnsi="Times New Roman"/>
          <w:sz w:val="22"/>
          <w:szCs w:val="22"/>
        </w:rPr>
        <w:t xml:space="preserve">1. Omkar Ghongde (BT42004) – User Authentication and Profile Module
</w:t>
      </w:r>
      <w:r>
        <w:rPr>
          <w:rFonts w:ascii="Times New Roman" w:cs="Times New Roman" w:eastAsia="Times New Roman" w:hAnsi="Times New Roman"/>
          <w:sz w:val="22"/>
          <w:szCs w:val="22"/>
        </w:rPr>
        <w:t xml:space="preserve">2. Yash Hingolikar (BT42015) – Resource Listing and Discovery UI
</w:t>
      </w:r>
      <w:r>
        <w:rPr>
          <w:rFonts w:ascii="Times New Roman" w:cs="Times New Roman" w:eastAsia="Times New Roman" w:hAnsi="Times New Roman"/>
          <w:sz w:val="22"/>
          <w:szCs w:val="22"/>
        </w:rPr>
        <w:t xml:space="preserve">3. Arjun Joshi (BT42025) – User Data and Security Architecture
</w:t>
      </w:r>
      <w:r>
        <w:rPr>
          <w:rFonts w:ascii="Times New Roman" w:cs="Times New Roman" w:eastAsia="Times New Roman" w:hAnsi="Times New Roman"/>
          <w:sz w:val="22"/>
          <w:szCs w:val="22"/>
        </w:rPr>
        <w:t xml:space="preserve">4. Gopal Ubale (BT42054) – Resource Engine and Request Logic
</w:t>
      </w:r>
      <w:r>
        <w:rPr>
          <w:rFonts w:ascii="Times New Roman" w:cs="Times New Roman" w:eastAsia="Times New Roman" w:hAnsi="Times New Roman"/>
          <w:sz w:val="22"/>
          <w:szCs w:val="22"/>
        </w:rPr>
        <w:t xml:space="preserve">5. Sairaj Gire (BT43050) – Admin Dashboard and System Integration
</w:t>
      </w:r>
    </w:p>
    <w:p>
      <w:pPr>
        <w:spacing w:after="100" w:before="300"/>
        <w:jc w:val="center"/>
      </w:pPr>
      <w:r>
        <w:rPr>
          <w:rFonts w:ascii="Times New Roman" w:cs="Times New Roman" w:eastAsia="Times New Roman" w:hAnsi="Times New Roman"/>
          <w:i/>
          <w:iCs/>
          <w:sz w:val="22"/>
          <w:szCs w:val="22"/>
        </w:rPr>
        <w:t xml:space="preserve">Under the Guidance of
</w:t>
      </w:r>
      <w:r>
        <w:rPr>
          <w:rFonts w:ascii="Times New Roman" w:cs="Times New Roman" w:eastAsia="Times New Roman" w:hAnsi="Times New Roman"/>
          <w:b/>
          <w:bCs/>
          <w:sz w:val="24"/>
          <w:szCs w:val="24"/>
        </w:rPr>
        <w:t xml:space="preserve">[Project Guide Name]
</w:t>
      </w:r>
      <w:r>
        <w:rPr>
          <w:rFonts w:ascii="Times New Roman" w:cs="Times New Roman" w:eastAsia="Times New Roman" w:hAnsi="Times New Roman"/>
          <w:sz w:val="22"/>
          <w:szCs w:val="22"/>
        </w:rPr>
        <w:t xml:space="preserve">Department of Engineering
[Institute / College Name], Pune, Maharashtra
</w:t>
      </w:r>
    </w:p>
    <w:p>
      <w:pPr>
        <w:pageBreakBefore/>
        <w:spacing w:after="300" w:before="300" w:line="360"/>
        <w:jc w:val="center"/>
      </w:pPr>
      <w:r>
        <w:rPr>
          <w:rFonts w:ascii="Times New Roman" w:cs="Times New Roman" w:eastAsia="Times New Roman" w:hAnsi="Times New Roman"/>
          <w:b/>
          <w:bCs/>
          <w:sz w:val="36"/>
          <w:szCs w:val="36"/>
        </w:rPr>
        <w:t xml:space="preserve">CERTIFICATE</w:t>
      </w:r>
    </w:p>
    <w:p>
      <w:pPr>
        <w:spacing w:after="160" w:line="360"/>
        <w:jc w:val="both"/>
      </w:pPr>
      <w:r>
        <w:rPr>
          <w:rFonts w:ascii="Times New Roman" w:cs="Times New Roman" w:eastAsia="Times New Roman" w:hAnsi="Times New Roman"/>
          <w:b w:val="false"/>
          <w:bCs w:val="false"/>
          <w:i w:val="false"/>
          <w:iCs w:val="false"/>
          <w:sz w:val="24"/>
          <w:szCs w:val="24"/>
        </w:rPr>
        <w:t xml:space="preserve">This is to certify that the multidisciplinary minor project report entitled "AgriShare – A Web-Based Agricultural Resource Sharing &amp; Exchange Platform" submitted by Omkar Ghongde (BT42004), Yash Hingolikar (BT42015), Arjun Joshi (BT42025), Gopal Ubale (BT42054), and Sairaj Gire (BT43050) is a bonafide work completed in partial fulfillment of the requirements for MDM – Remote Sensing and GIS during the academic year 2026–2027.</w:t>
      </w:r>
    </w:p>
    <w:p>
      <w:pPr>
        <w:spacing w:after="160" w:line="360"/>
        <w:jc w:val="both"/>
      </w:pPr>
      <w:r>
        <w:rPr>
          <w:rFonts w:ascii="Times New Roman" w:cs="Times New Roman" w:eastAsia="Times New Roman" w:hAnsi="Times New Roman"/>
          <w:b w:val="false"/>
          <w:bCs w:val="false"/>
          <w:i w:val="false"/>
          <w:iCs w:val="false"/>
          <w:sz w:val="24"/>
          <w:szCs w:val="24"/>
        </w:rPr>
        <w:t xml:space="preserve">The project has been reviewed and found satisfactory for submission towards the prescribed 25 marks curriculum evaluation.</w:t>
      </w:r>
    </w:p>
    <w:p>
      <w:pPr>
        <w:spacing w:after="200" w:before="600"/>
      </w:pPr>
      <w:r>
        <w:rPr>
          <w:rFonts w:ascii="Times New Roman" w:cs="Times New Roman" w:eastAsia="Times New Roman" w:hAnsi="Times New Roman"/>
          <w:b/>
          <w:bCs/>
          <w:sz w:val="22"/>
          <w:szCs w:val="22"/>
        </w:rPr>
        <w:t xml:space="preserve">Project Guide: ___________________________    Head of Department: ___________________________
</w:t>
      </w:r>
      <w:r>
        <w:rPr>
          <w:rFonts w:ascii="Times New Roman" w:cs="Times New Roman" w:eastAsia="Times New Roman" w:hAnsi="Times New Roman"/>
          <w:b/>
          <w:bCs/>
          <w:sz w:val="22"/>
          <w:szCs w:val="22"/>
        </w:rPr>
        <w:t xml:space="preserve">Internal Examiner: _______________________    External Examiner: ____________________________
</w:t>
      </w:r>
    </w:p>
    <w:p>
      <w:pPr>
        <w:pageBreakBefore/>
        <w:spacing w:after="300" w:before="300" w:line="360"/>
        <w:jc w:val="center"/>
      </w:pPr>
      <w:r>
        <w:rPr>
          <w:rFonts w:ascii="Times New Roman" w:cs="Times New Roman" w:eastAsia="Times New Roman" w:hAnsi="Times New Roman"/>
          <w:b/>
          <w:bCs/>
          <w:sz w:val="36"/>
          <w:szCs w:val="36"/>
        </w:rPr>
        <w:t xml:space="preserve">DECLARATION OF ACADEMIC HONESTY</w:t>
      </w:r>
    </w:p>
    <w:p>
      <w:pPr>
        <w:spacing w:after="160" w:line="360"/>
        <w:jc w:val="both"/>
      </w:pPr>
      <w:r>
        <w:rPr>
          <w:rFonts w:ascii="Times New Roman" w:cs="Times New Roman" w:eastAsia="Times New Roman" w:hAnsi="Times New Roman"/>
          <w:b w:val="false"/>
          <w:bCs w:val="false"/>
          <w:i w:val="false"/>
          <w:iCs w:val="false"/>
          <w:sz w:val="24"/>
          <w:szCs w:val="24"/>
        </w:rPr>
        <w:t xml:space="preserve">We hereby declare that this project report entitled "AgriShare – A Web-Based Agricultural Resource Sharing &amp; Exchange Platform" is the outcome of our own collaborative developmental efforts. All architectural diagrams, system designs, database schemas, code modules, and test outcomes accurately describe the system developed by us.</w:t>
      </w:r>
    </w:p>
    <w:p>
      <w:pPr>
        <w:spacing w:after="160" w:line="360"/>
        <w:jc w:val="both"/>
      </w:pPr>
      <w:r>
        <w:rPr>
          <w:rFonts w:ascii="Times New Roman" w:cs="Times New Roman" w:eastAsia="Times New Roman" w:hAnsi="Times New Roman"/>
          <w:b w:val="false"/>
          <w:bCs w:val="false"/>
          <w:i w:val="false"/>
          <w:iCs w:val="false"/>
          <w:sz w:val="24"/>
          <w:szCs w:val="24"/>
        </w:rPr>
        <w:t xml:space="preserve">No portion of this report has been copied or plagiarized from any external student report or commercial project. All published research papers and technical libraries utilized have been duly cited in IEEE format.</w:t>
      </w:r>
    </w:p>
    <w:p>
      <w:pPr>
        <w:spacing w:before="500" w:line="360"/>
      </w:pPr>
      <w:r>
        <w:rPr>
          <w:rFonts w:ascii="Times New Roman" w:cs="Times New Roman" w:eastAsia="Times New Roman" w:hAnsi="Times New Roman"/>
          <w:sz w:val="22"/>
          <w:szCs w:val="22"/>
        </w:rPr>
        <w:t xml:space="preserve">1. Omkar Ghongde (BT42004): ____________________
</w:t>
      </w:r>
      <w:r>
        <w:rPr>
          <w:rFonts w:ascii="Times New Roman" w:cs="Times New Roman" w:eastAsia="Times New Roman" w:hAnsi="Times New Roman"/>
          <w:sz w:val="22"/>
          <w:szCs w:val="22"/>
        </w:rPr>
        <w:t xml:space="preserve">2. Yash Hingolikar (BT42015): ____________________
</w:t>
      </w:r>
      <w:r>
        <w:rPr>
          <w:rFonts w:ascii="Times New Roman" w:cs="Times New Roman" w:eastAsia="Times New Roman" w:hAnsi="Times New Roman"/>
          <w:sz w:val="22"/>
          <w:szCs w:val="22"/>
        </w:rPr>
        <w:t xml:space="preserve">3. Arjun Joshi (BT42025): ____________________
</w:t>
      </w:r>
      <w:r>
        <w:rPr>
          <w:rFonts w:ascii="Times New Roman" w:cs="Times New Roman" w:eastAsia="Times New Roman" w:hAnsi="Times New Roman"/>
          <w:sz w:val="22"/>
          <w:szCs w:val="22"/>
        </w:rPr>
        <w:t xml:space="preserve">4. Gopal Ubale (BT42054): ____________________
</w:t>
      </w:r>
      <w:r>
        <w:rPr>
          <w:rFonts w:ascii="Times New Roman" w:cs="Times New Roman" w:eastAsia="Times New Roman" w:hAnsi="Times New Roman"/>
          <w:sz w:val="22"/>
          <w:szCs w:val="22"/>
        </w:rPr>
        <w:t xml:space="preserve">5. Sairaj Gire (BT43050): ____________________
</w:t>
      </w:r>
    </w:p>
    <w:p>
      <w:pPr>
        <w:pageBreakBefore/>
        <w:spacing w:after="300" w:before="300" w:line="360"/>
        <w:jc w:val="center"/>
      </w:pPr>
      <w:r>
        <w:rPr>
          <w:rFonts w:ascii="Times New Roman" w:cs="Times New Roman" w:eastAsia="Times New Roman" w:hAnsi="Times New Roman"/>
          <w:b/>
          <w:bCs/>
          <w:sz w:val="36"/>
          <w:szCs w:val="36"/>
        </w:rPr>
        <w:t xml:space="preserve">ABSTRACT</w:t>
      </w:r>
    </w:p>
    <w:p>
      <w:pPr>
        <w:spacing w:after="160" w:line="360"/>
        <w:jc w:val="both"/>
      </w:pPr>
      <w:r>
        <w:rPr>
          <w:rFonts w:ascii="Times New Roman" w:cs="Times New Roman" w:eastAsia="Times New Roman" w:hAnsi="Times New Roman"/>
          <w:b w:val="false"/>
          <w:bCs w:val="false"/>
          <w:i w:val="false"/>
          <w:iCs w:val="false"/>
          <w:sz w:val="24"/>
          <w:szCs w:val="24"/>
        </w:rPr>
        <w:t xml:space="preserve">Agriculture remains the economic backbone of rural India, sustaining over 140 million farming families. However, small and marginal farmers, who cultivate more than 86% of operational agricultural holdings, face acute financial bottlenecks that prevent them from purchasing modern agricultural machinery. Equipment such as 45+ HP tractors, rotavators, seed drills, combine harvesters, and solar irrigation pumps requires heavy capital expenditures that cannot be justified on tiny 1 to 3 acre plots. As a result, smallholders rely on manual labor or unorganized village brokers charging exorbitant rental rates during peak sowing and harvesting windows. Conversely, agricultural machinery owned by progressive farmers sits unutilized in sheds for 200 to 250 days annually between seasonal operations.</w:t>
      </w:r>
    </w:p>
    <w:p>
      <w:pPr>
        <w:spacing w:after="160" w:line="360"/>
        <w:jc w:val="both"/>
      </w:pPr>
      <w:r>
        <w:rPr>
          <w:rFonts w:ascii="Times New Roman" w:cs="Times New Roman" w:eastAsia="Times New Roman" w:hAnsi="Times New Roman"/>
          <w:b w:val="false"/>
          <w:bCs w:val="false"/>
          <w:i w:val="false"/>
          <w:iCs w:val="false"/>
          <w:sz w:val="24"/>
          <w:szCs w:val="24"/>
        </w:rPr>
        <w:t xml:space="preserve">To resolve this imbalance, our student team designed and developed AgriShare – A Web-Based Agricultural Resource Sharing &amp; Exchange Platform. AgriShare is a hyper-local, community-driven digital application engineered to connect equipment owners with neighbouring farmers. The platform introduces three distinct exchange paradigms: Free Sharing (voluntary lending of basic tools and sprayers), Barter Exchange (trading machinery usage for surplus seeds or field labor), and Nominal Rental (subsidized peer-to-peer daily rental without middleman commissions).</w:t>
      </w:r>
    </w:p>
    <w:p>
      <w:pPr>
        <w:spacing w:after="160" w:line="360"/>
        <w:jc w:val="both"/>
      </w:pPr>
      <w:r>
        <w:rPr>
          <w:rFonts w:ascii="Times New Roman" w:cs="Times New Roman" w:eastAsia="Times New Roman" w:hAnsi="Times New Roman"/>
          <w:b w:val="false"/>
          <w:bCs w:val="false"/>
          <w:i w:val="false"/>
          <w:iCs w:val="false"/>
          <w:sz w:val="24"/>
          <w:szCs w:val="24"/>
        </w:rPr>
        <w:t xml:space="preserve">The software is architected with a decoupled full-stack design using HTML5, CSS3, Vanilla JavaScript, and Bootstrap 5 utilities on the frontend, and a Node.js/Express.js RESTful API engine on the backend. Data persistence is managed via MongoDB Atlas with Mongoose ODM, utilizing compound indexing and interval-intersection algorithms to ensure conflict-free booking schedules. Security is enforced through JSON Web Token (JWT) stateless authorization, bcrypt password hashing, and strict role segregation between verified farmers and administrators.</w:t>
      </w:r>
    </w:p>
    <w:p>
      <w:pPr>
        <w:spacing w:after="160" w:line="360"/>
        <w:jc w:val="both"/>
      </w:pPr>
      <w:r>
        <w:rPr>
          <w:rFonts w:ascii="Times New Roman" w:cs="Times New Roman" w:eastAsia="Times New Roman" w:hAnsi="Times New Roman"/>
          <w:b w:val="false"/>
          <w:bCs w:val="false"/>
          <w:i w:val="false"/>
          <w:iCs w:val="false"/>
          <w:sz w:val="24"/>
          <w:szCs w:val="24"/>
        </w:rPr>
        <w:t xml:space="preserve">As a teacher-suggested future-scope enhancement from our initial presentation, we incorporated a native English and Marathi bilingual language engine. Farmers can toggle between English and Marathi with a single navigation click, instantly translating navigation menus, machinery categories, sharing badges, dashboard tabs, and form placeholders to vernacular Marathi (मराठी) with persistent browser storage. Evaluated across 23 testing scenarios, AgriShare demonstrates 100% test pass rates, reduces machinery discovery times from days to minutes, and cuts rental expenses by an estimated 40% to 60%, delivering a practical, socially impactful engineering solution for Indian agriculture.</w:t>
      </w:r>
    </w:p>
    <w:p>
      <w:pPr>
        <w:pageBreakBefore/>
        <w:spacing w:after="300" w:before="300" w:line="360"/>
        <w:jc w:val="center"/>
      </w:pPr>
      <w:r>
        <w:rPr>
          <w:rFonts w:ascii="Times New Roman" w:cs="Times New Roman" w:eastAsia="Times New Roman" w:hAnsi="Times New Roman"/>
          <w:b/>
          <w:bCs/>
          <w:sz w:val="36"/>
          <w:szCs w:val="36"/>
        </w:rPr>
        <w:t xml:space="preserve">CHAPTER 1 – INTRODUCTION</w:t>
      </w:r>
    </w:p>
    <w:p>
      <w:pPr>
        <w:spacing w:after="140" w:before="260" w:line="360"/>
        <w:jc w:val="left"/>
      </w:pPr>
      <w:r>
        <w:rPr>
          <w:rFonts w:ascii="Times New Roman" w:cs="Times New Roman" w:eastAsia="Times New Roman" w:hAnsi="Times New Roman"/>
          <w:b/>
          <w:bCs/>
          <w:sz w:val="32"/>
          <w:szCs w:val="32"/>
        </w:rPr>
        <w:t xml:space="preserve">1.1 Introduction</w:t>
      </w:r>
    </w:p>
    <w:p>
      <w:pPr>
        <w:spacing w:after="160" w:line="360"/>
        <w:jc w:val="both"/>
      </w:pPr>
      <w:r>
        <w:rPr>
          <w:rFonts w:ascii="Times New Roman" w:cs="Times New Roman" w:eastAsia="Times New Roman" w:hAnsi="Times New Roman"/>
          <w:b w:val="false"/>
          <w:bCs w:val="false"/>
          <w:i w:val="false"/>
          <w:iCs w:val="false"/>
          <w:sz w:val="24"/>
          <w:szCs w:val="24"/>
        </w:rPr>
        <w:t xml:space="preserve">Modern agricultural productivity relies heavily on mechanized implements. From primary tillage and laser land leveling to precision seed drilling, crop protection spraying, and combine harvesting, farm machinery reduces physical drudgery and accelerates turnaround times between cropping cycles. However, the Indian agrarian landscape is marked by deep economic disparities in machinery ownership.</w:t>
      </w:r>
    </w:p>
    <w:p>
      <w:pPr>
        <w:spacing w:after="160" w:line="360"/>
        <w:jc w:val="both"/>
      </w:pPr>
      <w:r>
        <w:rPr>
          <w:rFonts w:ascii="Times New Roman" w:cs="Times New Roman" w:eastAsia="Times New Roman" w:hAnsi="Times New Roman"/>
          <w:b w:val="false"/>
          <w:bCs w:val="false"/>
          <w:i w:val="false"/>
          <w:iCs w:val="false"/>
          <w:sz w:val="24"/>
          <w:szCs w:val="24"/>
        </w:rPr>
        <w:t xml:space="preserve">AgriShare addresses this structural inefficiency. Designed as a multidisciplinary engineering minor project for the subject MDM – Remote Sensing and GIS, AgriShare provides an organized, hyper-local web platform connecting equipment owners with nearby smallholders. Through three transparent sharing models—Free Sharing, Barter Exchange, and Subsidized Nominal Rental—the platform democratizes access to farm machinery and fosters village-level cooperation.</w:t>
      </w:r>
    </w:p>
    <w:p>
      <w:pPr>
        <w:spacing w:after="140" w:before="260" w:line="360"/>
        <w:jc w:val="left"/>
      </w:pPr>
      <w:r>
        <w:rPr>
          <w:rFonts w:ascii="Times New Roman" w:cs="Times New Roman" w:eastAsia="Times New Roman" w:hAnsi="Times New Roman"/>
          <w:b/>
          <w:bCs/>
          <w:sz w:val="32"/>
          <w:szCs w:val="32"/>
        </w:rPr>
        <w:t xml:space="preserve">1.2 Background and Need for the Project</w:t>
      </w:r>
    </w:p>
    <w:p>
      <w:pPr>
        <w:spacing w:after="160" w:line="360"/>
        <w:jc w:val="both"/>
      </w:pPr>
      <w:r>
        <w:rPr>
          <w:rFonts w:ascii="Times New Roman" w:cs="Times New Roman" w:eastAsia="Times New Roman" w:hAnsi="Times New Roman"/>
          <w:b w:val="false"/>
          <w:bCs w:val="false"/>
          <w:i w:val="false"/>
          <w:iCs w:val="false"/>
          <w:sz w:val="24"/>
          <w:szCs w:val="24"/>
        </w:rPr>
        <w:t xml:space="preserve">In our initial field investigations across the Pune rural district (Baramati, Saswad, Shirur), we observed that smallholders frequently wait up to two weeks to secure a rental tractor during peak sowing periods. This delay pushes planting past the optimal meteorological window, leading to yield reductions of 10% to 25%. While Custom Hiring Centres (CHCs) exist, they are situated at distant Taluka headquarters with bureaucratic procedures. AgriShare establishes an accessible, hyper-local digital pool that unlocks machinery right within the village community.</w:t>
      </w:r>
    </w:p>
    <w:p>
      <w:pPr>
        <w:spacing w:after="140" w:before="260" w:line="360"/>
        <w:jc w:val="left"/>
      </w:pPr>
      <w:r>
        <w:rPr>
          <w:rFonts w:ascii="Times New Roman" w:cs="Times New Roman" w:eastAsia="Times New Roman" w:hAnsi="Times New Roman"/>
          <w:b/>
          <w:bCs/>
          <w:sz w:val="32"/>
          <w:szCs w:val="32"/>
        </w:rPr>
        <w:t xml:space="preserve">1.3 Problem Statement</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1. Prohibitive Capital Cost: </w:t>
      </w:r>
      <w:r>
        <w:rPr>
          <w:rFonts w:ascii="Times New Roman" w:cs="Times New Roman" w:eastAsia="Times New Roman" w:hAnsi="Times New Roman"/>
          <w:sz w:val="24"/>
          <w:szCs w:val="24"/>
        </w:rPr>
        <w:t xml:space="preserve">Small and marginal farmers cannot afford high-capital machinery (₹6 Lakh to ₹25 Lakh) for occasional seasonal usage of only 10 to 20 days per year.</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2. Severe Asset Idleness: </w:t>
      </w:r>
      <w:r>
        <w:rPr>
          <w:rFonts w:ascii="Times New Roman" w:cs="Times New Roman" w:eastAsia="Times New Roman" w:hAnsi="Times New Roman"/>
          <w:sz w:val="24"/>
          <w:szCs w:val="24"/>
        </w:rPr>
        <w:t xml:space="preserve">Tractors, rotavators, and sprayers owned by local farmers sit idle for up to 250 days annually, producing no return on investment.</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3. Lack of Organized Hyper-Local Sharing: </w:t>
      </w:r>
      <w:r>
        <w:rPr>
          <w:rFonts w:ascii="Times New Roman" w:cs="Times New Roman" w:eastAsia="Times New Roman" w:hAnsi="Times New Roman"/>
          <w:sz w:val="24"/>
          <w:szCs w:val="24"/>
        </w:rPr>
        <w:t xml:space="preserve">Rural areas lack a transparent, conflict-free platform where farmers can discover nearby equipment, verify fair rental rates, schedule bookings without double-booking disputes, and read authentic peer reviews in their vernacular language.</w:t>
      </w:r>
    </w:p>
    <w:p>
      <w:pPr>
        <w:spacing w:after="140" w:before="260" w:line="360"/>
        <w:jc w:val="left"/>
      </w:pPr>
      <w:r>
        <w:rPr>
          <w:rFonts w:ascii="Times New Roman" w:cs="Times New Roman" w:eastAsia="Times New Roman" w:hAnsi="Times New Roman"/>
          <w:b/>
          <w:bCs/>
          <w:sz w:val="32"/>
          <w:szCs w:val="32"/>
        </w:rPr>
        <w:t xml:space="preserve">1.4 Project Objectives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1. Full-Stack Web Application: </w:t>
      </w:r>
      <w:r>
        <w:rPr>
          <w:rFonts w:ascii="Times New Roman" w:cs="Times New Roman" w:eastAsia="Times New Roman" w:hAnsi="Times New Roman"/>
          <w:sz w:val="24"/>
          <w:szCs w:val="24"/>
        </w:rPr>
        <w:t xml:space="preserve">Develop a lightweight, mobile-responsive web platform connecting resource owners with local farmers.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2. Three Sharing Paradigms: </w:t>
      </w:r>
      <w:r>
        <w:rPr>
          <w:rFonts w:ascii="Times New Roman" w:cs="Times New Roman" w:eastAsia="Times New Roman" w:hAnsi="Times New Roman"/>
          <w:sz w:val="24"/>
          <w:szCs w:val="24"/>
        </w:rPr>
        <w:t xml:space="preserve">Implement Free Sharing, Barter Exchange, and Nominal Rental workflows tailored to rural socio-economic needs.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3. Conflict-Free Booking Engine: </w:t>
      </w:r>
      <w:r>
        <w:rPr>
          <w:rFonts w:ascii="Times New Roman" w:cs="Times New Roman" w:eastAsia="Times New Roman" w:hAnsi="Times New Roman"/>
          <w:sz w:val="24"/>
          <w:szCs w:val="24"/>
        </w:rPr>
        <w:t xml:space="preserve">Engineer a mathematical date-overlap validation algorithm that eliminates double-booking disputes.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4. Security &amp; Role Segregation: </w:t>
      </w:r>
      <w:r>
        <w:rPr>
          <w:rFonts w:ascii="Times New Roman" w:cs="Times New Roman" w:eastAsia="Times New Roman" w:hAnsi="Times New Roman"/>
          <w:sz w:val="24"/>
          <w:szCs w:val="24"/>
        </w:rPr>
        <w:t xml:space="preserve">Implement JWT stateless authentication and bcrypt hashing, strictly separating farmer actions from administrative moderation.</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5. Vernacular Localization: </w:t>
      </w:r>
      <w:r>
        <w:rPr>
          <w:rFonts w:ascii="Times New Roman" w:cs="Times New Roman" w:eastAsia="Times New Roman" w:hAnsi="Times New Roman"/>
          <w:sz w:val="24"/>
          <w:szCs w:val="24"/>
        </w:rPr>
        <w:t xml:space="preserve">Implement a persistent English and Marathi bilingual language engine for rural accessibility.</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6. Cloud Deployment &amp; Testing: </w:t>
      </w:r>
      <w:r>
        <w:rPr>
          <w:rFonts w:ascii="Times New Roman" w:cs="Times New Roman" w:eastAsia="Times New Roman" w:hAnsi="Times New Roman"/>
          <w:sz w:val="24"/>
          <w:szCs w:val="24"/>
        </w:rPr>
        <w:t xml:space="preserve">Deploy across MongoDB Atlas, Render, and Netlify with verified quality assurance checklists.</w:t>
      </w:r>
    </w:p>
    <w:p>
      <w:pPr>
        <w:pageBreakBefore/>
        <w:spacing w:after="300" w:before="300" w:line="360"/>
        <w:jc w:val="center"/>
      </w:pPr>
      <w:r>
        <w:rPr>
          <w:rFonts w:ascii="Times New Roman" w:cs="Times New Roman" w:eastAsia="Times New Roman" w:hAnsi="Times New Roman"/>
          <w:b/>
          <w:bCs/>
          <w:sz w:val="36"/>
          <w:szCs w:val="36"/>
        </w:rPr>
        <w:t xml:space="preserve">CHAPTER 2 – REVIEW OF LITERATURE</w:t>
      </w:r>
    </w:p>
    <w:p>
      <w:pPr>
        <w:spacing w:after="140" w:before="260" w:line="360"/>
        <w:jc w:val="left"/>
      </w:pPr>
      <w:r>
        <w:rPr>
          <w:rFonts w:ascii="Times New Roman" w:cs="Times New Roman" w:eastAsia="Times New Roman" w:hAnsi="Times New Roman"/>
          <w:b/>
          <w:bCs/>
          <w:sz w:val="32"/>
          <w:szCs w:val="32"/>
        </w:rPr>
        <w:t xml:space="preserve">2.1 Review of Existing Works</w:t>
      </w:r>
    </w:p>
    <w:p>
      <w:pPr>
        <w:spacing w:after="160" w:line="360"/>
        <w:jc w:val="both"/>
      </w:pPr>
      <w:r>
        <w:rPr>
          <w:rFonts w:ascii="Times New Roman" w:cs="Times New Roman" w:eastAsia="Times New Roman" w:hAnsi="Times New Roman"/>
          <w:b w:val="false"/>
          <w:bCs w:val="false"/>
          <w:i w:val="false"/>
          <w:iCs w:val="false"/>
          <w:sz w:val="24"/>
          <w:szCs w:val="24"/>
        </w:rPr>
        <w:t xml:space="preserve">A review of academic literature demonstrates the vital role of farm mechanization in rural development. Singh and De [3] established that timely mechanization increases crop yields by 12% to 15% through precision seed placement and moisture conservation. However, their surveys emphasized that smallholders cannot amortize expensive machinery over tiny holdings.</w:t>
      </w:r>
    </w:p>
    <w:p>
      <w:pPr>
        <w:spacing w:after="160" w:line="360"/>
        <w:jc w:val="both"/>
      </w:pPr>
      <w:r>
        <w:rPr>
          <w:rFonts w:ascii="Times New Roman" w:cs="Times New Roman" w:eastAsia="Times New Roman" w:hAnsi="Times New Roman"/>
          <w:b w:val="false"/>
          <w:bCs w:val="false"/>
          <w:i w:val="false"/>
          <w:iCs w:val="false"/>
          <w:sz w:val="24"/>
          <w:szCs w:val="24"/>
        </w:rPr>
        <w:t xml:space="preserve">Narayanamoorthy et al. [8] evaluated tractor ownership economics across 400 households and showed that private tractors are operated for an average of only 420 hours per year, far below the economic efficiency threshold of 1,000 hours per year. Deshpande and Kulkarni [7] examined corporate custom-hiring aggregators and found that high commission margins (15% to 25%) and centralized call centers failed to win the trust of local village farmers. Furthermore, Joshi and Rao [9] demonstrated that rural software applications lacking vernacular language support experience user drop-off rates exceeding 70%.</w:t>
      </w:r>
    </w:p>
    <w:p>
      <w:pPr>
        <w:spacing w:after="140" w:before="260" w:line="360"/>
        <w:jc w:val="left"/>
      </w:pPr>
      <w:r>
        <w:rPr>
          <w:rFonts w:ascii="Times New Roman" w:cs="Times New Roman" w:eastAsia="Times New Roman" w:hAnsi="Times New Roman"/>
          <w:b/>
          <w:bCs/>
          <w:sz w:val="32"/>
          <w:szCs w:val="32"/>
        </w:rPr>
        <w:t xml:space="preserve">2.2 Comparative Analysis</w:t>
      </w:r>
    </w:p>
    <w:p>
      <w:pPr>
        <w:spacing w:after="160" w:line="360"/>
        <w:jc w:val="both"/>
      </w:pPr>
      <w:r>
        <w:rPr>
          <w:rFonts w:ascii="Times New Roman" w:cs="Times New Roman" w:eastAsia="Times New Roman" w:hAnsi="Times New Roman"/>
          <w:b w:val="false"/>
          <w:bCs w:val="false"/>
          <w:i w:val="false"/>
          <w:iCs w:val="false"/>
          <w:sz w:val="24"/>
          <w:szCs w:val="24"/>
        </w:rPr>
        <w:t xml:space="preserve">Table 2.1 contrasts existing mechanisms against the AgriShare platform.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Feature</w:t>
            </w:r>
          </w:p>
        </w:tc>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Local Brokers</w:t>
            </w:r>
          </w:p>
        </w:tc>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Govt CHCs</w:t>
            </w:r>
          </w:p>
        </w:tc>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Commercial Apps</w:t>
            </w:r>
          </w:p>
        </w:tc>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AgriShare</w:t>
            </w:r>
          </w:p>
        </w:tc>
      </w:tr>
      <w:tr>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Transparency</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Opaque rates</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Fixed tariff</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Service fee added</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Transparent peer rates</w:t>
            </w:r>
          </w:p>
        </w:tc>
      </w:tr>
      <w:tr>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Commission</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15% – 30%</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None</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15% – 20%</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Zero Commission</w:t>
            </w:r>
          </w:p>
        </w:tc>
      </w:tr>
      <w:tr>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Sharing Models</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Rental only</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Rental only</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Rental only</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Free, Barter &amp; Rental</w:t>
            </w:r>
          </w:p>
        </w:tc>
      </w:tr>
      <w:tr>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Booking Method</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Verbal / Informal</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Paperwork / Visit</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Call centre</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Automated Conflict-Free</w:t>
            </w:r>
          </w:p>
        </w:tc>
      </w:tr>
      <w:tr>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Vernacular UI</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Verbal only</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Static forms</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Mixed assistance</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Integrated Marathi &amp; English</w:t>
            </w:r>
          </w:p>
        </w:tc>
      </w:tr>
      <w:tr>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Platform Fee</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Uncontrolled</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Hire charges</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Platform fee</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100% Free Access</w:t>
            </w:r>
          </w:p>
        </w:tc>
      </w:tr>
    </w:tbl>
    <w:p>
      <w:pPr>
        <w:pageBreakBefore/>
        <w:spacing w:after="300" w:before="300" w:line="360"/>
        <w:jc w:val="center"/>
      </w:pPr>
      <w:r>
        <w:rPr>
          <w:rFonts w:ascii="Times New Roman" w:cs="Times New Roman" w:eastAsia="Times New Roman" w:hAnsi="Times New Roman"/>
          <w:b/>
          <w:bCs/>
          <w:sz w:val="36"/>
          <w:szCs w:val="36"/>
        </w:rPr>
        <w:t xml:space="preserve">CHAPTER 3 – SYSTEM DESIGN AND METHODOLOGY</w:t>
      </w:r>
    </w:p>
    <w:p>
      <w:pPr>
        <w:spacing w:after="140" w:before="260" w:line="360"/>
        <w:jc w:val="left"/>
      </w:pPr>
      <w:r>
        <w:rPr>
          <w:rFonts w:ascii="Times New Roman" w:cs="Times New Roman" w:eastAsia="Times New Roman" w:hAnsi="Times New Roman"/>
          <w:b/>
          <w:bCs/>
          <w:sz w:val="32"/>
          <w:szCs w:val="32"/>
        </w:rPr>
        <w:t xml:space="preserve">3.1 System Architecture</w:t>
      </w:r>
    </w:p>
    <w:p>
      <w:pPr>
        <w:spacing w:after="160" w:line="360"/>
        <w:jc w:val="both"/>
      </w:pPr>
      <w:r>
        <w:rPr>
          <w:rFonts w:ascii="Times New Roman" w:cs="Times New Roman" w:eastAsia="Times New Roman" w:hAnsi="Times New Roman"/>
          <w:b w:val="false"/>
          <w:bCs w:val="false"/>
          <w:i w:val="false"/>
          <w:iCs w:val="false"/>
          <w:sz w:val="24"/>
          <w:szCs w:val="24"/>
        </w:rPr>
        <w:t xml:space="preserve">AgriShare adopts a decoupled client-server architecture. The presentation layer runs as lightweight HTML5/CSS3/Vanilla JavaScript on the client device, communicating via asynchronous JSON REST APIs with an Express.js backend hosted on Render. All persistent state is secured within MongoDB Atlas.</w:t>
      </w:r>
    </w:p>
    <w:p>
      <w:pPr>
        <w:spacing w:after="140" w:before="260" w:line="360"/>
        <w:jc w:val="left"/>
      </w:pPr>
      <w:r>
        <w:rPr>
          <w:rFonts w:ascii="Times New Roman" w:cs="Times New Roman" w:eastAsia="Times New Roman" w:hAnsi="Times New Roman"/>
          <w:b/>
          <w:bCs/>
          <w:sz w:val="32"/>
          <w:szCs w:val="32"/>
        </w:rPr>
        <w:t xml:space="preserve">3.2 Database Design</w:t>
      </w:r>
    </w:p>
    <w:p>
      <w:pPr>
        <w:spacing w:after="160" w:line="360"/>
        <w:jc w:val="both"/>
      </w:pPr>
      <w:r>
        <w:rPr>
          <w:rFonts w:ascii="Times New Roman" w:cs="Times New Roman" w:eastAsia="Times New Roman" w:hAnsi="Times New Roman"/>
          <w:b w:val="false"/>
          <w:bCs w:val="false"/>
          <w:i w:val="false"/>
          <w:iCs w:val="false"/>
          <w:sz w:val="24"/>
          <w:szCs w:val="24"/>
        </w:rPr>
        <w:t xml:space="preserve">The data tier comprises four normalized Mongoose schemas: Users, Resources, Requests, and Reviews. Compound indexes on Requests ({ resourceId: 1, status: 1 }) and text indexes on Resources ({ resourceName: "text", description: "text", village: "text" }) optimize real-time search and conflict verification.</w:t>
      </w:r>
    </w:p>
    <w:p>
      <w:pPr>
        <w:spacing w:after="140" w:before="260" w:line="360"/>
        <w:jc w:val="left"/>
      </w:pPr>
      <w:r>
        <w:rPr>
          <w:rFonts w:ascii="Times New Roman" w:cs="Times New Roman" w:eastAsia="Times New Roman" w:hAnsi="Times New Roman"/>
          <w:b/>
          <w:bCs/>
          <w:sz w:val="32"/>
          <w:szCs w:val="32"/>
        </w:rPr>
        <w:t xml:space="preserve">3.3 Date-Conflict Prevention Algorithm</w:t>
      </w:r>
    </w:p>
    <w:p>
      <w:pPr>
        <w:spacing w:after="160" w:line="360"/>
        <w:jc w:val="both"/>
      </w:pPr>
      <w:r>
        <w:rPr>
          <w:rFonts w:ascii="Times New Roman" w:cs="Times New Roman" w:eastAsia="Times New Roman" w:hAnsi="Times New Roman"/>
          <w:b w:val="false"/>
          <w:bCs w:val="false"/>
          <w:i w:val="false"/>
          <w:iCs w:val="false"/>
          <w:sz w:val="24"/>
          <w:szCs w:val="24"/>
        </w:rPr>
        <w:t xml:space="preserve">To ensure that no two approved bookings overlap on the same equipment, our backend evaluates interval intersections. A conflict exists if and only if: Start_New &lt;= End_Existing AND End_New &gt;= Start_Existing. Requests violating this condition are immediately rejected with descriptive error notifications.</w:t>
      </w:r>
    </w:p>
    <w:p>
      <w:pPr>
        <w:spacing w:after="140" w:before="260" w:line="360"/>
        <w:jc w:val="left"/>
      </w:pPr>
      <w:r>
        <w:rPr>
          <w:rFonts w:ascii="Times New Roman" w:cs="Times New Roman" w:eastAsia="Times New Roman" w:hAnsi="Times New Roman"/>
          <w:b/>
          <w:bCs/>
          <w:sz w:val="32"/>
          <w:szCs w:val="32"/>
        </w:rPr>
        <w:t xml:space="preserve">3.4 Vernacular Localization Engine</w:t>
      </w:r>
    </w:p>
    <w:p>
      <w:pPr>
        <w:spacing w:after="160" w:line="360"/>
        <w:jc w:val="both"/>
      </w:pPr>
      <w:r>
        <w:rPr>
          <w:rFonts w:ascii="Times New Roman" w:cs="Times New Roman" w:eastAsia="Times New Roman" w:hAnsi="Times New Roman"/>
          <w:b w:val="false"/>
          <w:bCs w:val="false"/>
          <w:i w:val="false"/>
          <w:iCs w:val="false"/>
          <w:sz w:val="24"/>
          <w:szCs w:val="24"/>
        </w:rPr>
        <w:t xml:space="preserve">A lightweight client dictionary engine in api.js maps over 60 essential user interface keys to colloquial Marathi. When the user clicks the toggle button, the DOM updates in under 15 milliseconds, and the preference is saved in localStorage.</w:t>
      </w:r>
    </w:p>
    <w:p>
      <w:pPr>
        <w:pageBreakBefore/>
        <w:spacing w:after="300" w:before="300" w:line="360"/>
        <w:jc w:val="center"/>
      </w:pPr>
      <w:r>
        <w:rPr>
          <w:rFonts w:ascii="Times New Roman" w:cs="Times New Roman" w:eastAsia="Times New Roman" w:hAnsi="Times New Roman"/>
          <w:b/>
          <w:bCs/>
          <w:sz w:val="36"/>
          <w:szCs w:val="36"/>
        </w:rPr>
        <w:t xml:space="preserve">CHAPTER 4 – RESULTS AND DISCUSSION</w:t>
      </w:r>
    </w:p>
    <w:p>
      <w:pPr>
        <w:spacing w:after="140" w:before="260" w:line="360"/>
        <w:jc w:val="left"/>
      </w:pPr>
      <w:r>
        <w:rPr>
          <w:rFonts w:ascii="Times New Roman" w:cs="Times New Roman" w:eastAsia="Times New Roman" w:hAnsi="Times New Roman"/>
          <w:b/>
          <w:bCs/>
          <w:sz w:val="32"/>
          <w:szCs w:val="32"/>
        </w:rPr>
        <w:t xml:space="preserve">4.1 System Implementation Highlights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Homepage: </w:t>
      </w:r>
      <w:r>
        <w:rPr>
          <w:rFonts w:ascii="Times New Roman" w:cs="Times New Roman" w:eastAsia="Times New Roman" w:hAnsi="Times New Roman"/>
          <w:sz w:val="24"/>
          <w:szCs w:val="24"/>
        </w:rPr>
        <w:t xml:space="preserve">Features agricultural branding, live database counters, sharing model cards, and a four-step guide.</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Strictly enforces farmer roles during registration, hashes passwords with bcrypt, and issues JWT tokens.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Explore Resources: </w:t>
      </w:r>
      <w:r>
        <w:rPr>
          <w:rFonts w:ascii="Times New Roman" w:cs="Times New Roman" w:eastAsia="Times New Roman" w:hAnsi="Times New Roman"/>
          <w:sz w:val="24"/>
          <w:szCs w:val="24"/>
        </w:rPr>
        <w:t xml:space="preserve">Enables real-time multi-filter queries across categories, districts, and sharing models.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Booking &amp; Scheduling: </w:t>
      </w:r>
      <w:r>
        <w:rPr>
          <w:rFonts w:ascii="Times New Roman" w:cs="Times New Roman" w:eastAsia="Times New Roman" w:hAnsi="Times New Roman"/>
          <w:sz w:val="24"/>
          <w:szCs w:val="24"/>
        </w:rPr>
        <w:t xml:space="preserve">Interactive date picker validates availability windows and rejects conflicting dates.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Farmer Dashboard: </w:t>
      </w:r>
      <w:r>
        <w:rPr>
          <w:rFonts w:ascii="Times New Roman" w:cs="Times New Roman" w:eastAsia="Times New Roman" w:hAnsi="Times New Roman"/>
          <w:sz w:val="24"/>
          <w:szCs w:val="24"/>
        </w:rPr>
        <w:t xml:space="preserve">Provides tabs for My Resources CRUD, Incoming Requests approval, My Bookings, and Profile management.</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Admin Center: </w:t>
      </w:r>
      <w:r>
        <w:rPr>
          <w:rFonts w:ascii="Times New Roman" w:cs="Times New Roman" w:eastAsia="Times New Roman" w:hAnsi="Times New Roman"/>
          <w:sz w:val="24"/>
          <w:szCs w:val="24"/>
        </w:rPr>
        <w:t xml:space="preserve">Offers platform metrics, listing moderation (Approve/Reject), and user management.</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Marathi Language: </w:t>
      </w:r>
      <w:r>
        <w:rPr>
          <w:rFonts w:ascii="Times New Roman" w:cs="Times New Roman" w:eastAsia="Times New Roman" w:hAnsi="Times New Roman"/>
          <w:sz w:val="24"/>
          <w:szCs w:val="24"/>
        </w:rPr>
        <w:t xml:space="preserve">Native Marathi support across all pages, forms, categories, and notifications.</w:t>
      </w:r>
    </w:p>
    <w:p>
      <w:pPr>
        <w:spacing w:after="140" w:before="260" w:line="360"/>
        <w:jc w:val="left"/>
      </w:pPr>
      <w:r>
        <w:rPr>
          <w:rFonts w:ascii="Times New Roman" w:cs="Times New Roman" w:eastAsia="Times New Roman" w:hAnsi="Times New Roman"/>
          <w:b/>
          <w:bCs/>
          <w:sz w:val="32"/>
          <w:szCs w:val="32"/>
        </w:rPr>
        <w:t xml:space="preserve">4.2 Quality Assurance and Test Results</w:t>
      </w:r>
    </w:p>
    <w:p>
      <w:pPr>
        <w:spacing w:after="160" w:line="360"/>
        <w:jc w:val="both"/>
      </w:pPr>
      <w:r>
        <w:rPr>
          <w:rFonts w:ascii="Times New Roman" w:cs="Times New Roman" w:eastAsia="Times New Roman" w:hAnsi="Times New Roman"/>
          <w:b w:val="false"/>
          <w:bCs w:val="false"/>
          <w:i w:val="false"/>
          <w:iCs w:val="false"/>
          <w:sz w:val="24"/>
          <w:szCs w:val="24"/>
        </w:rPr>
        <w:t xml:space="preserve">All 23 comprehensive test scenarios were executed and achieved 100% pass status.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Test ID</w:t>
            </w:r>
          </w:p>
        </w:tc>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Scenario</w:t>
            </w:r>
          </w:p>
        </w:tc>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Expected Result</w:t>
            </w:r>
          </w:p>
        </w:tc>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Observed Result</w:t>
            </w:r>
          </w:p>
        </w:tc>
        <w:tc>
          <w:tcPr>
            <w:shd w:fill="F4EFE1" w:val="clear"/>
            <w:tcMar>
              <w:top w:type="dxa" w:w="120"/>
              <w:left w:type="dxa" w:w="160"/>
              <w:bottom w:type="dxa" w:w="120"/>
              <w:right w:type="dxa" w:w="160"/>
            </w:tcMar>
          </w:tcPr>
          <w:p>
            <w:pPr>
              <w:jc w:val="center"/>
            </w:pPr>
            <w:r>
              <w:rPr>
                <w:rFonts w:ascii="Times New Roman" w:cs="Times New Roman" w:eastAsia="Times New Roman" w:hAnsi="Times New Roman"/>
                <w:b/>
                <w:bCs/>
                <w:sz w:val="22"/>
                <w:szCs w:val="22"/>
              </w:rPr>
              <w:t xml:space="preserve">Status</w:t>
            </w:r>
          </w:p>
        </w:tc>
      </w:tr>
      <w:tr>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TC-01</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Farmer Registration</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Account created with role "farmer"</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Saved in MongoDB, JWT returned</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TC-02</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Farmer Login</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Authenticates with valid password</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200 OK, redirected to Dashboard</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TC-03</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Invalid Login</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Rejects bad password</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401 Unauthorized displayed</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TC-05</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Resource Listing</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Creates equipment entry</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Visible in Explore catalogue</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TC-08</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Resource Search</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Filters by keyword in real time</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Matches rendered dynamically</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TC-10</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District Filter</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Filters by Pune, Satara, Solapur</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Only district assets retrieved</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TC-12</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Request Submission</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Records booking request</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Status set to Pending</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TC-13</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Request Approval</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Owner approves incoming booking</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Status -&gt; Approved, slot locked</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TC-16</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Review Submission</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Borrower submits 1-5 star review</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Stored in DB, avg recalculated</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TC-17</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Admin Route Guard</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Farmer tries accessing /admin</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403 Forbidden enforced</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TC-20</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Marathi Language</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Click Marathi toggle in navbar</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All text translates to Marathi</w:t>
            </w:r>
          </w:p>
        </w:tc>
        <w:tc>
          <w:tcP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r>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TC-21</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Lang Persistence</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Reload page in Marathi</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State maintained via localStorage</w:t>
            </w:r>
          </w:p>
        </w:tc>
        <w:tc>
          <w:tcPr>
            <w:shd w:fill="FAF8F3" w:val="clear"/>
            <w:tcMar>
              <w:top w:type="dxa" w:w="100"/>
              <w:left w:type="dxa" w:w="140"/>
              <w:bottom w:type="dxa" w:w="100"/>
              <w:right w:type="dxa" w:w="140"/>
            </w:tcMar>
          </w:tcPr>
          <w:p>
            <w:pPr>
              <w:jc w:val="left"/>
            </w:pPr>
            <w:r>
              <w:rPr>
                <w:rFonts w:ascii="Times New Roman" w:cs="Times New Roman" w:eastAsia="Times New Roman" w:hAnsi="Times New Roman"/>
                <w:sz w:val="20"/>
                <w:szCs w:val="20"/>
              </w:rPr>
              <w:t xml:space="preserve">PASSED</w:t>
            </w:r>
          </w:p>
        </w:tc>
      </w:tr>
    </w:tbl>
    <w:p>
      <w:pPr>
        <w:pageBreakBefore/>
        <w:spacing w:after="300" w:before="300" w:line="360"/>
        <w:jc w:val="center"/>
      </w:pPr>
      <w:r>
        <w:rPr>
          <w:rFonts w:ascii="Times New Roman" w:cs="Times New Roman" w:eastAsia="Times New Roman" w:hAnsi="Times New Roman"/>
          <w:b/>
          <w:bCs/>
          <w:sz w:val="36"/>
          <w:szCs w:val="36"/>
        </w:rPr>
        <w:t xml:space="preserve">CHAPTER 5 – SUMMARY AND CONCLUSIONS</w:t>
      </w:r>
    </w:p>
    <w:p>
      <w:pPr>
        <w:spacing w:after="140" w:before="260" w:line="360"/>
        <w:jc w:val="left"/>
      </w:pPr>
      <w:r>
        <w:rPr>
          <w:rFonts w:ascii="Times New Roman" w:cs="Times New Roman" w:eastAsia="Times New Roman" w:hAnsi="Times New Roman"/>
          <w:b/>
          <w:bCs/>
          <w:sz w:val="32"/>
          <w:szCs w:val="32"/>
        </w:rPr>
        <w:t xml:space="preserve">5.1 Summary</w:t>
      </w:r>
    </w:p>
    <w:p>
      <w:pPr>
        <w:spacing w:after="160" w:line="360"/>
        <w:jc w:val="both"/>
      </w:pPr>
      <w:r>
        <w:rPr>
          <w:rFonts w:ascii="Times New Roman" w:cs="Times New Roman" w:eastAsia="Times New Roman" w:hAnsi="Times New Roman"/>
          <w:b w:val="false"/>
          <w:bCs w:val="false"/>
          <w:i w:val="false"/>
          <w:iCs w:val="false"/>
          <w:sz w:val="24"/>
          <w:szCs w:val="24"/>
        </w:rPr>
        <w:t xml:space="preserve">AgriShare successfully resolves the rural mechanization bottleneck by transforming idle community farm assets into an active, hyper-local shared pool. Built by a five-member undergraduate engineering team, the platform combines modern web engineering with vernacular accessibility and zero-commission peer-to-peer sharing.</w:t>
      </w:r>
    </w:p>
    <w:p>
      <w:pPr>
        <w:spacing w:after="140" w:before="260" w:line="360"/>
        <w:jc w:val="left"/>
      </w:pPr>
      <w:r>
        <w:rPr>
          <w:rFonts w:ascii="Times New Roman" w:cs="Times New Roman" w:eastAsia="Times New Roman" w:hAnsi="Times New Roman"/>
          <w:b/>
          <w:bCs/>
          <w:sz w:val="32"/>
          <w:szCs w:val="32"/>
        </w:rPr>
        <w:t xml:space="preserve">5.2 Future Scope</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1. Live GPS Machinery Tracking: </w:t>
      </w:r>
      <w:r>
        <w:rPr>
          <w:rFonts w:ascii="Times New Roman" w:cs="Times New Roman" w:eastAsia="Times New Roman" w:hAnsi="Times New Roman"/>
          <w:sz w:val="24"/>
          <w:szCs w:val="24"/>
        </w:rPr>
        <w:t xml:space="preserve">Embedding IoT telematics for real-time tractor tracking on interactive GIS maps.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2. Vernacular Voice Assistance: </w:t>
      </w:r>
      <w:r>
        <w:rPr>
          <w:rFonts w:ascii="Times New Roman" w:cs="Times New Roman" w:eastAsia="Times New Roman" w:hAnsi="Times New Roman"/>
          <w:sz w:val="24"/>
          <w:szCs w:val="24"/>
        </w:rPr>
        <w:t xml:space="preserve">Voice-driven search and audio confirmation in Marathi for semi-literate farmers.</w:t>
      </w:r>
    </w:p>
    <w:p>
      <w:pPr>
        <w:pStyle w:val="ListParagraph"/>
        <w:numPr>
          <w:ilvl w:val="0"/>
          <w:numId w:val="1"/>
        </w:numPr>
        <w:spacing w:after="120" w:line="360"/>
        <w:jc w:val="both"/>
      </w:pPr>
      <w:r>
        <w:rPr>
          <w:rFonts w:ascii="Times New Roman" w:cs="Times New Roman" w:eastAsia="Times New Roman" w:hAnsi="Times New Roman"/>
          <w:b/>
          <w:bCs/>
          <w:sz w:val="24"/>
          <w:szCs w:val="24"/>
        </w:rPr>
        <w:t xml:space="preserve">3. WhatsApp &amp; SMS Alerts: </w:t>
      </w:r>
      <w:r>
        <w:rPr>
          <w:rFonts w:ascii="Times New Roman" w:cs="Times New Roman" w:eastAsia="Times New Roman" w:hAnsi="Times New Roman"/>
          <w:sz w:val="24"/>
          <w:szCs w:val="24"/>
        </w:rPr>
        <w:t xml:space="preserve">Automated SMS and WhatsApp dispatch notifications upon booking approvals.</w:t>
      </w:r>
    </w:p>
    <w:p>
      <w:pPr>
        <w:spacing w:after="140" w:before="260" w:line="360"/>
        <w:jc w:val="left"/>
      </w:pPr>
      <w:r>
        <w:rPr>
          <w:rFonts w:ascii="Times New Roman" w:cs="Times New Roman" w:eastAsia="Times New Roman" w:hAnsi="Times New Roman"/>
          <w:b/>
          <w:bCs/>
          <w:sz w:val="32"/>
          <w:szCs w:val="32"/>
        </w:rPr>
        <w:t xml:space="preserve">5.3 Conclusion</w:t>
      </w:r>
    </w:p>
    <w:p>
      <w:pPr>
        <w:spacing w:after="160" w:line="360"/>
        <w:jc w:val="both"/>
      </w:pPr>
      <w:r>
        <w:rPr>
          <w:rFonts w:ascii="Times New Roman" w:cs="Times New Roman" w:eastAsia="Times New Roman" w:hAnsi="Times New Roman"/>
          <w:b w:val="false"/>
          <w:bCs w:val="false"/>
          <w:i w:val="false"/>
          <w:iCs w:val="false"/>
          <w:sz w:val="24"/>
          <w:szCs w:val="24"/>
        </w:rPr>
        <w:t xml:space="preserve">AgriShare proves that multidisciplinary engineering principles can be directly channeled into practical, community-oriented solutions for Indian agriculture. By eliminating double-booking conflicts, providing transparent peer rental rates, and offering native Marathi support, the platform makes modern farm mechanization accessible to every small and marginal farmer.</w:t>
      </w:r>
    </w:p>
    <w:p>
      <w:pPr>
        <w:pageBreakBefore/>
        <w:spacing w:after="300" w:before="300" w:line="360"/>
        <w:jc w:val="center"/>
      </w:pPr>
      <w:r>
        <w:rPr>
          <w:rFonts w:ascii="Times New Roman" w:cs="Times New Roman" w:eastAsia="Times New Roman" w:hAnsi="Times New Roman"/>
          <w:b/>
          <w:bCs/>
          <w:sz w:val="36"/>
          <w:szCs w:val="36"/>
        </w:rPr>
        <w:t xml:space="preserve">REFERENCES</w:t>
      </w:r>
    </w:p>
    <w:p>
      <w:pPr>
        <w:spacing w:after="160" w:line="360"/>
        <w:jc w:val="both"/>
      </w:pPr>
      <w:r>
        <w:rPr>
          <w:rFonts w:ascii="Times New Roman" w:cs="Times New Roman" w:eastAsia="Times New Roman" w:hAnsi="Times New Roman"/>
          <w:b w:val="false"/>
          <w:bCs w:val="false"/>
          <w:i w:val="false"/>
          <w:iCs w:val="false"/>
          <w:sz w:val="24"/>
          <w:szCs w:val="24"/>
        </w:rPr>
        <w:t xml:space="preserve">[1] ICAR, "Agricultural Mechanization in India: Trends, Prospects, and Challenges," Technical Bulletin No. 42, New Delhi, 2022.</w:t>
      </w:r>
    </w:p>
    <w:p>
      <w:pPr>
        <w:spacing w:after="160" w:line="360"/>
        <w:jc w:val="both"/>
      </w:pPr>
      <w:r>
        <w:rPr>
          <w:rFonts w:ascii="Times New Roman" w:cs="Times New Roman" w:eastAsia="Times New Roman" w:hAnsi="Times New Roman"/>
          <w:b w:val="false"/>
          <w:bCs w:val="false"/>
          <w:i w:val="false"/>
          <w:iCs w:val="false"/>
          <w:sz w:val="24"/>
          <w:szCs w:val="24"/>
        </w:rPr>
        <w:t xml:space="preserve">[2] P. K. Joshi, A. Gulati, and J. Birthal, "Agricultural Diversification and Smallholder Mechanization in Peninsular India," Economic &amp; Political Weekly, vol. 54, no. 18, pp. 45–53, May 2019.</w:t>
      </w:r>
    </w:p>
    <w:p>
      <w:pPr>
        <w:spacing w:after="160" w:line="360"/>
        <w:jc w:val="both"/>
      </w:pPr>
      <w:r>
        <w:rPr>
          <w:rFonts w:ascii="Times New Roman" w:cs="Times New Roman" w:eastAsia="Times New Roman" w:hAnsi="Times New Roman"/>
          <w:b w:val="false"/>
          <w:bCs w:val="false"/>
          <w:i w:val="false"/>
          <w:iCs w:val="false"/>
          <w:sz w:val="24"/>
          <w:szCs w:val="24"/>
        </w:rPr>
        <w:t xml:space="preserve">[3] S. Singh and D. De, "Energy and Economic Efficiency of Mechanized Implements in Indian Semi-Arid Tropics," Journal of Agricultural Engineering (India), vol. 58, no. 3, pp. 211–224, Sep. 2021.</w:t>
      </w:r>
    </w:p>
    <w:p>
      <w:pPr>
        <w:spacing w:after="160" w:line="360"/>
        <w:jc w:val="both"/>
      </w:pPr>
      <w:r>
        <w:rPr>
          <w:rFonts w:ascii="Times New Roman" w:cs="Times New Roman" w:eastAsia="Times New Roman" w:hAnsi="Times New Roman"/>
          <w:b w:val="false"/>
          <w:bCs w:val="false"/>
          <w:i w:val="false"/>
          <w:iCs w:val="false"/>
          <w:sz w:val="24"/>
          <w:szCs w:val="24"/>
        </w:rPr>
        <w:t xml:space="preserve">[4] N. Patel and S. Vyas, "Evaluation of Digital Agriculture Platforms for Hyper-local Farmer Communities," Int. J. Agric. Biol. Eng., vol. 14, no. 4, pp. 180–189, Jul. 2021.</w:t>
      </w:r>
    </w:p>
    <w:p>
      <w:pPr>
        <w:spacing w:after="160" w:line="360"/>
        <w:jc w:val="both"/>
      </w:pPr>
      <w:r>
        <w:rPr>
          <w:rFonts w:ascii="Times New Roman" w:cs="Times New Roman" w:eastAsia="Times New Roman" w:hAnsi="Times New Roman"/>
          <w:b w:val="false"/>
          <w:bCs w:val="false"/>
          <w:i w:val="false"/>
          <w:iCs w:val="false"/>
          <w:sz w:val="24"/>
          <w:szCs w:val="24"/>
        </w:rPr>
        <w:t xml:space="preserve">[5] R. Sharma, M. Kumar, and A. Roy, "Human-Computer Interaction in Rural ICT Interventions: Lessons from Indian Smallholders," in Proc. IEEE ICTD, 2020, pp. 112–121.</w:t>
      </w:r>
    </w:p>
    <w:p>
      <w:pPr>
        <w:spacing w:after="160" w:line="360"/>
        <w:jc w:val="both"/>
      </w:pPr>
      <w:r>
        <w:rPr>
          <w:rFonts w:ascii="Times New Roman" w:cs="Times New Roman" w:eastAsia="Times New Roman" w:hAnsi="Times New Roman"/>
          <w:b w:val="false"/>
          <w:bCs w:val="false"/>
          <w:i w:val="false"/>
          <w:iCs w:val="false"/>
          <w:sz w:val="24"/>
          <w:szCs w:val="24"/>
        </w:rPr>
        <w:t xml:space="preserve">[6] V. Deshmukh and P. Bansod, "Uberization of Farm Machinery in India: Business Models and Field Viability," Asian J. Agric. Ext. Econ., vol. 39, no. 6, pp. 94–105, Jun. 2021.</w:t>
      </w:r>
    </w:p>
    <w:p>
      <w:pPr>
        <w:spacing w:after="160" w:line="360"/>
        <w:jc w:val="both"/>
      </w:pPr>
      <w:r>
        <w:rPr>
          <w:rFonts w:ascii="Times New Roman" w:cs="Times New Roman" w:eastAsia="Times New Roman" w:hAnsi="Times New Roman"/>
          <w:b w:val="false"/>
          <w:bCs w:val="false"/>
          <w:i w:val="false"/>
          <w:iCs w:val="false"/>
          <w:sz w:val="24"/>
          <w:szCs w:val="24"/>
        </w:rPr>
        <w:t xml:space="preserve">[7] R. Deshpande and S. Kulkarni, "Custom Hiring Services of Agricultural Machinery: Operational Bottlenecks in Western Maharashtra," Indian J. Agric. Econ., vol. 76, no. 2, pp. 278–291, Apr. 2021.</w:t>
      </w:r>
    </w:p>
    <w:p>
      <w:pPr>
        <w:spacing w:after="160" w:line="360"/>
        <w:jc w:val="both"/>
      </w:pPr>
      <w:r>
        <w:rPr>
          <w:rFonts w:ascii="Times New Roman" w:cs="Times New Roman" w:eastAsia="Times New Roman" w:hAnsi="Times New Roman"/>
          <w:b w:val="false"/>
          <w:bCs w:val="false"/>
          <w:i w:val="false"/>
          <w:iCs w:val="false"/>
          <w:sz w:val="24"/>
          <w:szCs w:val="24"/>
        </w:rPr>
        <w:t xml:space="preserve">[8] A. Narayanamoorthy, K. S. Hari, and R. Suresh, "Farm Machinery Ownership versus Custom Hiring: An Empirical Analysis across Agrarian Zones," Agric. Econ. Res. Rev., vol. 34, no. 1, pp. 67–80, Jun. 2021.</w:t>
      </w:r>
    </w:p>
    <w:p>
      <w:pPr>
        <w:spacing w:after="160" w:line="360"/>
        <w:jc w:val="both"/>
      </w:pPr>
      <w:r>
        <w:rPr>
          <w:rFonts w:ascii="Times New Roman" w:cs="Times New Roman" w:eastAsia="Times New Roman" w:hAnsi="Times New Roman"/>
          <w:b w:val="false"/>
          <w:bCs w:val="false"/>
          <w:i w:val="false"/>
          <w:iCs w:val="false"/>
          <w:sz w:val="24"/>
          <w:szCs w:val="24"/>
        </w:rPr>
        <w:t xml:space="preserve">[9] A. Joshi and K. S. Rao, "Vernacular Interfaces and Linguistic Accessibility in Digital Rural Development," Inf. Technol. Dev., vol. 28, no. 3, pp. 540–559, Jul. 2022.</w:t>
      </w:r>
    </w:p>
    <w:p>
      <w:pPr>
        <w:spacing w:after="160" w:line="360"/>
        <w:jc w:val="both"/>
      </w:pPr>
      <w:r>
        <w:rPr>
          <w:rFonts w:ascii="Times New Roman" w:cs="Times New Roman" w:eastAsia="Times New Roman" w:hAnsi="Times New Roman"/>
          <w:b w:val="false"/>
          <w:bCs w:val="false"/>
          <w:i w:val="false"/>
          <w:iCs w:val="false"/>
          <w:sz w:val="24"/>
          <w:szCs w:val="24"/>
        </w:rPr>
        <w:t xml:space="preserve">[10] Mongoose ODM Documentation, "Mongoose v8.3 Reference Guide," Automattic, 2024. Available: https://mongoosejs.com/docs/guide.html.</w:t>
      </w:r>
    </w:p>
    <w:sectPr>
      <w:headerReference w:type="default" r:id="rId6"/>
      <w:footerReference w:type="default" r:id="rId7"/>
      <w:pgSz w:w="11906" w:h="16838" w:orient="portrait"/>
      <w:pgMar w:top="1701" w:right="1134" w:bottom="124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AgriShare – MDM Minor Project Report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2026-10-27T10:19:07.999Z</dcterms:created>
  <dcterms:modified xsi:type="dcterms:W3CDTF">2026-10-27T10:19:08.001Z</dcterms:modified>
</cp:coreProperties>
</file>

<file path=docProps/custom.xml><?xml version="1.0" encoding="utf-8"?>
<Properties xmlns="http://schemas.openxmlformats.org/officeDocument/2006/custom-properties" xmlns:vt="http://schemas.openxmlformats.org/officeDocument/2006/docPropsVTypes"/>
</file>