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8933602"/>
        <w:docPartObj>
          <w:docPartGallery w:val="Cover Pages"/>
          <w:docPartUnique/>
        </w:docPartObj>
      </w:sdtPr>
      <w:sdtEndPr>
        <w:rPr>
          <w:rFonts w:cs="Times New Roman"/>
          <w:szCs w:val="24"/>
        </w:rPr>
      </w:sdtEndPr>
      <w:sdtContent>
        <w:p w14:paraId="650BE3CC" w14:textId="74FC3097" w:rsidR="00EE79FD" w:rsidRDefault="007E3AE0">
          <w:r w:rsidRPr="00E3132F">
            <w:rPr>
              <w:rFonts w:cs="Times New Roman"/>
              <w:b/>
              <w:color w:val="000000" w:themeColor="text1"/>
              <w:szCs w:val="24"/>
            </w:rPr>
            <w:drawing>
              <wp:anchor distT="0" distB="0" distL="114300" distR="114300" simplePos="0" relativeHeight="251729920" behindDoc="1" locked="0" layoutInCell="1" allowOverlap="1" wp14:anchorId="00C5281B" wp14:editId="12FD71DA">
                <wp:simplePos x="0" y="0"/>
                <wp:positionH relativeFrom="column">
                  <wp:posOffset>-476250</wp:posOffset>
                </wp:positionH>
                <wp:positionV relativeFrom="paragraph">
                  <wp:posOffset>-600074</wp:posOffset>
                </wp:positionV>
                <wp:extent cx="3076575" cy="823254"/>
                <wp:effectExtent l="0" t="0" r="0" b="0"/>
                <wp:wrapNone/>
                <wp:docPr id="1559753847" name="Picture 2" descr="A close-up of 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42191" name="Picture 2" descr="A close-up of a logo"/>
                        <pic:cNvPicPr/>
                      </pic:nvPicPr>
                      <pic:blipFill>
                        <a:blip r:embed="rId9"/>
                        <a:stretch>
                          <a:fillRect/>
                        </a:stretch>
                      </pic:blipFill>
                      <pic:spPr>
                        <a:xfrm>
                          <a:off x="0" y="0"/>
                          <a:ext cx="3082785" cy="824916"/>
                        </a:xfrm>
                        <a:prstGeom prst="rect">
                          <a:avLst/>
                        </a:prstGeom>
                      </pic:spPr>
                    </pic:pic>
                  </a:graphicData>
                </a:graphic>
                <wp14:sizeRelH relativeFrom="margin">
                  <wp14:pctWidth>0</wp14:pctWidth>
                </wp14:sizeRelH>
                <wp14:sizeRelV relativeFrom="margin">
                  <wp14:pctHeight>0</wp14:pctHeight>
                </wp14:sizeRelV>
              </wp:anchor>
            </w:drawing>
          </w:r>
          <w:r w:rsidRPr="00E3132F">
            <w:rPr>
              <w:rFonts w:cs="Times New Roman"/>
              <w:b/>
              <w:color w:val="000000" w:themeColor="text1"/>
              <w:szCs w:val="2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drawing>
              <wp:anchor distT="0" distB="0" distL="114300" distR="114300" simplePos="0" relativeHeight="251628544" behindDoc="1" locked="0" layoutInCell="1" allowOverlap="1" wp14:anchorId="640F83AC" wp14:editId="47D5AFCF">
                <wp:simplePos x="0" y="0"/>
                <wp:positionH relativeFrom="column">
                  <wp:posOffset>990600</wp:posOffset>
                </wp:positionH>
                <wp:positionV relativeFrom="paragraph">
                  <wp:posOffset>-395605</wp:posOffset>
                </wp:positionV>
                <wp:extent cx="8362950" cy="8085508"/>
                <wp:effectExtent l="0" t="0" r="0" b="0"/>
                <wp:wrapNone/>
                <wp:docPr id="1149413190" name="Picture 1" descr="A circular network with red and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13190" name="Picture 1" descr="A circular network with red and blue lines and dots&#10;&#10;AI-generated content may be incorrect."/>
                        <pic:cNvPicPr/>
                      </pic:nvPicPr>
                      <pic:blipFill>
                        <a:blip r:embed="rId10">
                          <a:alphaModFix amt="20000"/>
                        </a:blip>
                        <a:stretch>
                          <a:fillRect/>
                        </a:stretch>
                      </pic:blipFill>
                      <pic:spPr>
                        <a:xfrm>
                          <a:off x="0" y="0"/>
                          <a:ext cx="8362950" cy="8085508"/>
                        </a:xfrm>
                        <a:prstGeom prst="rect">
                          <a:avLst/>
                        </a:prstGeom>
                      </pic:spPr>
                    </pic:pic>
                  </a:graphicData>
                </a:graphic>
                <wp14:sizeRelH relativeFrom="margin">
                  <wp14:pctWidth>0</wp14:pctWidth>
                </wp14:sizeRelH>
                <wp14:sizeRelV relativeFrom="margin">
                  <wp14:pctHeight>0</wp14:pctHeight>
                </wp14:sizeRelV>
              </wp:anchor>
            </w:drawing>
          </w:r>
        </w:p>
        <w:p w14:paraId="622F3864" w14:textId="0CAFAA73" w:rsidR="00EE79FD" w:rsidRDefault="00174BAF">
          <w:pPr>
            <w:spacing w:after="160" w:line="259" w:lineRule="auto"/>
            <w:jc w:val="left"/>
            <w:rPr>
              <w:rFonts w:cs="Times New Roman"/>
              <w:szCs w:val="24"/>
            </w:rPr>
          </w:pPr>
          <w:r>
            <mc:AlternateContent>
              <mc:Choice Requires="wps">
                <w:drawing>
                  <wp:anchor distT="0" distB="0" distL="114300" distR="114300" simplePos="0" relativeHeight="251685888" behindDoc="1" locked="0" layoutInCell="1" allowOverlap="1" wp14:anchorId="142F0651" wp14:editId="57599964">
                    <wp:simplePos x="0" y="0"/>
                    <wp:positionH relativeFrom="page">
                      <wp:posOffset>374015</wp:posOffset>
                    </wp:positionH>
                    <wp:positionV relativeFrom="page">
                      <wp:posOffset>4462145</wp:posOffset>
                    </wp:positionV>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6650C9" w14:paraId="00951870" w14:textId="77777777">
                                  <w:trPr>
                                    <w:trHeight w:val="2376"/>
                                  </w:trPr>
                                  <w:tc>
                                    <w:tcPr>
                                      <w:tcW w:w="370" w:type="pct"/>
                                      <w:shd w:val="clear" w:color="auto" w:fill="4F81BD" w:themeFill="accent1"/>
                                    </w:tcPr>
                                    <w:p w14:paraId="48932EFE" w14:textId="77777777" w:rsidR="00EE79FD" w:rsidRDefault="00EE79FD"/>
                                  </w:tc>
                                  <w:sdt>
                                    <w:sdtPr>
                                      <w:rPr>
                                        <w:rFonts w:asciiTheme="majorHAnsi" w:hAnsiTheme="majorHAnsi"/>
                                        <w:color w:val="FFFFFF" w:themeColor="background1"/>
                                        <w:sz w:val="96"/>
                                        <w:szCs w:val="96"/>
                                      </w:rPr>
                                      <w:alias w:val="Title"/>
                                      <w:tag w:val=""/>
                                      <w:id w:val="739824258"/>
                                      <w:placeholder>
                                        <w:docPart w:val="22CC0EFFD4394315941434972719946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517E97DF" w14:textId="4200C7B3" w:rsidR="00EE79FD" w:rsidRDefault="00222642">
                                          <w:pPr>
                                            <w:pStyle w:val="NoSpacing"/>
                                            <w:spacing w:before="240" w:line="216" w:lineRule="auto"/>
                                            <w:ind w:left="360" w:right="360"/>
                                            <w:contextualSpacing/>
                                            <w:rPr>
                                              <w:rFonts w:asciiTheme="majorHAnsi" w:hAnsiTheme="majorHAnsi"/>
                                              <w:color w:val="FFFFFF" w:themeColor="background1"/>
                                              <w:sz w:val="96"/>
                                              <w:szCs w:val="96"/>
                                            </w:rPr>
                                          </w:pPr>
                                          <w:r w:rsidRPr="00222642">
                                            <w:rPr>
                                              <w:rFonts w:asciiTheme="majorHAnsi" w:hAnsiTheme="majorHAnsi"/>
                                              <w:color w:val="FFFFFF" w:themeColor="background1"/>
                                              <w:sz w:val="96"/>
                                              <w:szCs w:val="96"/>
                                            </w:rPr>
                                            <w:t>The Global SDG Landscape:</w:t>
                                          </w:r>
                                          <w:r w:rsidR="00383EAB">
                                            <w:rPr>
                                              <w:rFonts w:asciiTheme="majorHAnsi" w:hAnsiTheme="majorHAnsi"/>
                                              <w:color w:val="FFFFFF" w:themeColor="background1"/>
                                              <w:sz w:val="96"/>
                                              <w:szCs w:val="96"/>
                                            </w:rPr>
                                            <w:t xml:space="preserve"> </w:t>
                                          </w:r>
                                          <w:r w:rsidRPr="00222642">
                                            <w:rPr>
                                              <w:rFonts w:asciiTheme="majorHAnsi" w:hAnsiTheme="majorHAnsi"/>
                                              <w:color w:val="FFFFFF" w:themeColor="background1"/>
                                              <w:sz w:val="96"/>
                                              <w:szCs w:val="96"/>
                                            </w:rPr>
                                            <w:t>Performance, Momentum, and Structural Links</w:t>
                                          </w:r>
                                        </w:p>
                                      </w:tc>
                                    </w:sdtContent>
                                  </w:sdt>
                                </w:tr>
                                <w:tr w:rsidR="006650C9" w14:paraId="0C243254" w14:textId="77777777">
                                  <w:trPr>
                                    <w:trHeight w:hRule="exact" w:val="648"/>
                                  </w:trPr>
                                  <w:tc>
                                    <w:tcPr>
                                      <w:tcW w:w="370" w:type="pct"/>
                                      <w:shd w:val="clear" w:color="auto" w:fill="4F81BD" w:themeFill="accent1"/>
                                    </w:tcPr>
                                    <w:p w14:paraId="72D72CAB" w14:textId="77777777" w:rsidR="00EE79FD" w:rsidRDefault="00EE79FD"/>
                                  </w:tc>
                                  <w:tc>
                                    <w:tcPr>
                                      <w:tcW w:w="4630" w:type="pct"/>
                                      <w:shd w:val="clear" w:color="auto" w:fill="404040" w:themeFill="text1" w:themeFillTint="BF"/>
                                      <w:vAlign w:val="bottom"/>
                                    </w:tcPr>
                                    <w:p w14:paraId="43D98DDD" w14:textId="77777777" w:rsidR="00EE79FD" w:rsidRDefault="00EE79FD">
                                      <w:pPr>
                                        <w:ind w:left="360" w:right="360"/>
                                        <w:rPr>
                                          <w:color w:val="FFFFFF" w:themeColor="background1"/>
                                          <w:sz w:val="28"/>
                                          <w:szCs w:val="28"/>
                                        </w:rPr>
                                      </w:pPr>
                                    </w:p>
                                  </w:tc>
                                </w:tr>
                                <w:tr w:rsidR="006650C9" w14:paraId="39151E22" w14:textId="77777777">
                                  <w:tc>
                                    <w:tcPr>
                                      <w:tcW w:w="370" w:type="pct"/>
                                      <w:shd w:val="clear" w:color="auto" w:fill="4F81BD" w:themeFill="accent1"/>
                                    </w:tcPr>
                                    <w:p w14:paraId="63AB683A" w14:textId="77777777" w:rsidR="00EE79FD" w:rsidRDefault="00EE79FD"/>
                                  </w:tc>
                                  <w:tc>
                                    <w:tcPr>
                                      <w:tcW w:w="4630" w:type="pct"/>
                                      <w:shd w:val="clear" w:color="auto" w:fill="404040" w:themeFill="text1" w:themeFillTint="BF"/>
                                      <w:vAlign w:val="bottom"/>
                                    </w:tcPr>
                                    <w:p w14:paraId="2FE310A0" w14:textId="765E5355" w:rsidR="00791265" w:rsidRDefault="00EE79FD" w:rsidP="00791265">
                                      <w:pPr>
                                        <w:pStyle w:val="NoSpacing"/>
                                        <w:spacing w:line="288" w:lineRule="auto"/>
                                        <w:ind w:left="360" w:right="360"/>
                                        <w:rPr>
                                          <w:color w:val="FFFFFF" w:themeColor="background1"/>
                                          <w:sz w:val="28"/>
                                          <w:szCs w:val="28"/>
                                        </w:rPr>
                                      </w:pPr>
                                      <w:r w:rsidRPr="00EE79FD">
                                        <w:rPr>
                                          <w:color w:val="FFFFFF" w:themeColor="background1"/>
                                          <w:sz w:val="28"/>
                                          <w:szCs w:val="28"/>
                                        </w:rPr>
                                        <w:t>Jesus Eric Seacor (24007226), Sai Ram Ceka (24011574)</w:t>
                                      </w:r>
                                    </w:p>
                                    <w:p w14:paraId="0B683479" w14:textId="1C4D692E" w:rsidR="00EE79FD" w:rsidRDefault="006640DA">
                                      <w:pPr>
                                        <w:pStyle w:val="NoSpacing"/>
                                        <w:spacing w:line="288" w:lineRule="auto"/>
                                        <w:ind w:left="360" w:right="360"/>
                                        <w:rPr>
                                          <w:color w:val="FFFFFF" w:themeColor="background1"/>
                                          <w:sz w:val="28"/>
                                          <w:szCs w:val="28"/>
                                        </w:rPr>
                                      </w:pPr>
                                      <w:r>
                                        <w:rPr>
                                          <w:color w:val="FFFFFF" w:themeColor="background1"/>
                                          <w:sz w:val="28"/>
                                          <w:szCs w:val="28"/>
                                        </w:rPr>
                                        <w:t xml:space="preserve">Course: </w:t>
                                      </w:r>
                                      <w:r w:rsidR="00791265" w:rsidRPr="00791265">
                                        <w:rPr>
                                          <w:color w:val="FFFFFF" w:themeColor="background1"/>
                                          <w:sz w:val="28"/>
                                          <w:szCs w:val="28"/>
                                        </w:rPr>
                                        <w:t>158.888 Information Technology Professional Project</w:t>
                                      </w:r>
                                    </w:p>
                                    <w:p w14:paraId="16651118" w14:textId="77777777" w:rsidR="00791265" w:rsidRDefault="00791265">
                                      <w:pPr>
                                        <w:pStyle w:val="NoSpacing"/>
                                        <w:spacing w:line="288" w:lineRule="auto"/>
                                        <w:ind w:left="360" w:right="360"/>
                                        <w:rPr>
                                          <w:color w:val="FFFFFF" w:themeColor="background1"/>
                                          <w:sz w:val="28"/>
                                          <w:szCs w:val="28"/>
                                        </w:rPr>
                                      </w:pPr>
                                    </w:p>
                                    <w:p w14:paraId="7E7EB4A4" w14:textId="77777777" w:rsidR="00EE79FD" w:rsidRDefault="00791265">
                                      <w:pPr>
                                        <w:pStyle w:val="NoSpacing"/>
                                        <w:spacing w:after="240" w:line="288" w:lineRule="auto"/>
                                        <w:ind w:left="360" w:right="360"/>
                                        <w:rPr>
                                          <w:color w:val="FFFFFF" w:themeColor="background1"/>
                                          <w:sz w:val="28"/>
                                          <w:szCs w:val="28"/>
                                        </w:rPr>
                                      </w:pPr>
                                      <w:r w:rsidRPr="00791265">
                                        <w:rPr>
                                          <w:color w:val="FFFFFF" w:themeColor="background1"/>
                                          <w:sz w:val="28"/>
                                          <w:szCs w:val="28"/>
                                        </w:rPr>
                                        <w:t>Teaching Team: Dr. Anuradha Mathrani, Dr. Niloofar Aflaki</w:t>
                                      </w:r>
                                    </w:p>
                                    <w:p w14:paraId="37B1BFBA" w14:textId="4A26CD44" w:rsidR="00791265" w:rsidRDefault="00791265">
                                      <w:pPr>
                                        <w:pStyle w:val="NoSpacing"/>
                                        <w:spacing w:after="240" w:line="288" w:lineRule="auto"/>
                                        <w:ind w:left="360" w:right="360"/>
                                        <w:rPr>
                                          <w:color w:val="FFFFFF" w:themeColor="background1"/>
                                          <w:sz w:val="28"/>
                                          <w:szCs w:val="28"/>
                                        </w:rPr>
                                      </w:pPr>
                                      <w:r w:rsidRPr="00791265">
                                        <w:rPr>
                                          <w:color w:val="FFFFFF" w:themeColor="background1"/>
                                          <w:sz w:val="28"/>
                                          <w:szCs w:val="28"/>
                                        </w:rPr>
                                        <w:t>Due Date: 20th October 2025</w:t>
                                      </w:r>
                                    </w:p>
                                  </w:tc>
                                </w:tr>
                              </w:tbl>
                              <w:p w14:paraId="7A31D6D7" w14:textId="77777777" w:rsidR="00EE79FD" w:rsidRDefault="00EE79F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142F0651" id="_x0000_t202" coordsize="21600,21600" o:spt="202" path="m,l,21600r21600,l21600,xe">
                    <v:stroke joinstyle="miter"/>
                    <v:path gradientshapeok="t" o:connecttype="rect"/>
                  </v:shapetype>
                  <v:shape id="_x0000_s1026" type="#_x0000_t202" alt="Cover page content layout" style="position:absolute;margin-left:29.45pt;margin-top:351.35pt;width:553.9pt;height:256.3pt;z-index:-251630592;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6650C9" w14:paraId="00951870" w14:textId="77777777">
                            <w:trPr>
                              <w:trHeight w:val="2376"/>
                            </w:trPr>
                            <w:tc>
                              <w:tcPr>
                                <w:tcW w:w="370" w:type="pct"/>
                                <w:shd w:val="clear" w:color="auto" w:fill="4F81BD" w:themeFill="accent1"/>
                              </w:tcPr>
                              <w:p w14:paraId="48932EFE" w14:textId="77777777" w:rsidR="00EE79FD" w:rsidRDefault="00EE79FD"/>
                            </w:tc>
                            <w:sdt>
                              <w:sdtPr>
                                <w:rPr>
                                  <w:rFonts w:asciiTheme="majorHAnsi" w:hAnsiTheme="majorHAnsi"/>
                                  <w:color w:val="FFFFFF" w:themeColor="background1"/>
                                  <w:sz w:val="96"/>
                                  <w:szCs w:val="96"/>
                                </w:rPr>
                                <w:alias w:val="Title"/>
                                <w:tag w:val=""/>
                                <w:id w:val="739824258"/>
                                <w:placeholder>
                                  <w:docPart w:val="22CC0EFFD4394315941434972719946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517E97DF" w14:textId="4200C7B3" w:rsidR="00EE79FD" w:rsidRDefault="00222642">
                                    <w:pPr>
                                      <w:pStyle w:val="NoSpacing"/>
                                      <w:spacing w:before="240" w:line="216" w:lineRule="auto"/>
                                      <w:ind w:left="360" w:right="360"/>
                                      <w:contextualSpacing/>
                                      <w:rPr>
                                        <w:rFonts w:asciiTheme="majorHAnsi" w:hAnsiTheme="majorHAnsi"/>
                                        <w:color w:val="FFFFFF" w:themeColor="background1"/>
                                        <w:sz w:val="96"/>
                                        <w:szCs w:val="96"/>
                                      </w:rPr>
                                    </w:pPr>
                                    <w:r w:rsidRPr="00222642">
                                      <w:rPr>
                                        <w:rFonts w:asciiTheme="majorHAnsi" w:hAnsiTheme="majorHAnsi"/>
                                        <w:color w:val="FFFFFF" w:themeColor="background1"/>
                                        <w:sz w:val="96"/>
                                        <w:szCs w:val="96"/>
                                      </w:rPr>
                                      <w:t>The Global SDG Landscape:</w:t>
                                    </w:r>
                                    <w:r w:rsidR="00383EAB">
                                      <w:rPr>
                                        <w:rFonts w:asciiTheme="majorHAnsi" w:hAnsiTheme="majorHAnsi"/>
                                        <w:color w:val="FFFFFF" w:themeColor="background1"/>
                                        <w:sz w:val="96"/>
                                        <w:szCs w:val="96"/>
                                      </w:rPr>
                                      <w:t xml:space="preserve"> </w:t>
                                    </w:r>
                                    <w:r w:rsidRPr="00222642">
                                      <w:rPr>
                                        <w:rFonts w:asciiTheme="majorHAnsi" w:hAnsiTheme="majorHAnsi"/>
                                        <w:color w:val="FFFFFF" w:themeColor="background1"/>
                                        <w:sz w:val="96"/>
                                        <w:szCs w:val="96"/>
                                      </w:rPr>
                                      <w:t>Performance, Momentum, and Structural Links</w:t>
                                    </w:r>
                                  </w:p>
                                </w:tc>
                              </w:sdtContent>
                            </w:sdt>
                          </w:tr>
                          <w:tr w:rsidR="006650C9" w14:paraId="0C243254" w14:textId="77777777">
                            <w:trPr>
                              <w:trHeight w:hRule="exact" w:val="648"/>
                            </w:trPr>
                            <w:tc>
                              <w:tcPr>
                                <w:tcW w:w="370" w:type="pct"/>
                                <w:shd w:val="clear" w:color="auto" w:fill="4F81BD" w:themeFill="accent1"/>
                              </w:tcPr>
                              <w:p w14:paraId="72D72CAB" w14:textId="77777777" w:rsidR="00EE79FD" w:rsidRDefault="00EE79FD"/>
                            </w:tc>
                            <w:tc>
                              <w:tcPr>
                                <w:tcW w:w="4630" w:type="pct"/>
                                <w:shd w:val="clear" w:color="auto" w:fill="404040" w:themeFill="text1" w:themeFillTint="BF"/>
                                <w:vAlign w:val="bottom"/>
                              </w:tcPr>
                              <w:p w14:paraId="43D98DDD" w14:textId="77777777" w:rsidR="00EE79FD" w:rsidRDefault="00EE79FD">
                                <w:pPr>
                                  <w:ind w:left="360" w:right="360"/>
                                  <w:rPr>
                                    <w:color w:val="FFFFFF" w:themeColor="background1"/>
                                    <w:sz w:val="28"/>
                                    <w:szCs w:val="28"/>
                                  </w:rPr>
                                </w:pPr>
                              </w:p>
                            </w:tc>
                          </w:tr>
                          <w:tr w:rsidR="006650C9" w14:paraId="39151E22" w14:textId="77777777">
                            <w:tc>
                              <w:tcPr>
                                <w:tcW w:w="370" w:type="pct"/>
                                <w:shd w:val="clear" w:color="auto" w:fill="4F81BD" w:themeFill="accent1"/>
                              </w:tcPr>
                              <w:p w14:paraId="63AB683A" w14:textId="77777777" w:rsidR="00EE79FD" w:rsidRDefault="00EE79FD"/>
                            </w:tc>
                            <w:tc>
                              <w:tcPr>
                                <w:tcW w:w="4630" w:type="pct"/>
                                <w:shd w:val="clear" w:color="auto" w:fill="404040" w:themeFill="text1" w:themeFillTint="BF"/>
                                <w:vAlign w:val="bottom"/>
                              </w:tcPr>
                              <w:p w14:paraId="2FE310A0" w14:textId="765E5355" w:rsidR="00791265" w:rsidRDefault="00EE79FD" w:rsidP="00791265">
                                <w:pPr>
                                  <w:pStyle w:val="NoSpacing"/>
                                  <w:spacing w:line="288" w:lineRule="auto"/>
                                  <w:ind w:left="360" w:right="360"/>
                                  <w:rPr>
                                    <w:color w:val="FFFFFF" w:themeColor="background1"/>
                                    <w:sz w:val="28"/>
                                    <w:szCs w:val="28"/>
                                  </w:rPr>
                                </w:pPr>
                                <w:r w:rsidRPr="00EE79FD">
                                  <w:rPr>
                                    <w:color w:val="FFFFFF" w:themeColor="background1"/>
                                    <w:sz w:val="28"/>
                                    <w:szCs w:val="28"/>
                                  </w:rPr>
                                  <w:t>Jesus Eric Seacor (24007226), Sai Ram Ceka (24011574)</w:t>
                                </w:r>
                              </w:p>
                              <w:p w14:paraId="0B683479" w14:textId="1C4D692E" w:rsidR="00EE79FD" w:rsidRDefault="006640DA">
                                <w:pPr>
                                  <w:pStyle w:val="NoSpacing"/>
                                  <w:spacing w:line="288" w:lineRule="auto"/>
                                  <w:ind w:left="360" w:right="360"/>
                                  <w:rPr>
                                    <w:color w:val="FFFFFF" w:themeColor="background1"/>
                                    <w:sz w:val="28"/>
                                    <w:szCs w:val="28"/>
                                  </w:rPr>
                                </w:pPr>
                                <w:r>
                                  <w:rPr>
                                    <w:color w:val="FFFFFF" w:themeColor="background1"/>
                                    <w:sz w:val="28"/>
                                    <w:szCs w:val="28"/>
                                  </w:rPr>
                                  <w:t xml:space="preserve">Course: </w:t>
                                </w:r>
                                <w:r w:rsidR="00791265" w:rsidRPr="00791265">
                                  <w:rPr>
                                    <w:color w:val="FFFFFF" w:themeColor="background1"/>
                                    <w:sz w:val="28"/>
                                    <w:szCs w:val="28"/>
                                  </w:rPr>
                                  <w:t>158.888 Information Technology Professional Project</w:t>
                                </w:r>
                              </w:p>
                              <w:p w14:paraId="16651118" w14:textId="77777777" w:rsidR="00791265" w:rsidRDefault="00791265">
                                <w:pPr>
                                  <w:pStyle w:val="NoSpacing"/>
                                  <w:spacing w:line="288" w:lineRule="auto"/>
                                  <w:ind w:left="360" w:right="360"/>
                                  <w:rPr>
                                    <w:color w:val="FFFFFF" w:themeColor="background1"/>
                                    <w:sz w:val="28"/>
                                    <w:szCs w:val="28"/>
                                  </w:rPr>
                                </w:pPr>
                              </w:p>
                              <w:p w14:paraId="7E7EB4A4" w14:textId="77777777" w:rsidR="00EE79FD" w:rsidRDefault="00791265">
                                <w:pPr>
                                  <w:pStyle w:val="NoSpacing"/>
                                  <w:spacing w:after="240" w:line="288" w:lineRule="auto"/>
                                  <w:ind w:left="360" w:right="360"/>
                                  <w:rPr>
                                    <w:color w:val="FFFFFF" w:themeColor="background1"/>
                                    <w:sz w:val="28"/>
                                    <w:szCs w:val="28"/>
                                  </w:rPr>
                                </w:pPr>
                                <w:r w:rsidRPr="00791265">
                                  <w:rPr>
                                    <w:color w:val="FFFFFF" w:themeColor="background1"/>
                                    <w:sz w:val="28"/>
                                    <w:szCs w:val="28"/>
                                  </w:rPr>
                                  <w:t>Teaching Team: Dr. Anuradha Mathrani, Dr. Niloofar Aflaki</w:t>
                                </w:r>
                              </w:p>
                              <w:p w14:paraId="37B1BFBA" w14:textId="4A26CD44" w:rsidR="00791265" w:rsidRDefault="00791265">
                                <w:pPr>
                                  <w:pStyle w:val="NoSpacing"/>
                                  <w:spacing w:after="240" w:line="288" w:lineRule="auto"/>
                                  <w:ind w:left="360" w:right="360"/>
                                  <w:rPr>
                                    <w:color w:val="FFFFFF" w:themeColor="background1"/>
                                    <w:sz w:val="28"/>
                                    <w:szCs w:val="28"/>
                                  </w:rPr>
                                </w:pPr>
                                <w:r w:rsidRPr="00791265">
                                  <w:rPr>
                                    <w:color w:val="FFFFFF" w:themeColor="background1"/>
                                    <w:sz w:val="28"/>
                                    <w:szCs w:val="28"/>
                                  </w:rPr>
                                  <w:t>Due Date: 20th October 2025</w:t>
                                </w:r>
                              </w:p>
                            </w:tc>
                          </w:tr>
                        </w:tbl>
                        <w:p w14:paraId="7A31D6D7" w14:textId="77777777" w:rsidR="00EE79FD" w:rsidRDefault="00EE79FD"/>
                      </w:txbxContent>
                    </v:textbox>
                    <w10:wrap anchorx="page" anchory="page"/>
                  </v:shape>
                </w:pict>
              </mc:Fallback>
            </mc:AlternateContent>
          </w:r>
          <w:r w:rsidR="00EE79FD">
            <w:rPr>
              <w:rFonts w:cs="Times New Roman"/>
              <w:szCs w:val="24"/>
            </w:rPr>
            <w:br w:type="page"/>
          </w:r>
        </w:p>
      </w:sdtContent>
    </w:sdt>
    <w:sdt>
      <w:sdtPr>
        <w:rPr>
          <w:rFonts w:ascii="Times New Roman" w:eastAsiaTheme="minorEastAsia" w:hAnsi="Times New Roman" w:cstheme="minorBidi"/>
          <w:b w:val="0"/>
          <w:bCs w:val="0"/>
          <w:smallCaps w:val="0"/>
          <w:color w:val="auto"/>
          <w:sz w:val="24"/>
          <w:szCs w:val="22"/>
        </w:rPr>
        <w:id w:val="-1432343763"/>
        <w:docPartObj>
          <w:docPartGallery w:val="Table of Contents"/>
          <w:docPartUnique/>
        </w:docPartObj>
      </w:sdtPr>
      <w:sdtContent>
        <w:p w14:paraId="41FAA12A" w14:textId="21A9F57C" w:rsidR="00634198" w:rsidRPr="00E3132F" w:rsidRDefault="00634198" w:rsidP="00E52E36">
          <w:pPr>
            <w:pStyle w:val="TOCHeading"/>
            <w:numPr>
              <w:ilvl w:val="0"/>
              <w:numId w:val="0"/>
            </w:numPr>
            <w:spacing w:before="0"/>
            <w:ind w:left="432" w:hanging="432"/>
          </w:pPr>
          <w:r w:rsidRPr="00E3132F">
            <w:t>Table of Contents</w:t>
          </w:r>
        </w:p>
        <w:p w14:paraId="2A66903B" w14:textId="12295F76" w:rsidR="006C7293" w:rsidRDefault="00634198">
          <w:pPr>
            <w:pStyle w:val="TOC1"/>
            <w:rPr>
              <w:rFonts w:asciiTheme="minorHAnsi" w:hAnsiTheme="minorHAnsi"/>
              <w:kern w:val="2"/>
              <w:szCs w:val="24"/>
              <w:lang w:eastAsia="en-NZ"/>
              <w14:ligatures w14:val="standardContextual"/>
            </w:rPr>
          </w:pPr>
          <w:r w:rsidRPr="00E3132F">
            <w:fldChar w:fldCharType="begin"/>
          </w:r>
          <w:r w:rsidRPr="00E3132F">
            <w:instrText xml:space="preserve"> TOC \o "1-3" \h \z \u </w:instrText>
          </w:r>
          <w:r w:rsidRPr="00E3132F">
            <w:fldChar w:fldCharType="separate"/>
          </w:r>
          <w:hyperlink w:anchor="_Toc211306840" w:history="1">
            <w:r w:rsidR="006C7293" w:rsidRPr="00C9344D">
              <w:rPr>
                <w:rStyle w:val="Hyperlink"/>
              </w:rPr>
              <w:t>1</w:t>
            </w:r>
            <w:r w:rsidR="006C7293">
              <w:rPr>
                <w:rFonts w:asciiTheme="minorHAnsi" w:hAnsiTheme="minorHAnsi"/>
                <w:kern w:val="2"/>
                <w:szCs w:val="24"/>
                <w:lang w:eastAsia="en-NZ"/>
                <w14:ligatures w14:val="standardContextual"/>
              </w:rPr>
              <w:tab/>
            </w:r>
            <w:r w:rsidR="006C7293" w:rsidRPr="00C9344D">
              <w:rPr>
                <w:rStyle w:val="Hyperlink"/>
              </w:rPr>
              <w:t>Executive Summary</w:t>
            </w:r>
            <w:r w:rsidR="006C7293">
              <w:rPr>
                <w:webHidden/>
              </w:rPr>
              <w:tab/>
            </w:r>
            <w:r w:rsidR="006C7293">
              <w:rPr>
                <w:webHidden/>
              </w:rPr>
              <w:fldChar w:fldCharType="begin"/>
            </w:r>
            <w:r w:rsidR="006C7293">
              <w:rPr>
                <w:webHidden/>
              </w:rPr>
              <w:instrText xml:space="preserve"> PAGEREF _Toc211306840 \h </w:instrText>
            </w:r>
            <w:r w:rsidR="006C7293">
              <w:rPr>
                <w:webHidden/>
              </w:rPr>
            </w:r>
            <w:r w:rsidR="006C7293">
              <w:rPr>
                <w:webHidden/>
              </w:rPr>
              <w:fldChar w:fldCharType="separate"/>
            </w:r>
            <w:r w:rsidR="00D107DA">
              <w:rPr>
                <w:webHidden/>
              </w:rPr>
              <w:t>1</w:t>
            </w:r>
            <w:r w:rsidR="006C7293">
              <w:rPr>
                <w:webHidden/>
              </w:rPr>
              <w:fldChar w:fldCharType="end"/>
            </w:r>
          </w:hyperlink>
        </w:p>
        <w:p w14:paraId="3BB7EB65" w14:textId="6C239152" w:rsidR="006C7293" w:rsidRDefault="006C7293">
          <w:pPr>
            <w:pStyle w:val="TOC1"/>
            <w:rPr>
              <w:rFonts w:asciiTheme="minorHAnsi" w:hAnsiTheme="minorHAnsi"/>
              <w:kern w:val="2"/>
              <w:szCs w:val="24"/>
              <w:lang w:eastAsia="en-NZ"/>
              <w14:ligatures w14:val="standardContextual"/>
            </w:rPr>
          </w:pPr>
          <w:hyperlink w:anchor="_Toc211306841" w:history="1">
            <w:r w:rsidRPr="00C9344D">
              <w:rPr>
                <w:rStyle w:val="Hyperlink"/>
              </w:rPr>
              <w:t>2</w:t>
            </w:r>
            <w:r>
              <w:rPr>
                <w:rFonts w:asciiTheme="minorHAnsi" w:hAnsiTheme="minorHAnsi"/>
                <w:kern w:val="2"/>
                <w:szCs w:val="24"/>
                <w:lang w:eastAsia="en-NZ"/>
                <w14:ligatures w14:val="standardContextual"/>
              </w:rPr>
              <w:tab/>
            </w:r>
            <w:r w:rsidRPr="00C9344D">
              <w:rPr>
                <w:rStyle w:val="Hyperlink"/>
              </w:rPr>
              <w:t>Introduction</w:t>
            </w:r>
            <w:r>
              <w:rPr>
                <w:webHidden/>
              </w:rPr>
              <w:tab/>
            </w:r>
            <w:r>
              <w:rPr>
                <w:webHidden/>
              </w:rPr>
              <w:fldChar w:fldCharType="begin"/>
            </w:r>
            <w:r>
              <w:rPr>
                <w:webHidden/>
              </w:rPr>
              <w:instrText xml:space="preserve"> PAGEREF _Toc211306841 \h </w:instrText>
            </w:r>
            <w:r>
              <w:rPr>
                <w:webHidden/>
              </w:rPr>
            </w:r>
            <w:r>
              <w:rPr>
                <w:webHidden/>
              </w:rPr>
              <w:fldChar w:fldCharType="separate"/>
            </w:r>
            <w:r w:rsidR="00D107DA">
              <w:rPr>
                <w:webHidden/>
              </w:rPr>
              <w:t>2</w:t>
            </w:r>
            <w:r>
              <w:rPr>
                <w:webHidden/>
              </w:rPr>
              <w:fldChar w:fldCharType="end"/>
            </w:r>
          </w:hyperlink>
        </w:p>
        <w:p w14:paraId="19CE51DE" w14:textId="0A218368" w:rsidR="006C7293" w:rsidRDefault="006C7293">
          <w:pPr>
            <w:pStyle w:val="TOC2"/>
            <w:rPr>
              <w:rFonts w:asciiTheme="minorHAnsi" w:hAnsiTheme="minorHAnsi"/>
              <w:kern w:val="2"/>
              <w:szCs w:val="24"/>
              <w:lang w:eastAsia="en-NZ"/>
              <w14:ligatures w14:val="standardContextual"/>
            </w:rPr>
          </w:pPr>
          <w:hyperlink w:anchor="_Toc211306842" w:history="1">
            <w:r w:rsidRPr="00C9344D">
              <w:rPr>
                <w:rStyle w:val="Hyperlink"/>
              </w:rPr>
              <w:t>2.1</w:t>
            </w:r>
            <w:r>
              <w:rPr>
                <w:rFonts w:asciiTheme="minorHAnsi" w:hAnsiTheme="minorHAnsi"/>
                <w:kern w:val="2"/>
                <w:szCs w:val="24"/>
                <w:lang w:eastAsia="en-NZ"/>
                <w14:ligatures w14:val="standardContextual"/>
              </w:rPr>
              <w:tab/>
            </w:r>
            <w:r w:rsidRPr="00C9344D">
              <w:rPr>
                <w:rStyle w:val="Hyperlink"/>
              </w:rPr>
              <w:t>Project objectives</w:t>
            </w:r>
            <w:r>
              <w:rPr>
                <w:webHidden/>
              </w:rPr>
              <w:tab/>
            </w:r>
            <w:r>
              <w:rPr>
                <w:webHidden/>
              </w:rPr>
              <w:fldChar w:fldCharType="begin"/>
            </w:r>
            <w:r>
              <w:rPr>
                <w:webHidden/>
              </w:rPr>
              <w:instrText xml:space="preserve"> PAGEREF _Toc211306842 \h </w:instrText>
            </w:r>
            <w:r>
              <w:rPr>
                <w:webHidden/>
              </w:rPr>
            </w:r>
            <w:r>
              <w:rPr>
                <w:webHidden/>
              </w:rPr>
              <w:fldChar w:fldCharType="separate"/>
            </w:r>
            <w:r w:rsidR="00D107DA">
              <w:rPr>
                <w:webHidden/>
              </w:rPr>
              <w:t>2</w:t>
            </w:r>
            <w:r>
              <w:rPr>
                <w:webHidden/>
              </w:rPr>
              <w:fldChar w:fldCharType="end"/>
            </w:r>
          </w:hyperlink>
        </w:p>
        <w:p w14:paraId="1B2772C4" w14:textId="145FCAFD" w:rsidR="006C7293" w:rsidRDefault="006C7293">
          <w:pPr>
            <w:pStyle w:val="TOC2"/>
            <w:rPr>
              <w:rFonts w:asciiTheme="minorHAnsi" w:hAnsiTheme="minorHAnsi"/>
              <w:kern w:val="2"/>
              <w:szCs w:val="24"/>
              <w:lang w:eastAsia="en-NZ"/>
              <w14:ligatures w14:val="standardContextual"/>
            </w:rPr>
          </w:pPr>
          <w:hyperlink w:anchor="_Toc211306843" w:history="1">
            <w:r w:rsidRPr="00C9344D">
              <w:rPr>
                <w:rStyle w:val="Hyperlink"/>
              </w:rPr>
              <w:t>2.2</w:t>
            </w:r>
            <w:r>
              <w:rPr>
                <w:rFonts w:asciiTheme="minorHAnsi" w:hAnsiTheme="minorHAnsi"/>
                <w:kern w:val="2"/>
                <w:szCs w:val="24"/>
                <w:lang w:eastAsia="en-NZ"/>
                <w14:ligatures w14:val="standardContextual"/>
              </w:rPr>
              <w:tab/>
            </w:r>
            <w:r w:rsidRPr="00C9344D">
              <w:rPr>
                <w:rStyle w:val="Hyperlink"/>
              </w:rPr>
              <w:t>Research Questions</w:t>
            </w:r>
            <w:r>
              <w:rPr>
                <w:webHidden/>
              </w:rPr>
              <w:tab/>
            </w:r>
            <w:r>
              <w:rPr>
                <w:webHidden/>
              </w:rPr>
              <w:fldChar w:fldCharType="begin"/>
            </w:r>
            <w:r>
              <w:rPr>
                <w:webHidden/>
              </w:rPr>
              <w:instrText xml:space="preserve"> PAGEREF _Toc211306843 \h </w:instrText>
            </w:r>
            <w:r>
              <w:rPr>
                <w:webHidden/>
              </w:rPr>
            </w:r>
            <w:r>
              <w:rPr>
                <w:webHidden/>
              </w:rPr>
              <w:fldChar w:fldCharType="separate"/>
            </w:r>
            <w:r w:rsidR="00D107DA">
              <w:rPr>
                <w:webHidden/>
              </w:rPr>
              <w:t>2</w:t>
            </w:r>
            <w:r>
              <w:rPr>
                <w:webHidden/>
              </w:rPr>
              <w:fldChar w:fldCharType="end"/>
            </w:r>
          </w:hyperlink>
        </w:p>
        <w:p w14:paraId="536A76C2" w14:textId="713D7B6E" w:rsidR="006C7293" w:rsidRDefault="006C7293">
          <w:pPr>
            <w:pStyle w:val="TOC2"/>
            <w:rPr>
              <w:rFonts w:asciiTheme="minorHAnsi" w:hAnsiTheme="minorHAnsi"/>
              <w:kern w:val="2"/>
              <w:szCs w:val="24"/>
              <w:lang w:eastAsia="en-NZ"/>
              <w14:ligatures w14:val="standardContextual"/>
            </w:rPr>
          </w:pPr>
          <w:hyperlink w:anchor="_Toc211306844" w:history="1">
            <w:r w:rsidRPr="00C9344D">
              <w:rPr>
                <w:rStyle w:val="Hyperlink"/>
              </w:rPr>
              <w:t>2.3</w:t>
            </w:r>
            <w:r>
              <w:rPr>
                <w:rFonts w:asciiTheme="minorHAnsi" w:hAnsiTheme="minorHAnsi"/>
                <w:kern w:val="2"/>
                <w:szCs w:val="24"/>
                <w:lang w:eastAsia="en-NZ"/>
                <w14:ligatures w14:val="standardContextual"/>
              </w:rPr>
              <w:tab/>
            </w:r>
            <w:r w:rsidRPr="00C9344D">
              <w:rPr>
                <w:rStyle w:val="Hyperlink"/>
              </w:rPr>
              <w:t>Purpose and audience</w:t>
            </w:r>
            <w:r>
              <w:rPr>
                <w:webHidden/>
              </w:rPr>
              <w:tab/>
            </w:r>
            <w:r>
              <w:rPr>
                <w:webHidden/>
              </w:rPr>
              <w:fldChar w:fldCharType="begin"/>
            </w:r>
            <w:r>
              <w:rPr>
                <w:webHidden/>
              </w:rPr>
              <w:instrText xml:space="preserve"> PAGEREF _Toc211306844 \h </w:instrText>
            </w:r>
            <w:r>
              <w:rPr>
                <w:webHidden/>
              </w:rPr>
            </w:r>
            <w:r>
              <w:rPr>
                <w:webHidden/>
              </w:rPr>
              <w:fldChar w:fldCharType="separate"/>
            </w:r>
            <w:r w:rsidR="00D107DA">
              <w:rPr>
                <w:webHidden/>
              </w:rPr>
              <w:t>3</w:t>
            </w:r>
            <w:r>
              <w:rPr>
                <w:webHidden/>
              </w:rPr>
              <w:fldChar w:fldCharType="end"/>
            </w:r>
          </w:hyperlink>
        </w:p>
        <w:p w14:paraId="365ADB1A" w14:textId="6600EAB1" w:rsidR="006C7293" w:rsidRDefault="006C7293">
          <w:pPr>
            <w:pStyle w:val="TOC1"/>
            <w:rPr>
              <w:rFonts w:asciiTheme="minorHAnsi" w:hAnsiTheme="minorHAnsi"/>
              <w:kern w:val="2"/>
              <w:szCs w:val="24"/>
              <w:lang w:eastAsia="en-NZ"/>
              <w14:ligatures w14:val="standardContextual"/>
            </w:rPr>
          </w:pPr>
          <w:hyperlink w:anchor="_Toc211306845" w:history="1">
            <w:r w:rsidRPr="00C9344D">
              <w:rPr>
                <w:rStyle w:val="Hyperlink"/>
              </w:rPr>
              <w:t>3</w:t>
            </w:r>
            <w:r>
              <w:rPr>
                <w:rFonts w:asciiTheme="minorHAnsi" w:hAnsiTheme="minorHAnsi"/>
                <w:kern w:val="2"/>
                <w:szCs w:val="24"/>
                <w:lang w:eastAsia="en-NZ"/>
                <w14:ligatures w14:val="standardContextual"/>
              </w:rPr>
              <w:tab/>
            </w:r>
            <w:r w:rsidRPr="00C9344D">
              <w:rPr>
                <w:rStyle w:val="Hyperlink"/>
              </w:rPr>
              <w:t>Background and related work</w:t>
            </w:r>
            <w:r>
              <w:rPr>
                <w:webHidden/>
              </w:rPr>
              <w:tab/>
            </w:r>
            <w:r>
              <w:rPr>
                <w:webHidden/>
              </w:rPr>
              <w:fldChar w:fldCharType="begin"/>
            </w:r>
            <w:r>
              <w:rPr>
                <w:webHidden/>
              </w:rPr>
              <w:instrText xml:space="preserve"> PAGEREF _Toc211306845 \h </w:instrText>
            </w:r>
            <w:r>
              <w:rPr>
                <w:webHidden/>
              </w:rPr>
            </w:r>
            <w:r>
              <w:rPr>
                <w:webHidden/>
              </w:rPr>
              <w:fldChar w:fldCharType="separate"/>
            </w:r>
            <w:r w:rsidR="00D107DA">
              <w:rPr>
                <w:webHidden/>
              </w:rPr>
              <w:t>4</w:t>
            </w:r>
            <w:r>
              <w:rPr>
                <w:webHidden/>
              </w:rPr>
              <w:fldChar w:fldCharType="end"/>
            </w:r>
          </w:hyperlink>
        </w:p>
        <w:p w14:paraId="56943A21" w14:textId="2CEB504A" w:rsidR="006C7293" w:rsidRDefault="006C7293">
          <w:pPr>
            <w:pStyle w:val="TOC2"/>
            <w:rPr>
              <w:rFonts w:asciiTheme="minorHAnsi" w:hAnsiTheme="minorHAnsi"/>
              <w:kern w:val="2"/>
              <w:szCs w:val="24"/>
              <w:lang w:eastAsia="en-NZ"/>
              <w14:ligatures w14:val="standardContextual"/>
            </w:rPr>
          </w:pPr>
          <w:hyperlink w:anchor="_Toc211306846" w:history="1">
            <w:r w:rsidRPr="00C9344D">
              <w:rPr>
                <w:rStyle w:val="Hyperlink"/>
              </w:rPr>
              <w:t>3.1</w:t>
            </w:r>
            <w:r>
              <w:rPr>
                <w:rFonts w:asciiTheme="minorHAnsi" w:hAnsiTheme="minorHAnsi"/>
                <w:kern w:val="2"/>
                <w:szCs w:val="24"/>
                <w:lang w:eastAsia="en-NZ"/>
                <w14:ligatures w14:val="standardContextual"/>
              </w:rPr>
              <w:tab/>
            </w:r>
            <w:r w:rsidRPr="00C9344D">
              <w:rPr>
                <w:rStyle w:val="Hyperlink"/>
              </w:rPr>
              <w:t>SDG measurement landscape.</w:t>
            </w:r>
            <w:r>
              <w:rPr>
                <w:webHidden/>
              </w:rPr>
              <w:tab/>
            </w:r>
            <w:r>
              <w:rPr>
                <w:webHidden/>
              </w:rPr>
              <w:fldChar w:fldCharType="begin"/>
            </w:r>
            <w:r>
              <w:rPr>
                <w:webHidden/>
              </w:rPr>
              <w:instrText xml:space="preserve"> PAGEREF _Toc211306846 \h </w:instrText>
            </w:r>
            <w:r>
              <w:rPr>
                <w:webHidden/>
              </w:rPr>
            </w:r>
            <w:r>
              <w:rPr>
                <w:webHidden/>
              </w:rPr>
              <w:fldChar w:fldCharType="separate"/>
            </w:r>
            <w:r w:rsidR="00D107DA">
              <w:rPr>
                <w:webHidden/>
              </w:rPr>
              <w:t>4</w:t>
            </w:r>
            <w:r>
              <w:rPr>
                <w:webHidden/>
              </w:rPr>
              <w:fldChar w:fldCharType="end"/>
            </w:r>
          </w:hyperlink>
        </w:p>
        <w:p w14:paraId="0F86DAFC" w14:textId="2F71E933" w:rsidR="006C7293" w:rsidRDefault="006C7293">
          <w:pPr>
            <w:pStyle w:val="TOC2"/>
            <w:rPr>
              <w:rFonts w:asciiTheme="minorHAnsi" w:hAnsiTheme="minorHAnsi"/>
              <w:kern w:val="2"/>
              <w:szCs w:val="24"/>
              <w:lang w:eastAsia="en-NZ"/>
              <w14:ligatures w14:val="standardContextual"/>
            </w:rPr>
          </w:pPr>
          <w:hyperlink w:anchor="_Toc211306847" w:history="1">
            <w:r w:rsidRPr="00C9344D">
              <w:rPr>
                <w:rStyle w:val="Hyperlink"/>
              </w:rPr>
              <w:t>3.2</w:t>
            </w:r>
            <w:r>
              <w:rPr>
                <w:rFonts w:asciiTheme="minorHAnsi" w:hAnsiTheme="minorHAnsi"/>
                <w:kern w:val="2"/>
                <w:szCs w:val="24"/>
                <w:lang w:eastAsia="en-NZ"/>
                <w14:ligatures w14:val="standardContextual"/>
              </w:rPr>
              <w:tab/>
            </w:r>
            <w:r w:rsidRPr="00C9344D">
              <w:rPr>
                <w:rStyle w:val="Hyperlink"/>
              </w:rPr>
              <w:t>Interlinkages: synergies and trade-offs.</w:t>
            </w:r>
            <w:r>
              <w:rPr>
                <w:webHidden/>
              </w:rPr>
              <w:tab/>
            </w:r>
            <w:r>
              <w:rPr>
                <w:webHidden/>
              </w:rPr>
              <w:fldChar w:fldCharType="begin"/>
            </w:r>
            <w:r>
              <w:rPr>
                <w:webHidden/>
              </w:rPr>
              <w:instrText xml:space="preserve"> PAGEREF _Toc211306847 \h </w:instrText>
            </w:r>
            <w:r>
              <w:rPr>
                <w:webHidden/>
              </w:rPr>
            </w:r>
            <w:r>
              <w:rPr>
                <w:webHidden/>
              </w:rPr>
              <w:fldChar w:fldCharType="separate"/>
            </w:r>
            <w:r w:rsidR="00D107DA">
              <w:rPr>
                <w:webHidden/>
              </w:rPr>
              <w:t>4</w:t>
            </w:r>
            <w:r>
              <w:rPr>
                <w:webHidden/>
              </w:rPr>
              <w:fldChar w:fldCharType="end"/>
            </w:r>
          </w:hyperlink>
        </w:p>
        <w:p w14:paraId="438BA49A" w14:textId="2A5CD9DA" w:rsidR="006C7293" w:rsidRDefault="006C7293">
          <w:pPr>
            <w:pStyle w:val="TOC2"/>
            <w:rPr>
              <w:rFonts w:asciiTheme="minorHAnsi" w:hAnsiTheme="minorHAnsi"/>
              <w:kern w:val="2"/>
              <w:szCs w:val="24"/>
              <w:lang w:eastAsia="en-NZ"/>
              <w14:ligatures w14:val="standardContextual"/>
            </w:rPr>
          </w:pPr>
          <w:hyperlink w:anchor="_Toc211306848" w:history="1">
            <w:r w:rsidRPr="00C9344D">
              <w:rPr>
                <w:rStyle w:val="Hyperlink"/>
              </w:rPr>
              <w:t>3.3</w:t>
            </w:r>
            <w:r>
              <w:rPr>
                <w:rFonts w:asciiTheme="minorHAnsi" w:hAnsiTheme="minorHAnsi"/>
                <w:kern w:val="2"/>
                <w:szCs w:val="24"/>
                <w:lang w:eastAsia="en-NZ"/>
                <w14:ligatures w14:val="standardContextual"/>
              </w:rPr>
              <w:tab/>
            </w:r>
            <w:r w:rsidRPr="00C9344D">
              <w:rPr>
                <w:rStyle w:val="Hyperlink"/>
              </w:rPr>
              <w:t>Technological Approaches to Data Handling</w:t>
            </w:r>
            <w:r>
              <w:rPr>
                <w:webHidden/>
              </w:rPr>
              <w:tab/>
            </w:r>
            <w:r>
              <w:rPr>
                <w:webHidden/>
              </w:rPr>
              <w:fldChar w:fldCharType="begin"/>
            </w:r>
            <w:r>
              <w:rPr>
                <w:webHidden/>
              </w:rPr>
              <w:instrText xml:space="preserve"> PAGEREF _Toc211306848 \h </w:instrText>
            </w:r>
            <w:r>
              <w:rPr>
                <w:webHidden/>
              </w:rPr>
            </w:r>
            <w:r>
              <w:rPr>
                <w:webHidden/>
              </w:rPr>
              <w:fldChar w:fldCharType="separate"/>
            </w:r>
            <w:r w:rsidR="00D107DA">
              <w:rPr>
                <w:webHidden/>
              </w:rPr>
              <w:t>4</w:t>
            </w:r>
            <w:r>
              <w:rPr>
                <w:webHidden/>
              </w:rPr>
              <w:fldChar w:fldCharType="end"/>
            </w:r>
          </w:hyperlink>
        </w:p>
        <w:p w14:paraId="5F36847B" w14:textId="6F37E20E" w:rsidR="006C7293" w:rsidRDefault="006C7293">
          <w:pPr>
            <w:pStyle w:val="TOC2"/>
            <w:rPr>
              <w:rFonts w:asciiTheme="minorHAnsi" w:hAnsiTheme="minorHAnsi"/>
              <w:kern w:val="2"/>
              <w:szCs w:val="24"/>
              <w:lang w:eastAsia="en-NZ"/>
              <w14:ligatures w14:val="standardContextual"/>
            </w:rPr>
          </w:pPr>
          <w:hyperlink w:anchor="_Toc211306849" w:history="1">
            <w:r w:rsidRPr="00C9344D">
              <w:rPr>
                <w:rStyle w:val="Hyperlink"/>
              </w:rPr>
              <w:t>3.4</w:t>
            </w:r>
            <w:r>
              <w:rPr>
                <w:rFonts w:asciiTheme="minorHAnsi" w:hAnsiTheme="minorHAnsi"/>
                <w:kern w:val="2"/>
                <w:szCs w:val="24"/>
                <w:lang w:eastAsia="en-NZ"/>
                <w14:ligatures w14:val="standardContextual"/>
              </w:rPr>
              <w:tab/>
            </w:r>
            <w:r w:rsidRPr="00C9344D">
              <w:rPr>
                <w:rStyle w:val="Hyperlink"/>
              </w:rPr>
              <w:t>Classifications of SDG Goals</w:t>
            </w:r>
            <w:r>
              <w:rPr>
                <w:webHidden/>
              </w:rPr>
              <w:tab/>
            </w:r>
            <w:r>
              <w:rPr>
                <w:webHidden/>
              </w:rPr>
              <w:fldChar w:fldCharType="begin"/>
            </w:r>
            <w:r>
              <w:rPr>
                <w:webHidden/>
              </w:rPr>
              <w:instrText xml:space="preserve"> PAGEREF _Toc211306849 \h </w:instrText>
            </w:r>
            <w:r>
              <w:rPr>
                <w:webHidden/>
              </w:rPr>
            </w:r>
            <w:r>
              <w:rPr>
                <w:webHidden/>
              </w:rPr>
              <w:fldChar w:fldCharType="separate"/>
            </w:r>
            <w:r w:rsidR="00D107DA">
              <w:rPr>
                <w:webHidden/>
              </w:rPr>
              <w:t>4</w:t>
            </w:r>
            <w:r>
              <w:rPr>
                <w:webHidden/>
              </w:rPr>
              <w:fldChar w:fldCharType="end"/>
            </w:r>
          </w:hyperlink>
        </w:p>
        <w:p w14:paraId="49854909" w14:textId="5EF91BBB" w:rsidR="006C7293" w:rsidRDefault="006C7293">
          <w:pPr>
            <w:pStyle w:val="TOC2"/>
            <w:rPr>
              <w:rFonts w:asciiTheme="minorHAnsi" w:hAnsiTheme="minorHAnsi"/>
              <w:kern w:val="2"/>
              <w:szCs w:val="24"/>
              <w:lang w:eastAsia="en-NZ"/>
              <w14:ligatures w14:val="standardContextual"/>
            </w:rPr>
          </w:pPr>
          <w:hyperlink w:anchor="_Toc211306850" w:history="1">
            <w:r w:rsidRPr="00C9344D">
              <w:rPr>
                <w:rStyle w:val="Hyperlink"/>
              </w:rPr>
              <w:t>3.5</w:t>
            </w:r>
            <w:r>
              <w:rPr>
                <w:rFonts w:asciiTheme="minorHAnsi" w:hAnsiTheme="minorHAnsi"/>
                <w:kern w:val="2"/>
                <w:szCs w:val="24"/>
                <w:lang w:eastAsia="en-NZ"/>
                <w14:ligatures w14:val="standardContextual"/>
              </w:rPr>
              <w:tab/>
            </w:r>
            <w:r w:rsidRPr="00C9344D">
              <w:rPr>
                <w:rStyle w:val="Hyperlink"/>
              </w:rPr>
              <w:t>Methods used in the literature</w:t>
            </w:r>
            <w:r>
              <w:rPr>
                <w:webHidden/>
              </w:rPr>
              <w:tab/>
            </w:r>
            <w:r>
              <w:rPr>
                <w:webHidden/>
              </w:rPr>
              <w:fldChar w:fldCharType="begin"/>
            </w:r>
            <w:r>
              <w:rPr>
                <w:webHidden/>
              </w:rPr>
              <w:instrText xml:space="preserve"> PAGEREF _Toc211306850 \h </w:instrText>
            </w:r>
            <w:r>
              <w:rPr>
                <w:webHidden/>
              </w:rPr>
            </w:r>
            <w:r>
              <w:rPr>
                <w:webHidden/>
              </w:rPr>
              <w:fldChar w:fldCharType="separate"/>
            </w:r>
            <w:r w:rsidR="00D107DA">
              <w:rPr>
                <w:webHidden/>
              </w:rPr>
              <w:t>6</w:t>
            </w:r>
            <w:r>
              <w:rPr>
                <w:webHidden/>
              </w:rPr>
              <w:fldChar w:fldCharType="end"/>
            </w:r>
          </w:hyperlink>
        </w:p>
        <w:p w14:paraId="194FBCC2" w14:textId="2B99BCF9" w:rsidR="006C7293" w:rsidRDefault="006C7293">
          <w:pPr>
            <w:pStyle w:val="TOC2"/>
            <w:rPr>
              <w:rFonts w:asciiTheme="minorHAnsi" w:hAnsiTheme="minorHAnsi"/>
              <w:kern w:val="2"/>
              <w:szCs w:val="24"/>
              <w:lang w:eastAsia="en-NZ"/>
              <w14:ligatures w14:val="standardContextual"/>
            </w:rPr>
          </w:pPr>
          <w:hyperlink w:anchor="_Toc211306851" w:history="1">
            <w:r w:rsidRPr="00C9344D">
              <w:rPr>
                <w:rStyle w:val="Hyperlink"/>
              </w:rPr>
              <w:t>3.6</w:t>
            </w:r>
            <w:r>
              <w:rPr>
                <w:rFonts w:asciiTheme="minorHAnsi" w:hAnsiTheme="minorHAnsi"/>
                <w:kern w:val="2"/>
                <w:szCs w:val="24"/>
                <w:lang w:eastAsia="en-NZ"/>
                <w14:ligatures w14:val="standardContextual"/>
              </w:rPr>
              <w:tab/>
            </w:r>
            <w:r w:rsidRPr="00C9344D">
              <w:rPr>
                <w:rStyle w:val="Hyperlink"/>
              </w:rPr>
              <w:t>Where this project fits</w:t>
            </w:r>
            <w:r>
              <w:rPr>
                <w:webHidden/>
              </w:rPr>
              <w:tab/>
            </w:r>
            <w:r>
              <w:rPr>
                <w:webHidden/>
              </w:rPr>
              <w:fldChar w:fldCharType="begin"/>
            </w:r>
            <w:r>
              <w:rPr>
                <w:webHidden/>
              </w:rPr>
              <w:instrText xml:space="preserve"> PAGEREF _Toc211306851 \h </w:instrText>
            </w:r>
            <w:r>
              <w:rPr>
                <w:webHidden/>
              </w:rPr>
            </w:r>
            <w:r>
              <w:rPr>
                <w:webHidden/>
              </w:rPr>
              <w:fldChar w:fldCharType="separate"/>
            </w:r>
            <w:r w:rsidR="00D107DA">
              <w:rPr>
                <w:webHidden/>
              </w:rPr>
              <w:t>7</w:t>
            </w:r>
            <w:r>
              <w:rPr>
                <w:webHidden/>
              </w:rPr>
              <w:fldChar w:fldCharType="end"/>
            </w:r>
          </w:hyperlink>
        </w:p>
        <w:p w14:paraId="230913D4" w14:textId="696528F3" w:rsidR="006C7293" w:rsidRDefault="006C7293">
          <w:pPr>
            <w:pStyle w:val="TOC1"/>
            <w:rPr>
              <w:rFonts w:asciiTheme="minorHAnsi" w:hAnsiTheme="minorHAnsi"/>
              <w:kern w:val="2"/>
              <w:szCs w:val="24"/>
              <w:lang w:eastAsia="en-NZ"/>
              <w14:ligatures w14:val="standardContextual"/>
            </w:rPr>
          </w:pPr>
          <w:hyperlink w:anchor="_Toc211306852" w:history="1">
            <w:r w:rsidRPr="00C9344D">
              <w:rPr>
                <w:rStyle w:val="Hyperlink"/>
              </w:rPr>
              <w:t>4</w:t>
            </w:r>
            <w:r>
              <w:rPr>
                <w:rFonts w:asciiTheme="minorHAnsi" w:hAnsiTheme="minorHAnsi"/>
                <w:kern w:val="2"/>
                <w:szCs w:val="24"/>
                <w:lang w:eastAsia="en-NZ"/>
                <w14:ligatures w14:val="standardContextual"/>
              </w:rPr>
              <w:tab/>
            </w:r>
            <w:r w:rsidRPr="00C9344D">
              <w:rPr>
                <w:rStyle w:val="Hyperlink"/>
              </w:rPr>
              <w:t>Methodology</w:t>
            </w:r>
            <w:r>
              <w:rPr>
                <w:webHidden/>
              </w:rPr>
              <w:tab/>
            </w:r>
            <w:r>
              <w:rPr>
                <w:webHidden/>
              </w:rPr>
              <w:fldChar w:fldCharType="begin"/>
            </w:r>
            <w:r>
              <w:rPr>
                <w:webHidden/>
              </w:rPr>
              <w:instrText xml:space="preserve"> PAGEREF _Toc211306852 \h </w:instrText>
            </w:r>
            <w:r>
              <w:rPr>
                <w:webHidden/>
              </w:rPr>
            </w:r>
            <w:r>
              <w:rPr>
                <w:webHidden/>
              </w:rPr>
              <w:fldChar w:fldCharType="separate"/>
            </w:r>
            <w:r w:rsidR="00D107DA">
              <w:rPr>
                <w:webHidden/>
              </w:rPr>
              <w:t>7</w:t>
            </w:r>
            <w:r>
              <w:rPr>
                <w:webHidden/>
              </w:rPr>
              <w:fldChar w:fldCharType="end"/>
            </w:r>
          </w:hyperlink>
        </w:p>
        <w:p w14:paraId="2E4A6C15" w14:textId="1647E6F0" w:rsidR="006C7293" w:rsidRDefault="006C7293">
          <w:pPr>
            <w:pStyle w:val="TOC2"/>
            <w:rPr>
              <w:rFonts w:asciiTheme="minorHAnsi" w:hAnsiTheme="minorHAnsi"/>
              <w:kern w:val="2"/>
              <w:szCs w:val="24"/>
              <w:lang w:eastAsia="en-NZ"/>
              <w14:ligatures w14:val="standardContextual"/>
            </w:rPr>
          </w:pPr>
          <w:hyperlink w:anchor="_Toc211306853" w:history="1">
            <w:r w:rsidRPr="00C9344D">
              <w:rPr>
                <w:rStyle w:val="Hyperlink"/>
              </w:rPr>
              <w:t>4.1</w:t>
            </w:r>
            <w:r>
              <w:rPr>
                <w:rFonts w:asciiTheme="minorHAnsi" w:hAnsiTheme="minorHAnsi"/>
                <w:kern w:val="2"/>
                <w:szCs w:val="24"/>
                <w:lang w:eastAsia="en-NZ"/>
                <w14:ligatures w14:val="standardContextual"/>
              </w:rPr>
              <w:tab/>
            </w:r>
            <w:r w:rsidRPr="00C9344D">
              <w:rPr>
                <w:rStyle w:val="Hyperlink"/>
              </w:rPr>
              <w:t>Data sources and structure</w:t>
            </w:r>
            <w:r>
              <w:rPr>
                <w:webHidden/>
              </w:rPr>
              <w:tab/>
            </w:r>
            <w:r>
              <w:rPr>
                <w:webHidden/>
              </w:rPr>
              <w:fldChar w:fldCharType="begin"/>
            </w:r>
            <w:r>
              <w:rPr>
                <w:webHidden/>
              </w:rPr>
              <w:instrText xml:space="preserve"> PAGEREF _Toc211306853 \h </w:instrText>
            </w:r>
            <w:r>
              <w:rPr>
                <w:webHidden/>
              </w:rPr>
            </w:r>
            <w:r>
              <w:rPr>
                <w:webHidden/>
              </w:rPr>
              <w:fldChar w:fldCharType="separate"/>
            </w:r>
            <w:r w:rsidR="00D107DA">
              <w:rPr>
                <w:webHidden/>
              </w:rPr>
              <w:t>7</w:t>
            </w:r>
            <w:r>
              <w:rPr>
                <w:webHidden/>
              </w:rPr>
              <w:fldChar w:fldCharType="end"/>
            </w:r>
          </w:hyperlink>
        </w:p>
        <w:p w14:paraId="782120B7" w14:textId="6681D330" w:rsidR="006C7293" w:rsidRDefault="006C7293">
          <w:pPr>
            <w:pStyle w:val="TOC2"/>
            <w:rPr>
              <w:rFonts w:asciiTheme="minorHAnsi" w:hAnsiTheme="minorHAnsi"/>
              <w:kern w:val="2"/>
              <w:szCs w:val="24"/>
              <w:lang w:eastAsia="en-NZ"/>
              <w14:ligatures w14:val="standardContextual"/>
            </w:rPr>
          </w:pPr>
          <w:hyperlink w:anchor="_Toc211306854" w:history="1">
            <w:r w:rsidRPr="00C9344D">
              <w:rPr>
                <w:rStyle w:val="Hyperlink"/>
              </w:rPr>
              <w:t>4.2</w:t>
            </w:r>
            <w:r>
              <w:rPr>
                <w:rFonts w:asciiTheme="minorHAnsi" w:hAnsiTheme="minorHAnsi"/>
                <w:kern w:val="2"/>
                <w:szCs w:val="24"/>
                <w:lang w:eastAsia="en-NZ"/>
                <w14:ligatures w14:val="standardContextual"/>
              </w:rPr>
              <w:tab/>
            </w:r>
            <w:r w:rsidRPr="00C9344D">
              <w:rPr>
                <w:rStyle w:val="Hyperlink"/>
              </w:rPr>
              <w:t>Cleaning &amp; integration</w:t>
            </w:r>
            <w:r>
              <w:rPr>
                <w:webHidden/>
              </w:rPr>
              <w:tab/>
            </w:r>
            <w:r>
              <w:rPr>
                <w:webHidden/>
              </w:rPr>
              <w:fldChar w:fldCharType="begin"/>
            </w:r>
            <w:r>
              <w:rPr>
                <w:webHidden/>
              </w:rPr>
              <w:instrText xml:space="preserve"> PAGEREF _Toc211306854 \h </w:instrText>
            </w:r>
            <w:r>
              <w:rPr>
                <w:webHidden/>
              </w:rPr>
            </w:r>
            <w:r>
              <w:rPr>
                <w:webHidden/>
              </w:rPr>
              <w:fldChar w:fldCharType="separate"/>
            </w:r>
            <w:r w:rsidR="00D107DA">
              <w:rPr>
                <w:webHidden/>
              </w:rPr>
              <w:t>8</w:t>
            </w:r>
            <w:r>
              <w:rPr>
                <w:webHidden/>
              </w:rPr>
              <w:fldChar w:fldCharType="end"/>
            </w:r>
          </w:hyperlink>
        </w:p>
        <w:p w14:paraId="29F10A70" w14:textId="3201028E"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55" w:history="1">
            <w:r w:rsidRPr="00C9344D">
              <w:rPr>
                <w:rStyle w:val="Hyperlink"/>
              </w:rPr>
              <w:t>4.2.1</w:t>
            </w:r>
            <w:r>
              <w:rPr>
                <w:rFonts w:asciiTheme="minorHAnsi" w:hAnsiTheme="minorHAnsi" w:cstheme="minorBidi"/>
                <w:kern w:val="2"/>
                <w:szCs w:val="24"/>
                <w:lang w:eastAsia="en-NZ"/>
                <w14:ligatures w14:val="standardContextual"/>
              </w:rPr>
              <w:tab/>
            </w:r>
            <w:r w:rsidRPr="00C9344D">
              <w:rPr>
                <w:rStyle w:val="Hyperlink"/>
              </w:rPr>
              <w:t>Generated result datasets</w:t>
            </w:r>
            <w:r>
              <w:rPr>
                <w:webHidden/>
              </w:rPr>
              <w:tab/>
            </w:r>
            <w:r>
              <w:rPr>
                <w:webHidden/>
              </w:rPr>
              <w:fldChar w:fldCharType="begin"/>
            </w:r>
            <w:r>
              <w:rPr>
                <w:webHidden/>
              </w:rPr>
              <w:instrText xml:space="preserve"> PAGEREF _Toc211306855 \h </w:instrText>
            </w:r>
            <w:r>
              <w:rPr>
                <w:webHidden/>
              </w:rPr>
            </w:r>
            <w:r>
              <w:rPr>
                <w:webHidden/>
              </w:rPr>
              <w:fldChar w:fldCharType="separate"/>
            </w:r>
            <w:r w:rsidR="00D107DA">
              <w:rPr>
                <w:webHidden/>
              </w:rPr>
              <w:t>8</w:t>
            </w:r>
            <w:r>
              <w:rPr>
                <w:webHidden/>
              </w:rPr>
              <w:fldChar w:fldCharType="end"/>
            </w:r>
          </w:hyperlink>
        </w:p>
        <w:p w14:paraId="1F2A2B34" w14:textId="032FBE7E" w:rsidR="006C7293" w:rsidRDefault="006C7293">
          <w:pPr>
            <w:pStyle w:val="TOC2"/>
            <w:rPr>
              <w:rFonts w:asciiTheme="minorHAnsi" w:hAnsiTheme="minorHAnsi"/>
              <w:kern w:val="2"/>
              <w:szCs w:val="24"/>
              <w:lang w:eastAsia="en-NZ"/>
              <w14:ligatures w14:val="standardContextual"/>
            </w:rPr>
          </w:pPr>
          <w:hyperlink w:anchor="_Toc211306856" w:history="1">
            <w:r w:rsidRPr="00C9344D">
              <w:rPr>
                <w:rStyle w:val="Hyperlink"/>
                <w:lang w:eastAsia="en-NZ"/>
              </w:rPr>
              <w:t>4.3</w:t>
            </w:r>
            <w:r>
              <w:rPr>
                <w:rFonts w:asciiTheme="minorHAnsi" w:hAnsiTheme="minorHAnsi"/>
                <w:kern w:val="2"/>
                <w:szCs w:val="24"/>
                <w:lang w:eastAsia="en-NZ"/>
                <w14:ligatures w14:val="standardContextual"/>
              </w:rPr>
              <w:tab/>
            </w:r>
            <w:r w:rsidRPr="00C9344D">
              <w:rPr>
                <w:rStyle w:val="Hyperlink"/>
                <w:lang w:eastAsia="en-NZ"/>
              </w:rPr>
              <w:t>Verification against SDR Dashboards (rankings &amp; explorer)</w:t>
            </w:r>
            <w:r>
              <w:rPr>
                <w:webHidden/>
              </w:rPr>
              <w:tab/>
            </w:r>
            <w:r>
              <w:rPr>
                <w:webHidden/>
              </w:rPr>
              <w:fldChar w:fldCharType="begin"/>
            </w:r>
            <w:r>
              <w:rPr>
                <w:webHidden/>
              </w:rPr>
              <w:instrText xml:space="preserve"> PAGEREF _Toc211306856 \h </w:instrText>
            </w:r>
            <w:r>
              <w:rPr>
                <w:webHidden/>
              </w:rPr>
            </w:r>
            <w:r>
              <w:rPr>
                <w:webHidden/>
              </w:rPr>
              <w:fldChar w:fldCharType="separate"/>
            </w:r>
            <w:r w:rsidR="00D107DA">
              <w:rPr>
                <w:webHidden/>
              </w:rPr>
              <w:t>9</w:t>
            </w:r>
            <w:r>
              <w:rPr>
                <w:webHidden/>
              </w:rPr>
              <w:fldChar w:fldCharType="end"/>
            </w:r>
          </w:hyperlink>
        </w:p>
        <w:p w14:paraId="2FC82C6E" w14:textId="29BA1D8B" w:rsidR="006C7293" w:rsidRDefault="006C7293">
          <w:pPr>
            <w:pStyle w:val="TOC2"/>
            <w:rPr>
              <w:rFonts w:asciiTheme="minorHAnsi" w:hAnsiTheme="minorHAnsi"/>
              <w:kern w:val="2"/>
              <w:szCs w:val="24"/>
              <w:lang w:eastAsia="en-NZ"/>
              <w14:ligatures w14:val="standardContextual"/>
            </w:rPr>
          </w:pPr>
          <w:hyperlink w:anchor="_Toc211306857" w:history="1">
            <w:r w:rsidRPr="00C9344D">
              <w:rPr>
                <w:rStyle w:val="Hyperlink"/>
              </w:rPr>
              <w:t>4.4</w:t>
            </w:r>
            <w:r>
              <w:rPr>
                <w:rFonts w:asciiTheme="minorHAnsi" w:hAnsiTheme="minorHAnsi"/>
                <w:kern w:val="2"/>
                <w:szCs w:val="24"/>
                <w:lang w:eastAsia="en-NZ"/>
                <w14:ligatures w14:val="standardContextual"/>
              </w:rPr>
              <w:tab/>
            </w:r>
            <w:r w:rsidRPr="00C9344D">
              <w:rPr>
                <w:rStyle w:val="Hyperlink"/>
              </w:rPr>
              <w:t>System implementation</w:t>
            </w:r>
            <w:r>
              <w:rPr>
                <w:webHidden/>
              </w:rPr>
              <w:tab/>
            </w:r>
            <w:r>
              <w:rPr>
                <w:webHidden/>
              </w:rPr>
              <w:fldChar w:fldCharType="begin"/>
            </w:r>
            <w:r>
              <w:rPr>
                <w:webHidden/>
              </w:rPr>
              <w:instrText xml:space="preserve"> PAGEREF _Toc211306857 \h </w:instrText>
            </w:r>
            <w:r>
              <w:rPr>
                <w:webHidden/>
              </w:rPr>
            </w:r>
            <w:r>
              <w:rPr>
                <w:webHidden/>
              </w:rPr>
              <w:fldChar w:fldCharType="separate"/>
            </w:r>
            <w:r w:rsidR="00D107DA">
              <w:rPr>
                <w:webHidden/>
              </w:rPr>
              <w:t>10</w:t>
            </w:r>
            <w:r>
              <w:rPr>
                <w:webHidden/>
              </w:rPr>
              <w:fldChar w:fldCharType="end"/>
            </w:r>
          </w:hyperlink>
        </w:p>
        <w:p w14:paraId="2D5D36D4" w14:textId="41D3A583"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58" w:history="1">
            <w:r w:rsidRPr="00C9344D">
              <w:rPr>
                <w:rStyle w:val="Hyperlink"/>
              </w:rPr>
              <w:t>4.4.1</w:t>
            </w:r>
            <w:r>
              <w:rPr>
                <w:rFonts w:asciiTheme="minorHAnsi" w:hAnsiTheme="minorHAnsi" w:cstheme="minorBidi"/>
                <w:kern w:val="2"/>
                <w:szCs w:val="24"/>
                <w:lang w:eastAsia="en-NZ"/>
                <w14:ligatures w14:val="standardContextual"/>
              </w:rPr>
              <w:tab/>
            </w:r>
            <w:r w:rsidRPr="00C9344D">
              <w:rPr>
                <w:rStyle w:val="Hyperlink"/>
              </w:rPr>
              <w:t>GoalScope SDG Analytics Hub (Seacor, 2025)</w:t>
            </w:r>
            <w:r>
              <w:rPr>
                <w:webHidden/>
              </w:rPr>
              <w:tab/>
            </w:r>
            <w:r>
              <w:rPr>
                <w:webHidden/>
              </w:rPr>
              <w:fldChar w:fldCharType="begin"/>
            </w:r>
            <w:r>
              <w:rPr>
                <w:webHidden/>
              </w:rPr>
              <w:instrText xml:space="preserve"> PAGEREF _Toc211306858 \h </w:instrText>
            </w:r>
            <w:r>
              <w:rPr>
                <w:webHidden/>
              </w:rPr>
            </w:r>
            <w:r>
              <w:rPr>
                <w:webHidden/>
              </w:rPr>
              <w:fldChar w:fldCharType="separate"/>
            </w:r>
            <w:r w:rsidR="00D107DA">
              <w:rPr>
                <w:webHidden/>
              </w:rPr>
              <w:t>10</w:t>
            </w:r>
            <w:r>
              <w:rPr>
                <w:webHidden/>
              </w:rPr>
              <w:fldChar w:fldCharType="end"/>
            </w:r>
          </w:hyperlink>
        </w:p>
        <w:p w14:paraId="6C0D25B3" w14:textId="52BF2E6B"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59" w:history="1">
            <w:r w:rsidRPr="00C9344D">
              <w:rPr>
                <w:rStyle w:val="Hyperlink"/>
              </w:rPr>
              <w:t>4.4.2</w:t>
            </w:r>
            <w:r>
              <w:rPr>
                <w:rFonts w:asciiTheme="minorHAnsi" w:hAnsiTheme="minorHAnsi" w:cstheme="minorBidi"/>
                <w:kern w:val="2"/>
                <w:szCs w:val="24"/>
                <w:lang w:eastAsia="en-NZ"/>
                <w14:ligatures w14:val="standardContextual"/>
              </w:rPr>
              <w:tab/>
            </w:r>
            <w:r w:rsidRPr="00C9344D">
              <w:rPr>
                <w:rStyle w:val="Hyperlink"/>
              </w:rPr>
              <w:t>SDG Predictions App (Ceka, 2025)</w:t>
            </w:r>
            <w:r>
              <w:rPr>
                <w:webHidden/>
              </w:rPr>
              <w:tab/>
            </w:r>
            <w:r>
              <w:rPr>
                <w:webHidden/>
              </w:rPr>
              <w:fldChar w:fldCharType="begin"/>
            </w:r>
            <w:r>
              <w:rPr>
                <w:webHidden/>
              </w:rPr>
              <w:instrText xml:space="preserve"> PAGEREF _Toc211306859 \h </w:instrText>
            </w:r>
            <w:r>
              <w:rPr>
                <w:webHidden/>
              </w:rPr>
            </w:r>
            <w:r>
              <w:rPr>
                <w:webHidden/>
              </w:rPr>
              <w:fldChar w:fldCharType="separate"/>
            </w:r>
            <w:r w:rsidR="00D107DA">
              <w:rPr>
                <w:webHidden/>
              </w:rPr>
              <w:t>11</w:t>
            </w:r>
            <w:r>
              <w:rPr>
                <w:webHidden/>
              </w:rPr>
              <w:fldChar w:fldCharType="end"/>
            </w:r>
          </w:hyperlink>
        </w:p>
        <w:p w14:paraId="4F6C3731" w14:textId="2D0F921E" w:rsidR="006C7293" w:rsidRDefault="006C7293">
          <w:pPr>
            <w:pStyle w:val="TOC2"/>
            <w:rPr>
              <w:rFonts w:asciiTheme="minorHAnsi" w:hAnsiTheme="minorHAnsi"/>
              <w:kern w:val="2"/>
              <w:szCs w:val="24"/>
              <w:lang w:eastAsia="en-NZ"/>
              <w14:ligatures w14:val="standardContextual"/>
            </w:rPr>
          </w:pPr>
          <w:hyperlink w:anchor="_Toc211306860" w:history="1">
            <w:r w:rsidRPr="00C9344D">
              <w:rPr>
                <w:rStyle w:val="Hyperlink"/>
              </w:rPr>
              <w:t>4.5</w:t>
            </w:r>
            <w:r>
              <w:rPr>
                <w:rFonts w:asciiTheme="minorHAnsi" w:hAnsiTheme="minorHAnsi"/>
                <w:kern w:val="2"/>
                <w:szCs w:val="24"/>
                <w:lang w:eastAsia="en-NZ"/>
                <w14:ligatures w14:val="standardContextual"/>
              </w:rPr>
              <w:tab/>
            </w:r>
            <w:r w:rsidRPr="00C9344D">
              <w:rPr>
                <w:rStyle w:val="Hyperlink"/>
              </w:rPr>
              <w:t>Challenges encountered and how we resolved them</w:t>
            </w:r>
            <w:r>
              <w:rPr>
                <w:webHidden/>
              </w:rPr>
              <w:tab/>
            </w:r>
            <w:r>
              <w:rPr>
                <w:webHidden/>
              </w:rPr>
              <w:fldChar w:fldCharType="begin"/>
            </w:r>
            <w:r>
              <w:rPr>
                <w:webHidden/>
              </w:rPr>
              <w:instrText xml:space="preserve"> PAGEREF _Toc211306860 \h </w:instrText>
            </w:r>
            <w:r>
              <w:rPr>
                <w:webHidden/>
              </w:rPr>
            </w:r>
            <w:r>
              <w:rPr>
                <w:webHidden/>
              </w:rPr>
              <w:fldChar w:fldCharType="separate"/>
            </w:r>
            <w:r w:rsidR="00D107DA">
              <w:rPr>
                <w:webHidden/>
              </w:rPr>
              <w:t>11</w:t>
            </w:r>
            <w:r>
              <w:rPr>
                <w:webHidden/>
              </w:rPr>
              <w:fldChar w:fldCharType="end"/>
            </w:r>
          </w:hyperlink>
        </w:p>
        <w:p w14:paraId="058E33B0" w14:textId="5116C381"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61" w:history="1">
            <w:r w:rsidRPr="00C9344D">
              <w:rPr>
                <w:rStyle w:val="Hyperlink"/>
              </w:rPr>
              <w:t>4.5.1</w:t>
            </w:r>
            <w:r>
              <w:rPr>
                <w:rFonts w:asciiTheme="minorHAnsi" w:hAnsiTheme="minorHAnsi" w:cstheme="minorBidi"/>
                <w:kern w:val="2"/>
                <w:szCs w:val="24"/>
                <w:lang w:eastAsia="en-NZ"/>
                <w14:ligatures w14:val="standardContextual"/>
              </w:rPr>
              <w:tab/>
            </w:r>
            <w:r w:rsidRPr="00C9344D">
              <w:rPr>
                <w:rStyle w:val="Hyperlink"/>
              </w:rPr>
              <w:t>GoalScope SDG Analytics Hub (Seacor, 2025)</w:t>
            </w:r>
            <w:r>
              <w:rPr>
                <w:webHidden/>
              </w:rPr>
              <w:tab/>
            </w:r>
            <w:r>
              <w:rPr>
                <w:webHidden/>
              </w:rPr>
              <w:fldChar w:fldCharType="begin"/>
            </w:r>
            <w:r>
              <w:rPr>
                <w:webHidden/>
              </w:rPr>
              <w:instrText xml:space="preserve"> PAGEREF _Toc211306861 \h </w:instrText>
            </w:r>
            <w:r>
              <w:rPr>
                <w:webHidden/>
              </w:rPr>
            </w:r>
            <w:r>
              <w:rPr>
                <w:webHidden/>
              </w:rPr>
              <w:fldChar w:fldCharType="separate"/>
            </w:r>
            <w:r w:rsidR="00D107DA">
              <w:rPr>
                <w:webHidden/>
              </w:rPr>
              <w:t>11</w:t>
            </w:r>
            <w:r>
              <w:rPr>
                <w:webHidden/>
              </w:rPr>
              <w:fldChar w:fldCharType="end"/>
            </w:r>
          </w:hyperlink>
        </w:p>
        <w:p w14:paraId="3B619518" w14:textId="3426492F"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62" w:history="1">
            <w:r w:rsidRPr="00C9344D">
              <w:rPr>
                <w:rStyle w:val="Hyperlink"/>
              </w:rPr>
              <w:t>4.5.2</w:t>
            </w:r>
            <w:r>
              <w:rPr>
                <w:rFonts w:asciiTheme="minorHAnsi" w:hAnsiTheme="minorHAnsi" w:cstheme="minorBidi"/>
                <w:kern w:val="2"/>
                <w:szCs w:val="24"/>
                <w:lang w:eastAsia="en-NZ"/>
                <w14:ligatures w14:val="standardContextual"/>
              </w:rPr>
              <w:tab/>
            </w:r>
            <w:r w:rsidRPr="00C9344D">
              <w:rPr>
                <w:rStyle w:val="Hyperlink"/>
              </w:rPr>
              <w:t>SDG Predictions App (Ceka, 2025)</w:t>
            </w:r>
            <w:r>
              <w:rPr>
                <w:webHidden/>
              </w:rPr>
              <w:tab/>
            </w:r>
            <w:r>
              <w:rPr>
                <w:webHidden/>
              </w:rPr>
              <w:fldChar w:fldCharType="begin"/>
            </w:r>
            <w:r>
              <w:rPr>
                <w:webHidden/>
              </w:rPr>
              <w:instrText xml:space="preserve"> PAGEREF _Toc211306862 \h </w:instrText>
            </w:r>
            <w:r>
              <w:rPr>
                <w:webHidden/>
              </w:rPr>
            </w:r>
            <w:r>
              <w:rPr>
                <w:webHidden/>
              </w:rPr>
              <w:fldChar w:fldCharType="separate"/>
            </w:r>
            <w:r w:rsidR="00D107DA">
              <w:rPr>
                <w:webHidden/>
              </w:rPr>
              <w:t>12</w:t>
            </w:r>
            <w:r>
              <w:rPr>
                <w:webHidden/>
              </w:rPr>
              <w:fldChar w:fldCharType="end"/>
            </w:r>
          </w:hyperlink>
        </w:p>
        <w:p w14:paraId="29A18F5D" w14:textId="0E36B5B9" w:rsidR="006C7293" w:rsidRDefault="006C7293">
          <w:pPr>
            <w:pStyle w:val="TOC1"/>
            <w:rPr>
              <w:rFonts w:asciiTheme="minorHAnsi" w:hAnsiTheme="minorHAnsi"/>
              <w:kern w:val="2"/>
              <w:szCs w:val="24"/>
              <w:lang w:eastAsia="en-NZ"/>
              <w14:ligatures w14:val="standardContextual"/>
            </w:rPr>
          </w:pPr>
          <w:hyperlink w:anchor="_Toc211306863" w:history="1">
            <w:r w:rsidRPr="00C9344D">
              <w:rPr>
                <w:rStyle w:val="Hyperlink"/>
              </w:rPr>
              <w:t>5</w:t>
            </w:r>
            <w:r>
              <w:rPr>
                <w:rFonts w:asciiTheme="minorHAnsi" w:hAnsiTheme="minorHAnsi"/>
                <w:kern w:val="2"/>
                <w:szCs w:val="24"/>
                <w:lang w:eastAsia="en-NZ"/>
                <w14:ligatures w14:val="standardContextual"/>
              </w:rPr>
              <w:tab/>
            </w:r>
            <w:r w:rsidRPr="00C9344D">
              <w:rPr>
                <w:rStyle w:val="Hyperlink"/>
              </w:rPr>
              <w:t>Findings by Research Questions</w:t>
            </w:r>
            <w:r>
              <w:rPr>
                <w:webHidden/>
              </w:rPr>
              <w:tab/>
            </w:r>
            <w:r>
              <w:rPr>
                <w:webHidden/>
              </w:rPr>
              <w:fldChar w:fldCharType="begin"/>
            </w:r>
            <w:r>
              <w:rPr>
                <w:webHidden/>
              </w:rPr>
              <w:instrText xml:space="preserve"> PAGEREF _Toc211306863 \h </w:instrText>
            </w:r>
            <w:r>
              <w:rPr>
                <w:webHidden/>
              </w:rPr>
            </w:r>
            <w:r>
              <w:rPr>
                <w:webHidden/>
              </w:rPr>
              <w:fldChar w:fldCharType="separate"/>
            </w:r>
            <w:r w:rsidR="00D107DA">
              <w:rPr>
                <w:webHidden/>
              </w:rPr>
              <w:t>13</w:t>
            </w:r>
            <w:r>
              <w:rPr>
                <w:webHidden/>
              </w:rPr>
              <w:fldChar w:fldCharType="end"/>
            </w:r>
          </w:hyperlink>
        </w:p>
        <w:p w14:paraId="3605ADDD" w14:textId="11C694FD" w:rsidR="006C7293" w:rsidRDefault="006C7293">
          <w:pPr>
            <w:pStyle w:val="TOC2"/>
            <w:rPr>
              <w:rFonts w:asciiTheme="minorHAnsi" w:hAnsiTheme="minorHAnsi"/>
              <w:kern w:val="2"/>
              <w:szCs w:val="24"/>
              <w:lang w:eastAsia="en-NZ"/>
              <w14:ligatures w14:val="standardContextual"/>
            </w:rPr>
          </w:pPr>
          <w:hyperlink w:anchor="_Toc211306864" w:history="1">
            <w:r w:rsidRPr="00C9344D">
              <w:rPr>
                <w:rStyle w:val="Hyperlink"/>
              </w:rPr>
              <w:t>5.1</w:t>
            </w:r>
            <w:r>
              <w:rPr>
                <w:rFonts w:asciiTheme="minorHAnsi" w:hAnsiTheme="minorHAnsi"/>
                <w:kern w:val="2"/>
                <w:szCs w:val="24"/>
                <w:lang w:eastAsia="en-NZ"/>
                <w14:ligatures w14:val="standardContextual"/>
              </w:rPr>
              <w:tab/>
            </w:r>
            <w:r w:rsidRPr="00C9344D">
              <w:rPr>
                <w:rStyle w:val="Hyperlink"/>
              </w:rPr>
              <w:t>Global snapshot (2025)</w:t>
            </w:r>
            <w:r>
              <w:rPr>
                <w:webHidden/>
              </w:rPr>
              <w:tab/>
            </w:r>
            <w:r>
              <w:rPr>
                <w:webHidden/>
              </w:rPr>
              <w:fldChar w:fldCharType="begin"/>
            </w:r>
            <w:r>
              <w:rPr>
                <w:webHidden/>
              </w:rPr>
              <w:instrText xml:space="preserve"> PAGEREF _Toc211306864 \h </w:instrText>
            </w:r>
            <w:r>
              <w:rPr>
                <w:webHidden/>
              </w:rPr>
            </w:r>
            <w:r>
              <w:rPr>
                <w:webHidden/>
              </w:rPr>
              <w:fldChar w:fldCharType="separate"/>
            </w:r>
            <w:r w:rsidR="00D107DA">
              <w:rPr>
                <w:webHidden/>
              </w:rPr>
              <w:t>13</w:t>
            </w:r>
            <w:r>
              <w:rPr>
                <w:webHidden/>
              </w:rPr>
              <w:fldChar w:fldCharType="end"/>
            </w:r>
          </w:hyperlink>
        </w:p>
        <w:p w14:paraId="12EBD147" w14:textId="7DC6CFF1"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65" w:history="1">
            <w:r w:rsidRPr="00C9344D">
              <w:rPr>
                <w:rStyle w:val="Hyperlink"/>
              </w:rPr>
              <w:t>5.1.1</w:t>
            </w:r>
            <w:r>
              <w:rPr>
                <w:rFonts w:asciiTheme="minorHAnsi" w:hAnsiTheme="minorHAnsi" w:cstheme="minorBidi"/>
                <w:kern w:val="2"/>
                <w:szCs w:val="24"/>
                <w:lang w:eastAsia="en-NZ"/>
                <w14:ligatures w14:val="standardContextual"/>
              </w:rPr>
              <w:tab/>
            </w:r>
            <w:r w:rsidRPr="00C9344D">
              <w:rPr>
                <w:rStyle w:val="Hyperlink"/>
              </w:rPr>
              <w:t>What is the current world average status and trajectory vs 2030 targets?</w:t>
            </w:r>
            <w:r>
              <w:rPr>
                <w:webHidden/>
              </w:rPr>
              <w:tab/>
            </w:r>
            <w:r>
              <w:rPr>
                <w:webHidden/>
              </w:rPr>
              <w:fldChar w:fldCharType="begin"/>
            </w:r>
            <w:r>
              <w:rPr>
                <w:webHidden/>
              </w:rPr>
              <w:instrText xml:space="preserve"> PAGEREF _Toc211306865 \h </w:instrText>
            </w:r>
            <w:r>
              <w:rPr>
                <w:webHidden/>
              </w:rPr>
            </w:r>
            <w:r>
              <w:rPr>
                <w:webHidden/>
              </w:rPr>
              <w:fldChar w:fldCharType="separate"/>
            </w:r>
            <w:r w:rsidR="00D107DA">
              <w:rPr>
                <w:webHidden/>
              </w:rPr>
              <w:t>13</w:t>
            </w:r>
            <w:r>
              <w:rPr>
                <w:webHidden/>
              </w:rPr>
              <w:fldChar w:fldCharType="end"/>
            </w:r>
          </w:hyperlink>
        </w:p>
        <w:p w14:paraId="7BC84A09" w14:textId="3E159B0D"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66" w:history="1">
            <w:r w:rsidRPr="00C9344D">
              <w:rPr>
                <w:rStyle w:val="Hyperlink"/>
              </w:rPr>
              <w:t>5.1.2</w:t>
            </w:r>
            <w:r>
              <w:rPr>
                <w:rFonts w:asciiTheme="minorHAnsi" w:hAnsiTheme="minorHAnsi" w:cstheme="minorBidi"/>
                <w:kern w:val="2"/>
                <w:szCs w:val="24"/>
                <w:lang w:eastAsia="en-NZ"/>
                <w14:ligatures w14:val="standardContextual"/>
              </w:rPr>
              <w:tab/>
            </w:r>
            <w:r w:rsidRPr="00C9344D">
              <w:rPr>
                <w:rStyle w:val="Hyperlink"/>
              </w:rPr>
              <w:t>Which regions lead and which lag on the overall score in 2025?</w:t>
            </w:r>
            <w:r>
              <w:rPr>
                <w:webHidden/>
              </w:rPr>
              <w:tab/>
            </w:r>
            <w:r>
              <w:rPr>
                <w:webHidden/>
              </w:rPr>
              <w:fldChar w:fldCharType="begin"/>
            </w:r>
            <w:r>
              <w:rPr>
                <w:webHidden/>
              </w:rPr>
              <w:instrText xml:space="preserve"> PAGEREF _Toc211306866 \h </w:instrText>
            </w:r>
            <w:r>
              <w:rPr>
                <w:webHidden/>
              </w:rPr>
            </w:r>
            <w:r>
              <w:rPr>
                <w:webHidden/>
              </w:rPr>
              <w:fldChar w:fldCharType="separate"/>
            </w:r>
            <w:r w:rsidR="00D107DA">
              <w:rPr>
                <w:webHidden/>
              </w:rPr>
              <w:t>14</w:t>
            </w:r>
            <w:r>
              <w:rPr>
                <w:webHidden/>
              </w:rPr>
              <w:fldChar w:fldCharType="end"/>
            </w:r>
          </w:hyperlink>
        </w:p>
        <w:p w14:paraId="4DCD32C8" w14:textId="79EB0C93" w:rsidR="006C7293" w:rsidRDefault="006C7293">
          <w:pPr>
            <w:pStyle w:val="TOC2"/>
            <w:rPr>
              <w:rFonts w:asciiTheme="minorHAnsi" w:hAnsiTheme="minorHAnsi"/>
              <w:kern w:val="2"/>
              <w:szCs w:val="24"/>
              <w:lang w:eastAsia="en-NZ"/>
              <w14:ligatures w14:val="standardContextual"/>
            </w:rPr>
          </w:pPr>
          <w:hyperlink w:anchor="_Toc211306867" w:history="1">
            <w:r w:rsidRPr="00C9344D">
              <w:rPr>
                <w:rStyle w:val="Hyperlink"/>
              </w:rPr>
              <w:t>5.2</w:t>
            </w:r>
            <w:r>
              <w:rPr>
                <w:rFonts w:asciiTheme="minorHAnsi" w:hAnsiTheme="minorHAnsi"/>
                <w:kern w:val="2"/>
                <w:szCs w:val="24"/>
                <w:lang w:eastAsia="en-NZ"/>
                <w14:ligatures w14:val="standardContextual"/>
              </w:rPr>
              <w:tab/>
            </w:r>
            <w:r w:rsidRPr="00C9344D">
              <w:rPr>
                <w:rStyle w:val="Hyperlink"/>
              </w:rPr>
              <w:t>Change &amp; momentum</w:t>
            </w:r>
            <w:r>
              <w:rPr>
                <w:webHidden/>
              </w:rPr>
              <w:tab/>
            </w:r>
            <w:r>
              <w:rPr>
                <w:webHidden/>
              </w:rPr>
              <w:fldChar w:fldCharType="begin"/>
            </w:r>
            <w:r>
              <w:rPr>
                <w:webHidden/>
              </w:rPr>
              <w:instrText xml:space="preserve"> PAGEREF _Toc211306867 \h </w:instrText>
            </w:r>
            <w:r>
              <w:rPr>
                <w:webHidden/>
              </w:rPr>
            </w:r>
            <w:r>
              <w:rPr>
                <w:webHidden/>
              </w:rPr>
              <w:fldChar w:fldCharType="separate"/>
            </w:r>
            <w:r w:rsidR="00D107DA">
              <w:rPr>
                <w:webHidden/>
              </w:rPr>
              <w:t>16</w:t>
            </w:r>
            <w:r>
              <w:rPr>
                <w:webHidden/>
              </w:rPr>
              <w:fldChar w:fldCharType="end"/>
            </w:r>
          </w:hyperlink>
        </w:p>
        <w:p w14:paraId="5421F1B4" w14:textId="5F58A2BE"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68" w:history="1">
            <w:r w:rsidRPr="00C9344D">
              <w:rPr>
                <w:rStyle w:val="Hyperlink"/>
              </w:rPr>
              <w:t>5.2.1</w:t>
            </w:r>
            <w:r>
              <w:rPr>
                <w:rFonts w:asciiTheme="minorHAnsi" w:hAnsiTheme="minorHAnsi" w:cstheme="minorBidi"/>
                <w:kern w:val="2"/>
                <w:szCs w:val="24"/>
                <w:lang w:eastAsia="en-NZ"/>
                <w14:ligatures w14:val="standardContextual"/>
              </w:rPr>
              <w:tab/>
            </w:r>
            <w:r w:rsidRPr="00C9344D">
              <w:rPr>
                <w:rStyle w:val="Hyperlink"/>
              </w:rPr>
              <w:t>Which SDG goals account for the largest positive change between 2015 and 2025, and which goals show stagnation or decline, based on % change in the goal index?</w:t>
            </w:r>
            <w:r>
              <w:rPr>
                <w:webHidden/>
              </w:rPr>
              <w:tab/>
            </w:r>
            <w:r>
              <w:rPr>
                <w:webHidden/>
              </w:rPr>
              <w:fldChar w:fldCharType="begin"/>
            </w:r>
            <w:r>
              <w:rPr>
                <w:webHidden/>
              </w:rPr>
              <w:instrText xml:space="preserve"> PAGEREF _Toc211306868 \h </w:instrText>
            </w:r>
            <w:r>
              <w:rPr>
                <w:webHidden/>
              </w:rPr>
            </w:r>
            <w:r>
              <w:rPr>
                <w:webHidden/>
              </w:rPr>
              <w:fldChar w:fldCharType="separate"/>
            </w:r>
            <w:r w:rsidR="00D107DA">
              <w:rPr>
                <w:webHidden/>
              </w:rPr>
              <w:t>16</w:t>
            </w:r>
            <w:r>
              <w:rPr>
                <w:webHidden/>
              </w:rPr>
              <w:fldChar w:fldCharType="end"/>
            </w:r>
          </w:hyperlink>
        </w:p>
        <w:p w14:paraId="3542786F" w14:textId="45B90A04"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69" w:history="1">
            <w:r w:rsidRPr="00C9344D">
              <w:rPr>
                <w:rStyle w:val="Hyperlink"/>
              </w:rPr>
              <w:t>5.2.2</w:t>
            </w:r>
            <w:r>
              <w:rPr>
                <w:rFonts w:asciiTheme="minorHAnsi" w:hAnsiTheme="minorHAnsi" w:cstheme="minorBidi"/>
                <w:kern w:val="2"/>
                <w:szCs w:val="24"/>
                <w:lang w:eastAsia="en-NZ"/>
                <w14:ligatures w14:val="standardContextual"/>
              </w:rPr>
              <w:tab/>
            </w:r>
            <w:r w:rsidRPr="00C9344D">
              <w:rPr>
                <w:rStyle w:val="Hyperlink"/>
              </w:rPr>
              <w:t>Which countries improved the most—and which slipped—on the Overall SDG Index between 2015 and 2025, and what patterns by region and starting level emerge?</w:t>
            </w:r>
            <w:r>
              <w:rPr>
                <w:webHidden/>
              </w:rPr>
              <w:tab/>
            </w:r>
            <w:r>
              <w:rPr>
                <w:webHidden/>
              </w:rPr>
              <w:fldChar w:fldCharType="begin"/>
            </w:r>
            <w:r>
              <w:rPr>
                <w:webHidden/>
              </w:rPr>
              <w:instrText xml:space="preserve"> PAGEREF _Toc211306869 \h </w:instrText>
            </w:r>
            <w:r>
              <w:rPr>
                <w:webHidden/>
              </w:rPr>
            </w:r>
            <w:r>
              <w:rPr>
                <w:webHidden/>
              </w:rPr>
              <w:fldChar w:fldCharType="separate"/>
            </w:r>
            <w:r w:rsidR="00D107DA">
              <w:rPr>
                <w:webHidden/>
              </w:rPr>
              <w:t>17</w:t>
            </w:r>
            <w:r>
              <w:rPr>
                <w:webHidden/>
              </w:rPr>
              <w:fldChar w:fldCharType="end"/>
            </w:r>
          </w:hyperlink>
        </w:p>
        <w:p w14:paraId="5212FF55" w14:textId="40E276F5"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70" w:history="1">
            <w:r w:rsidRPr="00C9344D">
              <w:rPr>
                <w:rStyle w:val="Hyperlink"/>
              </w:rPr>
              <w:t>5.2.3</w:t>
            </w:r>
            <w:r>
              <w:rPr>
                <w:rFonts w:asciiTheme="minorHAnsi" w:hAnsiTheme="minorHAnsi" w:cstheme="minorBidi"/>
                <w:kern w:val="2"/>
                <w:szCs w:val="24"/>
                <w:lang w:eastAsia="en-NZ"/>
                <w14:ligatures w14:val="standardContextual"/>
              </w:rPr>
              <w:tab/>
            </w:r>
            <w:r w:rsidRPr="00C9344D">
              <w:rPr>
                <w:rStyle w:val="Hyperlink"/>
              </w:rPr>
              <w:t>Within the OECD, do any members show downward trends in specific goals?</w:t>
            </w:r>
            <w:r>
              <w:rPr>
                <w:webHidden/>
              </w:rPr>
              <w:tab/>
            </w:r>
            <w:r>
              <w:rPr>
                <w:webHidden/>
              </w:rPr>
              <w:fldChar w:fldCharType="begin"/>
            </w:r>
            <w:r>
              <w:rPr>
                <w:webHidden/>
              </w:rPr>
              <w:instrText xml:space="preserve"> PAGEREF _Toc211306870 \h </w:instrText>
            </w:r>
            <w:r>
              <w:rPr>
                <w:webHidden/>
              </w:rPr>
            </w:r>
            <w:r>
              <w:rPr>
                <w:webHidden/>
              </w:rPr>
              <w:fldChar w:fldCharType="separate"/>
            </w:r>
            <w:r w:rsidR="00D107DA">
              <w:rPr>
                <w:webHidden/>
              </w:rPr>
              <w:t>18</w:t>
            </w:r>
            <w:r>
              <w:rPr>
                <w:webHidden/>
              </w:rPr>
              <w:fldChar w:fldCharType="end"/>
            </w:r>
          </w:hyperlink>
        </w:p>
        <w:p w14:paraId="3DDA44E2" w14:textId="05F3B534" w:rsidR="006C7293" w:rsidRDefault="006C7293">
          <w:pPr>
            <w:pStyle w:val="TOC2"/>
            <w:rPr>
              <w:rFonts w:asciiTheme="minorHAnsi" w:hAnsiTheme="minorHAnsi"/>
              <w:kern w:val="2"/>
              <w:szCs w:val="24"/>
              <w:lang w:eastAsia="en-NZ"/>
              <w14:ligatures w14:val="standardContextual"/>
            </w:rPr>
          </w:pPr>
          <w:hyperlink w:anchor="_Toc211306871" w:history="1">
            <w:r w:rsidRPr="00C9344D">
              <w:rPr>
                <w:rStyle w:val="Hyperlink"/>
              </w:rPr>
              <w:t>5.3</w:t>
            </w:r>
            <w:r>
              <w:rPr>
                <w:rFonts w:asciiTheme="minorHAnsi" w:hAnsiTheme="minorHAnsi"/>
                <w:kern w:val="2"/>
                <w:szCs w:val="24"/>
                <w:lang w:eastAsia="en-NZ"/>
                <w14:ligatures w14:val="standardContextual"/>
              </w:rPr>
              <w:tab/>
            </w:r>
            <w:r w:rsidRPr="00C9344D">
              <w:rPr>
                <w:rStyle w:val="Hyperlink"/>
              </w:rPr>
              <w:t>Regional gaps &amp; dispersion</w:t>
            </w:r>
            <w:r>
              <w:rPr>
                <w:webHidden/>
              </w:rPr>
              <w:tab/>
            </w:r>
            <w:r>
              <w:rPr>
                <w:webHidden/>
              </w:rPr>
              <w:fldChar w:fldCharType="begin"/>
            </w:r>
            <w:r>
              <w:rPr>
                <w:webHidden/>
              </w:rPr>
              <w:instrText xml:space="preserve"> PAGEREF _Toc211306871 \h </w:instrText>
            </w:r>
            <w:r>
              <w:rPr>
                <w:webHidden/>
              </w:rPr>
            </w:r>
            <w:r>
              <w:rPr>
                <w:webHidden/>
              </w:rPr>
              <w:fldChar w:fldCharType="separate"/>
            </w:r>
            <w:r w:rsidR="00D107DA">
              <w:rPr>
                <w:webHidden/>
              </w:rPr>
              <w:t>21</w:t>
            </w:r>
            <w:r>
              <w:rPr>
                <w:webHidden/>
              </w:rPr>
              <w:fldChar w:fldCharType="end"/>
            </w:r>
          </w:hyperlink>
        </w:p>
        <w:p w14:paraId="7991663E" w14:textId="1FBF3062"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72" w:history="1">
            <w:r w:rsidRPr="00C9344D">
              <w:rPr>
                <w:rStyle w:val="Hyperlink"/>
              </w:rPr>
              <w:t>5.3.1</w:t>
            </w:r>
            <w:r>
              <w:rPr>
                <w:rFonts w:asciiTheme="minorHAnsi" w:hAnsiTheme="minorHAnsi" w:cstheme="minorBidi"/>
                <w:kern w:val="2"/>
                <w:szCs w:val="24"/>
                <w:lang w:eastAsia="en-NZ"/>
                <w14:ligatures w14:val="standardContextual"/>
              </w:rPr>
              <w:tab/>
            </w:r>
            <w:r w:rsidRPr="00C9344D">
              <w:rPr>
                <w:rStyle w:val="Hyperlink"/>
              </w:rPr>
              <w:t>Across Africa, which countries are the SDG “leaders”, “emerging improvers”, “stable/slipping” and “laggards” when we consider both level (end-year score) and momentum (% change over 2015→2025)?</w:t>
            </w:r>
            <w:r>
              <w:rPr>
                <w:webHidden/>
              </w:rPr>
              <w:tab/>
            </w:r>
            <w:r>
              <w:rPr>
                <w:webHidden/>
              </w:rPr>
              <w:fldChar w:fldCharType="begin"/>
            </w:r>
            <w:r>
              <w:rPr>
                <w:webHidden/>
              </w:rPr>
              <w:instrText xml:space="preserve"> PAGEREF _Toc211306872 \h </w:instrText>
            </w:r>
            <w:r>
              <w:rPr>
                <w:webHidden/>
              </w:rPr>
            </w:r>
            <w:r>
              <w:rPr>
                <w:webHidden/>
              </w:rPr>
              <w:fldChar w:fldCharType="separate"/>
            </w:r>
            <w:r w:rsidR="00D107DA">
              <w:rPr>
                <w:webHidden/>
              </w:rPr>
              <w:t>21</w:t>
            </w:r>
            <w:r>
              <w:rPr>
                <w:webHidden/>
              </w:rPr>
              <w:fldChar w:fldCharType="end"/>
            </w:r>
          </w:hyperlink>
        </w:p>
        <w:p w14:paraId="5A0C580D" w14:textId="6BC24F96" w:rsidR="006C7293" w:rsidRDefault="006C7293">
          <w:pPr>
            <w:pStyle w:val="TOC2"/>
            <w:rPr>
              <w:rFonts w:asciiTheme="minorHAnsi" w:hAnsiTheme="minorHAnsi"/>
              <w:kern w:val="2"/>
              <w:szCs w:val="24"/>
              <w:lang w:eastAsia="en-NZ"/>
              <w14:ligatures w14:val="standardContextual"/>
            </w:rPr>
          </w:pPr>
          <w:hyperlink w:anchor="_Toc211306873" w:history="1">
            <w:r w:rsidRPr="00C9344D">
              <w:rPr>
                <w:rStyle w:val="Hyperlink"/>
              </w:rPr>
              <w:t>5.4</w:t>
            </w:r>
            <w:r>
              <w:rPr>
                <w:rFonts w:asciiTheme="minorHAnsi" w:hAnsiTheme="minorHAnsi"/>
                <w:kern w:val="2"/>
                <w:szCs w:val="24"/>
                <w:lang w:eastAsia="en-NZ"/>
                <w14:ligatures w14:val="standardContextual"/>
              </w:rPr>
              <w:tab/>
            </w:r>
            <w:r w:rsidRPr="00C9344D">
              <w:rPr>
                <w:rStyle w:val="Hyperlink"/>
              </w:rPr>
              <w:t>Inter-goal links &amp; trade-offs</w:t>
            </w:r>
            <w:r>
              <w:rPr>
                <w:webHidden/>
              </w:rPr>
              <w:tab/>
            </w:r>
            <w:r>
              <w:rPr>
                <w:webHidden/>
              </w:rPr>
              <w:fldChar w:fldCharType="begin"/>
            </w:r>
            <w:r>
              <w:rPr>
                <w:webHidden/>
              </w:rPr>
              <w:instrText xml:space="preserve"> PAGEREF _Toc211306873 \h </w:instrText>
            </w:r>
            <w:r>
              <w:rPr>
                <w:webHidden/>
              </w:rPr>
            </w:r>
            <w:r>
              <w:rPr>
                <w:webHidden/>
              </w:rPr>
              <w:fldChar w:fldCharType="separate"/>
            </w:r>
            <w:r w:rsidR="00D107DA">
              <w:rPr>
                <w:webHidden/>
              </w:rPr>
              <w:t>22</w:t>
            </w:r>
            <w:r>
              <w:rPr>
                <w:webHidden/>
              </w:rPr>
              <w:fldChar w:fldCharType="end"/>
            </w:r>
          </w:hyperlink>
        </w:p>
        <w:p w14:paraId="269ACA8F" w14:textId="3901BA54"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74" w:history="1">
            <w:r w:rsidRPr="00C9344D">
              <w:rPr>
                <w:rStyle w:val="Hyperlink"/>
              </w:rPr>
              <w:t>5.4.1</w:t>
            </w:r>
            <w:r>
              <w:rPr>
                <w:rFonts w:asciiTheme="minorHAnsi" w:hAnsiTheme="minorHAnsi" w:cstheme="minorBidi"/>
                <w:kern w:val="2"/>
                <w:szCs w:val="24"/>
                <w:lang w:eastAsia="en-NZ"/>
                <w14:ligatures w14:val="standardContextual"/>
              </w:rPr>
              <w:tab/>
            </w:r>
            <w:r w:rsidRPr="00C9344D">
              <w:rPr>
                <w:rStyle w:val="Hyperlink"/>
              </w:rPr>
              <w:t>In the 2025 global network of SDG goal scores, which goals are central “synergy hubs,” which are peripheral, and where are the main trade-offs?</w:t>
            </w:r>
            <w:r>
              <w:rPr>
                <w:webHidden/>
              </w:rPr>
              <w:tab/>
            </w:r>
            <w:r>
              <w:rPr>
                <w:webHidden/>
              </w:rPr>
              <w:fldChar w:fldCharType="begin"/>
            </w:r>
            <w:r>
              <w:rPr>
                <w:webHidden/>
              </w:rPr>
              <w:instrText xml:space="preserve"> PAGEREF _Toc211306874 \h </w:instrText>
            </w:r>
            <w:r>
              <w:rPr>
                <w:webHidden/>
              </w:rPr>
            </w:r>
            <w:r>
              <w:rPr>
                <w:webHidden/>
              </w:rPr>
              <w:fldChar w:fldCharType="separate"/>
            </w:r>
            <w:r w:rsidR="00D107DA">
              <w:rPr>
                <w:webHidden/>
              </w:rPr>
              <w:t>22</w:t>
            </w:r>
            <w:r>
              <w:rPr>
                <w:webHidden/>
              </w:rPr>
              <w:fldChar w:fldCharType="end"/>
            </w:r>
          </w:hyperlink>
        </w:p>
        <w:p w14:paraId="1B598FA4" w14:textId="09A50339"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75" w:history="1">
            <w:r w:rsidRPr="00C9344D">
              <w:rPr>
                <w:rStyle w:val="Hyperlink"/>
              </w:rPr>
              <w:t>5.4.2</w:t>
            </w:r>
            <w:r>
              <w:rPr>
                <w:rFonts w:asciiTheme="minorHAnsi" w:hAnsiTheme="minorHAnsi" w:cstheme="minorBidi"/>
                <w:kern w:val="2"/>
                <w:szCs w:val="24"/>
                <w:lang w:eastAsia="en-NZ"/>
                <w14:ligatures w14:val="standardContextual"/>
              </w:rPr>
              <w:tab/>
            </w:r>
            <w:r w:rsidRPr="00C9344D">
              <w:rPr>
                <w:rStyle w:val="Hyperlink"/>
              </w:rPr>
              <w:t>What latent structure organizes cross-country SDG performance in 2025, and which goals align with—or run counter to—the dominant development axis?</w:t>
            </w:r>
            <w:r>
              <w:rPr>
                <w:webHidden/>
              </w:rPr>
              <w:tab/>
            </w:r>
            <w:r>
              <w:rPr>
                <w:webHidden/>
              </w:rPr>
              <w:fldChar w:fldCharType="begin"/>
            </w:r>
            <w:r>
              <w:rPr>
                <w:webHidden/>
              </w:rPr>
              <w:instrText xml:space="preserve"> PAGEREF _Toc211306875 \h </w:instrText>
            </w:r>
            <w:r>
              <w:rPr>
                <w:webHidden/>
              </w:rPr>
            </w:r>
            <w:r>
              <w:rPr>
                <w:webHidden/>
              </w:rPr>
              <w:fldChar w:fldCharType="separate"/>
            </w:r>
            <w:r w:rsidR="00D107DA">
              <w:rPr>
                <w:webHidden/>
              </w:rPr>
              <w:t>24</w:t>
            </w:r>
            <w:r>
              <w:rPr>
                <w:webHidden/>
              </w:rPr>
              <w:fldChar w:fldCharType="end"/>
            </w:r>
          </w:hyperlink>
        </w:p>
        <w:p w14:paraId="55E84930" w14:textId="3E3B416D"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76" w:history="1">
            <w:r w:rsidRPr="00C9344D">
              <w:rPr>
                <w:rStyle w:val="Hyperlink"/>
              </w:rPr>
              <w:t>5.4.3</w:t>
            </w:r>
            <w:r>
              <w:rPr>
                <w:rFonts w:asciiTheme="minorHAnsi" w:hAnsiTheme="minorHAnsi" w:cstheme="minorBidi"/>
                <w:kern w:val="2"/>
                <w:szCs w:val="24"/>
                <w:lang w:eastAsia="en-NZ"/>
                <w14:ligatures w14:val="standardContextual"/>
              </w:rPr>
              <w:tab/>
            </w:r>
            <w:r w:rsidRPr="00C9344D">
              <w:rPr>
                <w:rStyle w:val="Hyperlink"/>
              </w:rPr>
              <w:t>Which goals are most strongly linked with the Overall score in 2025?</w:t>
            </w:r>
            <w:r>
              <w:rPr>
                <w:webHidden/>
              </w:rPr>
              <w:tab/>
            </w:r>
            <w:r>
              <w:rPr>
                <w:webHidden/>
              </w:rPr>
              <w:fldChar w:fldCharType="begin"/>
            </w:r>
            <w:r>
              <w:rPr>
                <w:webHidden/>
              </w:rPr>
              <w:instrText xml:space="preserve"> PAGEREF _Toc211306876 \h </w:instrText>
            </w:r>
            <w:r>
              <w:rPr>
                <w:webHidden/>
              </w:rPr>
            </w:r>
            <w:r>
              <w:rPr>
                <w:webHidden/>
              </w:rPr>
              <w:fldChar w:fldCharType="separate"/>
            </w:r>
            <w:r w:rsidR="00D107DA">
              <w:rPr>
                <w:webHidden/>
              </w:rPr>
              <w:t>25</w:t>
            </w:r>
            <w:r>
              <w:rPr>
                <w:webHidden/>
              </w:rPr>
              <w:fldChar w:fldCharType="end"/>
            </w:r>
          </w:hyperlink>
        </w:p>
        <w:p w14:paraId="4B4CA2A2" w14:textId="611E39EC"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77" w:history="1">
            <w:r w:rsidRPr="00C9344D">
              <w:rPr>
                <w:rStyle w:val="Hyperlink"/>
              </w:rPr>
              <w:t>5.4.4</w:t>
            </w:r>
            <w:r>
              <w:rPr>
                <w:rFonts w:asciiTheme="minorHAnsi" w:hAnsiTheme="minorHAnsi" w:cstheme="minorBidi"/>
                <w:kern w:val="2"/>
                <w:szCs w:val="24"/>
                <w:lang w:eastAsia="en-NZ"/>
                <w14:ligatures w14:val="standardContextual"/>
              </w:rPr>
              <w:tab/>
            </w:r>
            <w:r w:rsidRPr="00C9344D">
              <w:rPr>
                <w:rStyle w:val="Hyperlink"/>
              </w:rPr>
              <w:t>Which goal pairs move together the most and which show trade-offs in 2025?</w:t>
            </w:r>
            <w:r>
              <w:rPr>
                <w:webHidden/>
              </w:rPr>
              <w:tab/>
            </w:r>
            <w:r>
              <w:rPr>
                <w:webHidden/>
              </w:rPr>
              <w:fldChar w:fldCharType="begin"/>
            </w:r>
            <w:r>
              <w:rPr>
                <w:webHidden/>
              </w:rPr>
              <w:instrText xml:space="preserve"> PAGEREF _Toc211306877 \h </w:instrText>
            </w:r>
            <w:r>
              <w:rPr>
                <w:webHidden/>
              </w:rPr>
            </w:r>
            <w:r>
              <w:rPr>
                <w:webHidden/>
              </w:rPr>
              <w:fldChar w:fldCharType="separate"/>
            </w:r>
            <w:r w:rsidR="00D107DA">
              <w:rPr>
                <w:webHidden/>
              </w:rPr>
              <w:t>25</w:t>
            </w:r>
            <w:r>
              <w:rPr>
                <w:webHidden/>
              </w:rPr>
              <w:fldChar w:fldCharType="end"/>
            </w:r>
          </w:hyperlink>
        </w:p>
        <w:p w14:paraId="560805C7" w14:textId="3EABA908" w:rsidR="006C7293" w:rsidRDefault="006C7293">
          <w:pPr>
            <w:pStyle w:val="TOC2"/>
            <w:rPr>
              <w:rFonts w:asciiTheme="minorHAnsi" w:hAnsiTheme="minorHAnsi"/>
              <w:kern w:val="2"/>
              <w:szCs w:val="24"/>
              <w:lang w:eastAsia="en-NZ"/>
              <w14:ligatures w14:val="standardContextual"/>
            </w:rPr>
          </w:pPr>
          <w:hyperlink w:anchor="_Toc211306878" w:history="1">
            <w:r w:rsidRPr="00C9344D">
              <w:rPr>
                <w:rStyle w:val="Hyperlink"/>
              </w:rPr>
              <w:t>5.5</w:t>
            </w:r>
            <w:r>
              <w:rPr>
                <w:rFonts w:asciiTheme="minorHAnsi" w:hAnsiTheme="minorHAnsi"/>
                <w:kern w:val="2"/>
                <w:szCs w:val="24"/>
                <w:lang w:eastAsia="en-NZ"/>
                <w14:ligatures w14:val="standardContextual"/>
              </w:rPr>
              <w:tab/>
            </w:r>
            <w:r w:rsidRPr="00C9344D">
              <w:rPr>
                <w:rStyle w:val="Hyperlink"/>
              </w:rPr>
              <w:t>Where does New Zealand stand on the SDGs in 2025, which goals are lagging, and what cross-goal linkages (synergies/trade-offs) explain those gaps—so where should policy focus to accelerate progress to 2030?</w:t>
            </w:r>
            <w:r>
              <w:rPr>
                <w:webHidden/>
              </w:rPr>
              <w:tab/>
            </w:r>
            <w:r>
              <w:rPr>
                <w:webHidden/>
              </w:rPr>
              <w:fldChar w:fldCharType="begin"/>
            </w:r>
            <w:r>
              <w:rPr>
                <w:webHidden/>
              </w:rPr>
              <w:instrText xml:space="preserve"> PAGEREF _Toc211306878 \h </w:instrText>
            </w:r>
            <w:r>
              <w:rPr>
                <w:webHidden/>
              </w:rPr>
            </w:r>
            <w:r>
              <w:rPr>
                <w:webHidden/>
              </w:rPr>
              <w:fldChar w:fldCharType="separate"/>
            </w:r>
            <w:r w:rsidR="00D107DA">
              <w:rPr>
                <w:webHidden/>
              </w:rPr>
              <w:t>26</w:t>
            </w:r>
            <w:r>
              <w:rPr>
                <w:webHidden/>
              </w:rPr>
              <w:fldChar w:fldCharType="end"/>
            </w:r>
          </w:hyperlink>
        </w:p>
        <w:p w14:paraId="0CD296D6" w14:textId="0A8795DC"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79" w:history="1">
            <w:r w:rsidRPr="00C9344D">
              <w:rPr>
                <w:rStyle w:val="Hyperlink"/>
              </w:rPr>
              <w:t>5.5.1</w:t>
            </w:r>
            <w:r>
              <w:rPr>
                <w:rFonts w:asciiTheme="minorHAnsi" w:hAnsiTheme="minorHAnsi" w:cstheme="minorBidi"/>
                <w:kern w:val="2"/>
                <w:szCs w:val="24"/>
                <w:lang w:eastAsia="en-NZ"/>
                <w14:ligatures w14:val="standardContextual"/>
              </w:rPr>
              <w:tab/>
            </w:r>
            <w:r w:rsidRPr="00C9344D">
              <w:rPr>
                <w:rStyle w:val="Hyperlink"/>
              </w:rPr>
              <w:t>Overall Standing, Rank, and Goal-Level Imbalances (2025)</w:t>
            </w:r>
            <w:r>
              <w:rPr>
                <w:webHidden/>
              </w:rPr>
              <w:tab/>
            </w:r>
            <w:r>
              <w:rPr>
                <w:webHidden/>
              </w:rPr>
              <w:fldChar w:fldCharType="begin"/>
            </w:r>
            <w:r>
              <w:rPr>
                <w:webHidden/>
              </w:rPr>
              <w:instrText xml:space="preserve"> PAGEREF _Toc211306879 \h </w:instrText>
            </w:r>
            <w:r>
              <w:rPr>
                <w:webHidden/>
              </w:rPr>
            </w:r>
            <w:r>
              <w:rPr>
                <w:webHidden/>
              </w:rPr>
              <w:fldChar w:fldCharType="separate"/>
            </w:r>
            <w:r w:rsidR="00D107DA">
              <w:rPr>
                <w:webHidden/>
              </w:rPr>
              <w:t>27</w:t>
            </w:r>
            <w:r>
              <w:rPr>
                <w:webHidden/>
              </w:rPr>
              <w:fldChar w:fldCharType="end"/>
            </w:r>
          </w:hyperlink>
        </w:p>
        <w:p w14:paraId="05F146AB" w14:textId="49200705"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80" w:history="1">
            <w:r w:rsidRPr="00C9344D">
              <w:rPr>
                <w:rStyle w:val="Hyperlink"/>
              </w:rPr>
              <w:t>5.5.2</w:t>
            </w:r>
            <w:r>
              <w:rPr>
                <w:rFonts w:asciiTheme="minorHAnsi" w:hAnsiTheme="minorHAnsi" w:cstheme="minorBidi"/>
                <w:kern w:val="2"/>
                <w:szCs w:val="24"/>
                <w:lang w:eastAsia="en-NZ"/>
                <w14:ligatures w14:val="standardContextual"/>
              </w:rPr>
              <w:tab/>
            </w:r>
            <w:r w:rsidRPr="00C9344D">
              <w:rPr>
                <w:rStyle w:val="Hyperlink"/>
              </w:rPr>
              <w:t>Status &amp; momentum: NZ’s overall score/rank in 2025 and % change over 2015→2025; goal-by-goal trend lines to flag any downward or flat goals.</w:t>
            </w:r>
            <w:r>
              <w:rPr>
                <w:webHidden/>
              </w:rPr>
              <w:tab/>
            </w:r>
            <w:r>
              <w:rPr>
                <w:webHidden/>
              </w:rPr>
              <w:fldChar w:fldCharType="begin"/>
            </w:r>
            <w:r>
              <w:rPr>
                <w:webHidden/>
              </w:rPr>
              <w:instrText xml:space="preserve"> PAGEREF _Toc211306880 \h </w:instrText>
            </w:r>
            <w:r>
              <w:rPr>
                <w:webHidden/>
              </w:rPr>
            </w:r>
            <w:r>
              <w:rPr>
                <w:webHidden/>
              </w:rPr>
              <w:fldChar w:fldCharType="separate"/>
            </w:r>
            <w:r w:rsidR="00D107DA">
              <w:rPr>
                <w:webHidden/>
              </w:rPr>
              <w:t>28</w:t>
            </w:r>
            <w:r>
              <w:rPr>
                <w:webHidden/>
              </w:rPr>
              <w:fldChar w:fldCharType="end"/>
            </w:r>
          </w:hyperlink>
        </w:p>
        <w:p w14:paraId="1430C712" w14:textId="3F1F700B"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81" w:history="1">
            <w:r w:rsidRPr="00C9344D">
              <w:rPr>
                <w:rStyle w:val="Hyperlink"/>
              </w:rPr>
              <w:t>5.5.3</w:t>
            </w:r>
            <w:r>
              <w:rPr>
                <w:rFonts w:asciiTheme="minorHAnsi" w:hAnsiTheme="minorHAnsi" w:cstheme="minorBidi"/>
                <w:kern w:val="2"/>
                <w:szCs w:val="24"/>
                <w:lang w:eastAsia="en-NZ"/>
                <w14:ligatures w14:val="standardContextual"/>
              </w:rPr>
              <w:tab/>
            </w:r>
            <w:r w:rsidRPr="00C9344D">
              <w:rPr>
                <w:rStyle w:val="Hyperlink"/>
              </w:rPr>
              <w:t>Gap analysis: Distance (points and %) from the OECD top-quartile for each goal, highlighting the few goals that dominate the shortfall.</w:t>
            </w:r>
            <w:r>
              <w:rPr>
                <w:webHidden/>
              </w:rPr>
              <w:tab/>
            </w:r>
            <w:r>
              <w:rPr>
                <w:webHidden/>
              </w:rPr>
              <w:fldChar w:fldCharType="begin"/>
            </w:r>
            <w:r>
              <w:rPr>
                <w:webHidden/>
              </w:rPr>
              <w:instrText xml:space="preserve"> PAGEREF _Toc211306881 \h </w:instrText>
            </w:r>
            <w:r>
              <w:rPr>
                <w:webHidden/>
              </w:rPr>
            </w:r>
            <w:r>
              <w:rPr>
                <w:webHidden/>
              </w:rPr>
              <w:fldChar w:fldCharType="separate"/>
            </w:r>
            <w:r w:rsidR="00D107DA">
              <w:rPr>
                <w:webHidden/>
              </w:rPr>
              <w:t>29</w:t>
            </w:r>
            <w:r>
              <w:rPr>
                <w:webHidden/>
              </w:rPr>
              <w:fldChar w:fldCharType="end"/>
            </w:r>
          </w:hyperlink>
        </w:p>
        <w:p w14:paraId="2E51B2D1" w14:textId="6CD4E8F6"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82" w:history="1">
            <w:r w:rsidRPr="00C9344D">
              <w:rPr>
                <w:rStyle w:val="Hyperlink"/>
              </w:rPr>
              <w:t>5.5.4</w:t>
            </w:r>
            <w:r>
              <w:rPr>
                <w:rFonts w:asciiTheme="minorHAnsi" w:hAnsiTheme="minorHAnsi" w:cstheme="minorBidi"/>
                <w:kern w:val="2"/>
                <w:szCs w:val="24"/>
                <w:lang w:eastAsia="en-NZ"/>
                <w14:ligatures w14:val="standardContextual"/>
              </w:rPr>
              <w:tab/>
            </w:r>
            <w:r w:rsidRPr="00C9344D">
              <w:rPr>
                <w:rStyle w:val="Hyperlink"/>
              </w:rPr>
              <w:t>Structure &amp; drivers: Which goal bundles in New Zealand move together from 2015 to 2025 and where do the main tradeoffs sit, so what two or three policy packages would deliver the biggest co benefits by 2030?</w:t>
            </w:r>
            <w:r>
              <w:rPr>
                <w:webHidden/>
              </w:rPr>
              <w:tab/>
            </w:r>
            <w:r>
              <w:rPr>
                <w:webHidden/>
              </w:rPr>
              <w:fldChar w:fldCharType="begin"/>
            </w:r>
            <w:r>
              <w:rPr>
                <w:webHidden/>
              </w:rPr>
              <w:instrText xml:space="preserve"> PAGEREF _Toc211306882 \h </w:instrText>
            </w:r>
            <w:r>
              <w:rPr>
                <w:webHidden/>
              </w:rPr>
            </w:r>
            <w:r>
              <w:rPr>
                <w:webHidden/>
              </w:rPr>
              <w:fldChar w:fldCharType="separate"/>
            </w:r>
            <w:r w:rsidR="00D107DA">
              <w:rPr>
                <w:webHidden/>
              </w:rPr>
              <w:t>30</w:t>
            </w:r>
            <w:r>
              <w:rPr>
                <w:webHidden/>
              </w:rPr>
              <w:fldChar w:fldCharType="end"/>
            </w:r>
          </w:hyperlink>
        </w:p>
        <w:p w14:paraId="0F45B506" w14:textId="1C71EFF2"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83" w:history="1">
            <w:r w:rsidRPr="00C9344D">
              <w:rPr>
                <w:rStyle w:val="Hyperlink"/>
              </w:rPr>
              <w:t>5.5.5</w:t>
            </w:r>
            <w:r>
              <w:rPr>
                <w:rFonts w:asciiTheme="minorHAnsi" w:hAnsiTheme="minorHAnsi" w:cstheme="minorBidi"/>
                <w:kern w:val="2"/>
                <w:szCs w:val="24"/>
                <w:lang w:eastAsia="en-NZ"/>
                <w14:ligatures w14:val="standardContextual"/>
              </w:rPr>
              <w:tab/>
            </w:r>
            <w:r w:rsidRPr="00C9344D">
              <w:rPr>
                <w:rStyle w:val="Hyperlink"/>
              </w:rPr>
              <w:t>New Zealand overall score forecast to 2030</w:t>
            </w:r>
            <w:r>
              <w:rPr>
                <w:webHidden/>
              </w:rPr>
              <w:tab/>
            </w:r>
            <w:r>
              <w:rPr>
                <w:webHidden/>
              </w:rPr>
              <w:fldChar w:fldCharType="begin"/>
            </w:r>
            <w:r>
              <w:rPr>
                <w:webHidden/>
              </w:rPr>
              <w:instrText xml:space="preserve"> PAGEREF _Toc211306883 \h </w:instrText>
            </w:r>
            <w:r>
              <w:rPr>
                <w:webHidden/>
              </w:rPr>
            </w:r>
            <w:r>
              <w:rPr>
                <w:webHidden/>
              </w:rPr>
              <w:fldChar w:fldCharType="separate"/>
            </w:r>
            <w:r w:rsidR="00D107DA">
              <w:rPr>
                <w:webHidden/>
              </w:rPr>
              <w:t>31</w:t>
            </w:r>
            <w:r>
              <w:rPr>
                <w:webHidden/>
              </w:rPr>
              <w:fldChar w:fldCharType="end"/>
            </w:r>
          </w:hyperlink>
        </w:p>
        <w:p w14:paraId="003E6A65" w14:textId="0600FE49"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84" w:history="1">
            <w:r w:rsidRPr="00C9344D">
              <w:rPr>
                <w:rStyle w:val="Hyperlink"/>
              </w:rPr>
              <w:t>5.5.6</w:t>
            </w:r>
            <w:r>
              <w:rPr>
                <w:rFonts w:asciiTheme="minorHAnsi" w:hAnsiTheme="minorHAnsi" w:cstheme="minorBidi"/>
                <w:kern w:val="2"/>
                <w:szCs w:val="24"/>
                <w:lang w:eastAsia="en-NZ"/>
                <w14:ligatures w14:val="standardContextual"/>
              </w:rPr>
              <w:tab/>
            </w:r>
            <w:r w:rsidRPr="00C9344D">
              <w:rPr>
                <w:rStyle w:val="Hyperlink"/>
              </w:rPr>
              <w:t>Forecasting New Zealand vs OECD on SDG 8 (Unemployment 2026 – 2030)</w:t>
            </w:r>
            <w:r>
              <w:rPr>
                <w:webHidden/>
              </w:rPr>
              <w:tab/>
            </w:r>
            <w:r>
              <w:rPr>
                <w:webHidden/>
              </w:rPr>
              <w:fldChar w:fldCharType="begin"/>
            </w:r>
            <w:r>
              <w:rPr>
                <w:webHidden/>
              </w:rPr>
              <w:instrText xml:space="preserve"> PAGEREF _Toc211306884 \h </w:instrText>
            </w:r>
            <w:r>
              <w:rPr>
                <w:webHidden/>
              </w:rPr>
            </w:r>
            <w:r>
              <w:rPr>
                <w:webHidden/>
              </w:rPr>
              <w:fldChar w:fldCharType="separate"/>
            </w:r>
            <w:r w:rsidR="00D107DA">
              <w:rPr>
                <w:webHidden/>
              </w:rPr>
              <w:t>32</w:t>
            </w:r>
            <w:r>
              <w:rPr>
                <w:webHidden/>
              </w:rPr>
              <w:fldChar w:fldCharType="end"/>
            </w:r>
          </w:hyperlink>
        </w:p>
        <w:p w14:paraId="7584558B" w14:textId="6AD83B54"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85" w:history="1">
            <w:r w:rsidRPr="00C9344D">
              <w:rPr>
                <w:rStyle w:val="Hyperlink"/>
                <w:i/>
                <w:iCs/>
                <w:lang w:eastAsia="en-NZ"/>
              </w:rPr>
              <w:t>5.5.7</w:t>
            </w:r>
            <w:r>
              <w:rPr>
                <w:rFonts w:asciiTheme="minorHAnsi" w:hAnsiTheme="minorHAnsi" w:cstheme="minorBidi"/>
                <w:kern w:val="2"/>
                <w:szCs w:val="24"/>
                <w:lang w:eastAsia="en-NZ"/>
                <w14:ligatures w14:val="standardContextual"/>
              </w:rPr>
              <w:tab/>
            </w:r>
            <w:r w:rsidRPr="00C9344D">
              <w:rPr>
                <w:rStyle w:val="Hyperlink"/>
                <w:lang w:eastAsia="en-NZ"/>
              </w:rPr>
              <w:t>Forecasting New Zealand’s Goal 3 and Goal 13 (2026–2030)</w:t>
            </w:r>
            <w:r>
              <w:rPr>
                <w:webHidden/>
              </w:rPr>
              <w:tab/>
            </w:r>
            <w:r>
              <w:rPr>
                <w:webHidden/>
              </w:rPr>
              <w:fldChar w:fldCharType="begin"/>
            </w:r>
            <w:r>
              <w:rPr>
                <w:webHidden/>
              </w:rPr>
              <w:instrText xml:space="preserve"> PAGEREF _Toc211306885 \h </w:instrText>
            </w:r>
            <w:r>
              <w:rPr>
                <w:webHidden/>
              </w:rPr>
            </w:r>
            <w:r>
              <w:rPr>
                <w:webHidden/>
              </w:rPr>
              <w:fldChar w:fldCharType="separate"/>
            </w:r>
            <w:r w:rsidR="00D107DA">
              <w:rPr>
                <w:webHidden/>
              </w:rPr>
              <w:t>33</w:t>
            </w:r>
            <w:r>
              <w:rPr>
                <w:webHidden/>
              </w:rPr>
              <w:fldChar w:fldCharType="end"/>
            </w:r>
          </w:hyperlink>
        </w:p>
        <w:p w14:paraId="70D29FD1" w14:textId="4C6371B6" w:rsidR="006C7293" w:rsidRDefault="006C7293">
          <w:pPr>
            <w:pStyle w:val="TOC2"/>
            <w:rPr>
              <w:rFonts w:asciiTheme="minorHAnsi" w:hAnsiTheme="minorHAnsi"/>
              <w:kern w:val="2"/>
              <w:szCs w:val="24"/>
              <w:lang w:eastAsia="en-NZ"/>
              <w14:ligatures w14:val="standardContextual"/>
            </w:rPr>
          </w:pPr>
          <w:hyperlink w:anchor="_Toc211306886" w:history="1">
            <w:r w:rsidRPr="00C9344D">
              <w:rPr>
                <w:rStyle w:val="Hyperlink"/>
              </w:rPr>
              <w:t>5.6</w:t>
            </w:r>
            <w:r>
              <w:rPr>
                <w:rFonts w:asciiTheme="minorHAnsi" w:hAnsiTheme="minorHAnsi"/>
                <w:kern w:val="2"/>
                <w:szCs w:val="24"/>
                <w:lang w:eastAsia="en-NZ"/>
                <w14:ligatures w14:val="standardContextual"/>
              </w:rPr>
              <w:tab/>
            </w:r>
            <w:r w:rsidRPr="00C9344D">
              <w:rPr>
                <w:rStyle w:val="Hyperlink"/>
              </w:rPr>
              <w:t>Synthesis</w:t>
            </w:r>
            <w:r>
              <w:rPr>
                <w:webHidden/>
              </w:rPr>
              <w:tab/>
            </w:r>
            <w:r>
              <w:rPr>
                <w:webHidden/>
              </w:rPr>
              <w:fldChar w:fldCharType="begin"/>
            </w:r>
            <w:r>
              <w:rPr>
                <w:webHidden/>
              </w:rPr>
              <w:instrText xml:space="preserve"> PAGEREF _Toc211306886 \h </w:instrText>
            </w:r>
            <w:r>
              <w:rPr>
                <w:webHidden/>
              </w:rPr>
            </w:r>
            <w:r>
              <w:rPr>
                <w:webHidden/>
              </w:rPr>
              <w:fldChar w:fldCharType="separate"/>
            </w:r>
            <w:r w:rsidR="00D107DA">
              <w:rPr>
                <w:webHidden/>
              </w:rPr>
              <w:t>34</w:t>
            </w:r>
            <w:r>
              <w:rPr>
                <w:webHidden/>
              </w:rPr>
              <w:fldChar w:fldCharType="end"/>
            </w:r>
          </w:hyperlink>
        </w:p>
        <w:p w14:paraId="5B4A19EC" w14:textId="2091E82B"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87" w:history="1">
            <w:r w:rsidRPr="00C9344D">
              <w:rPr>
                <w:rStyle w:val="Hyperlink"/>
              </w:rPr>
              <w:t>5.6.1</w:t>
            </w:r>
            <w:r>
              <w:rPr>
                <w:rFonts w:asciiTheme="minorHAnsi" w:hAnsiTheme="minorHAnsi" w:cstheme="minorBidi"/>
                <w:kern w:val="2"/>
                <w:szCs w:val="24"/>
                <w:lang w:eastAsia="en-NZ"/>
                <w14:ligatures w14:val="standardContextual"/>
              </w:rPr>
              <w:tab/>
            </w:r>
            <w:r w:rsidRPr="00C9344D">
              <w:rPr>
                <w:rStyle w:val="Hyperlink"/>
              </w:rPr>
              <w:t>Actionable policy bundles</w:t>
            </w:r>
            <w:r>
              <w:rPr>
                <w:webHidden/>
              </w:rPr>
              <w:tab/>
            </w:r>
            <w:r>
              <w:rPr>
                <w:webHidden/>
              </w:rPr>
              <w:fldChar w:fldCharType="begin"/>
            </w:r>
            <w:r>
              <w:rPr>
                <w:webHidden/>
              </w:rPr>
              <w:instrText xml:space="preserve"> PAGEREF _Toc211306887 \h </w:instrText>
            </w:r>
            <w:r>
              <w:rPr>
                <w:webHidden/>
              </w:rPr>
            </w:r>
            <w:r>
              <w:rPr>
                <w:webHidden/>
              </w:rPr>
              <w:fldChar w:fldCharType="separate"/>
            </w:r>
            <w:r w:rsidR="00D107DA">
              <w:rPr>
                <w:webHidden/>
              </w:rPr>
              <w:t>35</w:t>
            </w:r>
            <w:r>
              <w:rPr>
                <w:webHidden/>
              </w:rPr>
              <w:fldChar w:fldCharType="end"/>
            </w:r>
          </w:hyperlink>
        </w:p>
        <w:p w14:paraId="44D15C75" w14:textId="30760EE9"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88" w:history="1">
            <w:r w:rsidRPr="00C9344D">
              <w:rPr>
                <w:rStyle w:val="Hyperlink"/>
              </w:rPr>
              <w:t>5.6.2</w:t>
            </w:r>
            <w:r>
              <w:rPr>
                <w:rFonts w:asciiTheme="minorHAnsi" w:hAnsiTheme="minorHAnsi" w:cstheme="minorBidi"/>
                <w:kern w:val="2"/>
                <w:szCs w:val="24"/>
                <w:lang w:eastAsia="en-NZ"/>
                <w14:ligatures w14:val="standardContextual"/>
              </w:rPr>
              <w:tab/>
            </w:r>
            <w:r w:rsidRPr="00C9344D">
              <w:rPr>
                <w:rStyle w:val="Hyperlink"/>
              </w:rPr>
              <w:t>Country lens (New Zealand)</w:t>
            </w:r>
            <w:r>
              <w:rPr>
                <w:webHidden/>
              </w:rPr>
              <w:tab/>
            </w:r>
            <w:r>
              <w:rPr>
                <w:webHidden/>
              </w:rPr>
              <w:fldChar w:fldCharType="begin"/>
            </w:r>
            <w:r>
              <w:rPr>
                <w:webHidden/>
              </w:rPr>
              <w:instrText xml:space="preserve"> PAGEREF _Toc211306888 \h </w:instrText>
            </w:r>
            <w:r>
              <w:rPr>
                <w:webHidden/>
              </w:rPr>
            </w:r>
            <w:r>
              <w:rPr>
                <w:webHidden/>
              </w:rPr>
              <w:fldChar w:fldCharType="separate"/>
            </w:r>
            <w:r w:rsidR="00D107DA">
              <w:rPr>
                <w:webHidden/>
              </w:rPr>
              <w:t>35</w:t>
            </w:r>
            <w:r>
              <w:rPr>
                <w:webHidden/>
              </w:rPr>
              <w:fldChar w:fldCharType="end"/>
            </w:r>
          </w:hyperlink>
        </w:p>
        <w:p w14:paraId="2ED4D9A9" w14:textId="3A3C7159" w:rsidR="006C7293" w:rsidRDefault="006C7293">
          <w:pPr>
            <w:pStyle w:val="TOC3"/>
            <w:tabs>
              <w:tab w:val="left" w:pos="1200"/>
              <w:tab w:val="right" w:leader="dot" w:pos="9016"/>
            </w:tabs>
            <w:rPr>
              <w:rFonts w:asciiTheme="minorHAnsi" w:hAnsiTheme="minorHAnsi" w:cstheme="minorBidi"/>
              <w:kern w:val="2"/>
              <w:szCs w:val="24"/>
              <w:lang w:eastAsia="en-NZ"/>
              <w14:ligatures w14:val="standardContextual"/>
            </w:rPr>
          </w:pPr>
          <w:hyperlink w:anchor="_Toc211306889" w:history="1">
            <w:r w:rsidRPr="00C9344D">
              <w:rPr>
                <w:rStyle w:val="Hyperlink"/>
              </w:rPr>
              <w:t>5.6.3</w:t>
            </w:r>
            <w:r>
              <w:rPr>
                <w:rFonts w:asciiTheme="minorHAnsi" w:hAnsiTheme="minorHAnsi" w:cstheme="minorBidi"/>
                <w:kern w:val="2"/>
                <w:szCs w:val="24"/>
                <w:lang w:eastAsia="en-NZ"/>
                <w14:ligatures w14:val="standardContextual"/>
              </w:rPr>
              <w:tab/>
            </w:r>
            <w:r w:rsidRPr="00C9344D">
              <w:rPr>
                <w:rStyle w:val="Hyperlink"/>
              </w:rPr>
              <w:t>Overall message</w:t>
            </w:r>
            <w:r>
              <w:rPr>
                <w:webHidden/>
              </w:rPr>
              <w:tab/>
            </w:r>
            <w:r>
              <w:rPr>
                <w:webHidden/>
              </w:rPr>
              <w:fldChar w:fldCharType="begin"/>
            </w:r>
            <w:r>
              <w:rPr>
                <w:webHidden/>
              </w:rPr>
              <w:instrText xml:space="preserve"> PAGEREF _Toc211306889 \h </w:instrText>
            </w:r>
            <w:r>
              <w:rPr>
                <w:webHidden/>
              </w:rPr>
            </w:r>
            <w:r>
              <w:rPr>
                <w:webHidden/>
              </w:rPr>
              <w:fldChar w:fldCharType="separate"/>
            </w:r>
            <w:r w:rsidR="00D107DA">
              <w:rPr>
                <w:webHidden/>
              </w:rPr>
              <w:t>35</w:t>
            </w:r>
            <w:r>
              <w:rPr>
                <w:webHidden/>
              </w:rPr>
              <w:fldChar w:fldCharType="end"/>
            </w:r>
          </w:hyperlink>
        </w:p>
        <w:p w14:paraId="36AEE41D" w14:textId="7DD23B94" w:rsidR="006C7293" w:rsidRDefault="006C7293">
          <w:pPr>
            <w:pStyle w:val="TOC1"/>
            <w:rPr>
              <w:rFonts w:asciiTheme="minorHAnsi" w:hAnsiTheme="minorHAnsi"/>
              <w:kern w:val="2"/>
              <w:szCs w:val="24"/>
              <w:lang w:eastAsia="en-NZ"/>
              <w14:ligatures w14:val="standardContextual"/>
            </w:rPr>
          </w:pPr>
          <w:hyperlink w:anchor="_Toc211306890" w:history="1">
            <w:r w:rsidRPr="00C9344D">
              <w:rPr>
                <w:rStyle w:val="Hyperlink"/>
              </w:rPr>
              <w:t>6</w:t>
            </w:r>
            <w:r>
              <w:rPr>
                <w:rFonts w:asciiTheme="minorHAnsi" w:hAnsiTheme="minorHAnsi"/>
                <w:kern w:val="2"/>
                <w:szCs w:val="24"/>
                <w:lang w:eastAsia="en-NZ"/>
                <w14:ligatures w14:val="standardContextual"/>
              </w:rPr>
              <w:tab/>
            </w:r>
            <w:r w:rsidRPr="00C9344D">
              <w:rPr>
                <w:rStyle w:val="Hyperlink"/>
              </w:rPr>
              <w:t>Discussion</w:t>
            </w:r>
            <w:r>
              <w:rPr>
                <w:webHidden/>
              </w:rPr>
              <w:tab/>
            </w:r>
            <w:r>
              <w:rPr>
                <w:webHidden/>
              </w:rPr>
              <w:fldChar w:fldCharType="begin"/>
            </w:r>
            <w:r>
              <w:rPr>
                <w:webHidden/>
              </w:rPr>
              <w:instrText xml:space="preserve"> PAGEREF _Toc211306890 \h </w:instrText>
            </w:r>
            <w:r>
              <w:rPr>
                <w:webHidden/>
              </w:rPr>
            </w:r>
            <w:r>
              <w:rPr>
                <w:webHidden/>
              </w:rPr>
              <w:fldChar w:fldCharType="separate"/>
            </w:r>
            <w:r w:rsidR="00D107DA">
              <w:rPr>
                <w:webHidden/>
              </w:rPr>
              <w:t>35</w:t>
            </w:r>
            <w:r>
              <w:rPr>
                <w:webHidden/>
              </w:rPr>
              <w:fldChar w:fldCharType="end"/>
            </w:r>
          </w:hyperlink>
        </w:p>
        <w:p w14:paraId="6E71FD75" w14:textId="30D42F78" w:rsidR="006C7293" w:rsidRDefault="006C7293">
          <w:pPr>
            <w:pStyle w:val="TOC2"/>
            <w:rPr>
              <w:rFonts w:asciiTheme="minorHAnsi" w:hAnsiTheme="minorHAnsi"/>
              <w:kern w:val="2"/>
              <w:szCs w:val="24"/>
              <w:lang w:eastAsia="en-NZ"/>
              <w14:ligatures w14:val="standardContextual"/>
            </w:rPr>
          </w:pPr>
          <w:hyperlink w:anchor="_Toc211306891" w:history="1">
            <w:r w:rsidRPr="00C9344D">
              <w:rPr>
                <w:rStyle w:val="Hyperlink"/>
              </w:rPr>
              <w:t>6.1</w:t>
            </w:r>
            <w:r>
              <w:rPr>
                <w:rFonts w:asciiTheme="minorHAnsi" w:hAnsiTheme="minorHAnsi"/>
                <w:kern w:val="2"/>
                <w:szCs w:val="24"/>
                <w:lang w:eastAsia="en-NZ"/>
                <w14:ligatures w14:val="standardContextual"/>
              </w:rPr>
              <w:tab/>
            </w:r>
            <w:r w:rsidRPr="00C9344D">
              <w:rPr>
                <w:rStyle w:val="Hyperlink"/>
              </w:rPr>
              <w:t>Overview of patterns</w:t>
            </w:r>
            <w:r>
              <w:rPr>
                <w:webHidden/>
              </w:rPr>
              <w:tab/>
            </w:r>
            <w:r>
              <w:rPr>
                <w:webHidden/>
              </w:rPr>
              <w:fldChar w:fldCharType="begin"/>
            </w:r>
            <w:r>
              <w:rPr>
                <w:webHidden/>
              </w:rPr>
              <w:instrText xml:space="preserve"> PAGEREF _Toc211306891 \h </w:instrText>
            </w:r>
            <w:r>
              <w:rPr>
                <w:webHidden/>
              </w:rPr>
            </w:r>
            <w:r>
              <w:rPr>
                <w:webHidden/>
              </w:rPr>
              <w:fldChar w:fldCharType="separate"/>
            </w:r>
            <w:r w:rsidR="00D107DA">
              <w:rPr>
                <w:webHidden/>
              </w:rPr>
              <w:t>35</w:t>
            </w:r>
            <w:r>
              <w:rPr>
                <w:webHidden/>
              </w:rPr>
              <w:fldChar w:fldCharType="end"/>
            </w:r>
          </w:hyperlink>
        </w:p>
        <w:p w14:paraId="261551F0" w14:textId="1709DE33" w:rsidR="006C7293" w:rsidRDefault="006C7293">
          <w:pPr>
            <w:pStyle w:val="TOC2"/>
            <w:rPr>
              <w:rFonts w:asciiTheme="minorHAnsi" w:hAnsiTheme="minorHAnsi"/>
              <w:kern w:val="2"/>
              <w:szCs w:val="24"/>
              <w:lang w:eastAsia="en-NZ"/>
              <w14:ligatures w14:val="standardContextual"/>
            </w:rPr>
          </w:pPr>
          <w:hyperlink w:anchor="_Toc211306892" w:history="1">
            <w:r w:rsidRPr="00C9344D">
              <w:rPr>
                <w:rStyle w:val="Hyperlink"/>
              </w:rPr>
              <w:t>6.2</w:t>
            </w:r>
            <w:r>
              <w:rPr>
                <w:rFonts w:asciiTheme="minorHAnsi" w:hAnsiTheme="minorHAnsi"/>
                <w:kern w:val="2"/>
                <w:szCs w:val="24"/>
                <w:lang w:eastAsia="en-NZ"/>
                <w14:ligatures w14:val="standardContextual"/>
              </w:rPr>
              <w:tab/>
            </w:r>
            <w:r w:rsidRPr="00C9344D">
              <w:rPr>
                <w:rStyle w:val="Hyperlink"/>
              </w:rPr>
              <w:t>Policy implications</w:t>
            </w:r>
            <w:r>
              <w:rPr>
                <w:webHidden/>
              </w:rPr>
              <w:tab/>
            </w:r>
            <w:r>
              <w:rPr>
                <w:webHidden/>
              </w:rPr>
              <w:fldChar w:fldCharType="begin"/>
            </w:r>
            <w:r>
              <w:rPr>
                <w:webHidden/>
              </w:rPr>
              <w:instrText xml:space="preserve"> PAGEREF _Toc211306892 \h </w:instrText>
            </w:r>
            <w:r>
              <w:rPr>
                <w:webHidden/>
              </w:rPr>
            </w:r>
            <w:r>
              <w:rPr>
                <w:webHidden/>
              </w:rPr>
              <w:fldChar w:fldCharType="separate"/>
            </w:r>
            <w:r w:rsidR="00D107DA">
              <w:rPr>
                <w:webHidden/>
              </w:rPr>
              <w:t>36</w:t>
            </w:r>
            <w:r>
              <w:rPr>
                <w:webHidden/>
              </w:rPr>
              <w:fldChar w:fldCharType="end"/>
            </w:r>
          </w:hyperlink>
        </w:p>
        <w:p w14:paraId="1AF53556" w14:textId="77152A51" w:rsidR="006C7293" w:rsidRDefault="006C7293">
          <w:pPr>
            <w:pStyle w:val="TOC2"/>
            <w:rPr>
              <w:rFonts w:asciiTheme="minorHAnsi" w:hAnsiTheme="minorHAnsi"/>
              <w:kern w:val="2"/>
              <w:szCs w:val="24"/>
              <w:lang w:eastAsia="en-NZ"/>
              <w14:ligatures w14:val="standardContextual"/>
            </w:rPr>
          </w:pPr>
          <w:hyperlink w:anchor="_Toc211306893" w:history="1">
            <w:r w:rsidRPr="00C9344D">
              <w:rPr>
                <w:rStyle w:val="Hyperlink"/>
              </w:rPr>
              <w:t>6.3</w:t>
            </w:r>
            <w:r>
              <w:rPr>
                <w:rFonts w:asciiTheme="minorHAnsi" w:hAnsiTheme="minorHAnsi"/>
                <w:kern w:val="2"/>
                <w:szCs w:val="24"/>
                <w:lang w:eastAsia="en-NZ"/>
                <w14:ligatures w14:val="standardContextual"/>
              </w:rPr>
              <w:tab/>
            </w:r>
            <w:r w:rsidRPr="00C9344D">
              <w:rPr>
                <w:rStyle w:val="Hyperlink"/>
              </w:rPr>
              <w:t>Reading change correctly</w:t>
            </w:r>
            <w:r>
              <w:rPr>
                <w:webHidden/>
              </w:rPr>
              <w:tab/>
            </w:r>
            <w:r>
              <w:rPr>
                <w:webHidden/>
              </w:rPr>
              <w:fldChar w:fldCharType="begin"/>
            </w:r>
            <w:r>
              <w:rPr>
                <w:webHidden/>
              </w:rPr>
              <w:instrText xml:space="preserve"> PAGEREF _Toc211306893 \h </w:instrText>
            </w:r>
            <w:r>
              <w:rPr>
                <w:webHidden/>
              </w:rPr>
            </w:r>
            <w:r>
              <w:rPr>
                <w:webHidden/>
              </w:rPr>
              <w:fldChar w:fldCharType="separate"/>
            </w:r>
            <w:r w:rsidR="00D107DA">
              <w:rPr>
                <w:webHidden/>
              </w:rPr>
              <w:t>36</w:t>
            </w:r>
            <w:r>
              <w:rPr>
                <w:webHidden/>
              </w:rPr>
              <w:fldChar w:fldCharType="end"/>
            </w:r>
          </w:hyperlink>
        </w:p>
        <w:p w14:paraId="4C0BF337" w14:textId="2538164E" w:rsidR="006C7293" w:rsidRDefault="006C7293">
          <w:pPr>
            <w:pStyle w:val="TOC2"/>
            <w:rPr>
              <w:rFonts w:asciiTheme="minorHAnsi" w:hAnsiTheme="minorHAnsi"/>
              <w:kern w:val="2"/>
              <w:szCs w:val="24"/>
              <w:lang w:eastAsia="en-NZ"/>
              <w14:ligatures w14:val="standardContextual"/>
            </w:rPr>
          </w:pPr>
          <w:hyperlink w:anchor="_Toc211306894" w:history="1">
            <w:r w:rsidRPr="00C9344D">
              <w:rPr>
                <w:rStyle w:val="Hyperlink"/>
              </w:rPr>
              <w:t>6.4</w:t>
            </w:r>
            <w:r>
              <w:rPr>
                <w:rFonts w:asciiTheme="minorHAnsi" w:hAnsiTheme="minorHAnsi"/>
                <w:kern w:val="2"/>
                <w:szCs w:val="24"/>
                <w:lang w:eastAsia="en-NZ"/>
                <w14:ligatures w14:val="standardContextual"/>
              </w:rPr>
              <w:tab/>
            </w:r>
            <w:r w:rsidRPr="00C9344D">
              <w:rPr>
                <w:rStyle w:val="Hyperlink"/>
              </w:rPr>
              <w:t>Strengths and limitations</w:t>
            </w:r>
            <w:r>
              <w:rPr>
                <w:webHidden/>
              </w:rPr>
              <w:tab/>
            </w:r>
            <w:r>
              <w:rPr>
                <w:webHidden/>
              </w:rPr>
              <w:fldChar w:fldCharType="begin"/>
            </w:r>
            <w:r>
              <w:rPr>
                <w:webHidden/>
              </w:rPr>
              <w:instrText xml:space="preserve"> PAGEREF _Toc211306894 \h </w:instrText>
            </w:r>
            <w:r>
              <w:rPr>
                <w:webHidden/>
              </w:rPr>
            </w:r>
            <w:r>
              <w:rPr>
                <w:webHidden/>
              </w:rPr>
              <w:fldChar w:fldCharType="separate"/>
            </w:r>
            <w:r w:rsidR="00D107DA">
              <w:rPr>
                <w:webHidden/>
              </w:rPr>
              <w:t>36</w:t>
            </w:r>
            <w:r>
              <w:rPr>
                <w:webHidden/>
              </w:rPr>
              <w:fldChar w:fldCharType="end"/>
            </w:r>
          </w:hyperlink>
        </w:p>
        <w:p w14:paraId="017E700F" w14:textId="1F76D4EB" w:rsidR="006C7293" w:rsidRDefault="006C7293">
          <w:pPr>
            <w:pStyle w:val="TOC2"/>
            <w:rPr>
              <w:rFonts w:asciiTheme="minorHAnsi" w:hAnsiTheme="minorHAnsi"/>
              <w:kern w:val="2"/>
              <w:szCs w:val="24"/>
              <w:lang w:eastAsia="en-NZ"/>
              <w14:ligatures w14:val="standardContextual"/>
            </w:rPr>
          </w:pPr>
          <w:hyperlink w:anchor="_Toc211306895" w:history="1">
            <w:r w:rsidRPr="00C9344D">
              <w:rPr>
                <w:rStyle w:val="Hyperlink"/>
              </w:rPr>
              <w:t>6.5</w:t>
            </w:r>
            <w:r>
              <w:rPr>
                <w:rFonts w:asciiTheme="minorHAnsi" w:hAnsiTheme="minorHAnsi"/>
                <w:kern w:val="2"/>
                <w:szCs w:val="24"/>
                <w:lang w:eastAsia="en-NZ"/>
                <w14:ligatures w14:val="standardContextual"/>
              </w:rPr>
              <w:tab/>
            </w:r>
            <w:r w:rsidRPr="00C9344D">
              <w:rPr>
                <w:rStyle w:val="Hyperlink"/>
              </w:rPr>
              <w:t>Implications</w:t>
            </w:r>
            <w:r>
              <w:rPr>
                <w:webHidden/>
              </w:rPr>
              <w:tab/>
            </w:r>
            <w:r>
              <w:rPr>
                <w:webHidden/>
              </w:rPr>
              <w:fldChar w:fldCharType="begin"/>
            </w:r>
            <w:r>
              <w:rPr>
                <w:webHidden/>
              </w:rPr>
              <w:instrText xml:space="preserve"> PAGEREF _Toc211306895 \h </w:instrText>
            </w:r>
            <w:r>
              <w:rPr>
                <w:webHidden/>
              </w:rPr>
            </w:r>
            <w:r>
              <w:rPr>
                <w:webHidden/>
              </w:rPr>
              <w:fldChar w:fldCharType="separate"/>
            </w:r>
            <w:r w:rsidR="00D107DA">
              <w:rPr>
                <w:webHidden/>
              </w:rPr>
              <w:t>36</w:t>
            </w:r>
            <w:r>
              <w:rPr>
                <w:webHidden/>
              </w:rPr>
              <w:fldChar w:fldCharType="end"/>
            </w:r>
          </w:hyperlink>
        </w:p>
        <w:p w14:paraId="6A9D9237" w14:textId="346F3D81" w:rsidR="006C7293" w:rsidRDefault="006C7293">
          <w:pPr>
            <w:pStyle w:val="TOC1"/>
            <w:rPr>
              <w:rFonts w:asciiTheme="minorHAnsi" w:hAnsiTheme="minorHAnsi"/>
              <w:kern w:val="2"/>
              <w:szCs w:val="24"/>
              <w:lang w:eastAsia="en-NZ"/>
              <w14:ligatures w14:val="standardContextual"/>
            </w:rPr>
          </w:pPr>
          <w:hyperlink w:anchor="_Toc211306896" w:history="1">
            <w:r w:rsidRPr="00C9344D">
              <w:rPr>
                <w:rStyle w:val="Hyperlink"/>
              </w:rPr>
              <w:t>7</w:t>
            </w:r>
            <w:r>
              <w:rPr>
                <w:rFonts w:asciiTheme="minorHAnsi" w:hAnsiTheme="minorHAnsi"/>
                <w:kern w:val="2"/>
                <w:szCs w:val="24"/>
                <w:lang w:eastAsia="en-NZ"/>
                <w14:ligatures w14:val="standardContextual"/>
              </w:rPr>
              <w:tab/>
            </w:r>
            <w:r w:rsidRPr="00C9344D">
              <w:rPr>
                <w:rStyle w:val="Hyperlink"/>
              </w:rPr>
              <w:t>Conclusion</w:t>
            </w:r>
            <w:r>
              <w:rPr>
                <w:webHidden/>
              </w:rPr>
              <w:tab/>
            </w:r>
            <w:r>
              <w:rPr>
                <w:webHidden/>
              </w:rPr>
              <w:fldChar w:fldCharType="begin"/>
            </w:r>
            <w:r>
              <w:rPr>
                <w:webHidden/>
              </w:rPr>
              <w:instrText xml:space="preserve"> PAGEREF _Toc211306896 \h </w:instrText>
            </w:r>
            <w:r>
              <w:rPr>
                <w:webHidden/>
              </w:rPr>
            </w:r>
            <w:r>
              <w:rPr>
                <w:webHidden/>
              </w:rPr>
              <w:fldChar w:fldCharType="separate"/>
            </w:r>
            <w:r w:rsidR="00D107DA">
              <w:rPr>
                <w:webHidden/>
              </w:rPr>
              <w:t>37</w:t>
            </w:r>
            <w:r>
              <w:rPr>
                <w:webHidden/>
              </w:rPr>
              <w:fldChar w:fldCharType="end"/>
            </w:r>
          </w:hyperlink>
        </w:p>
        <w:p w14:paraId="39FF2C9C" w14:textId="0854C55D" w:rsidR="006C7293" w:rsidRDefault="006C7293">
          <w:pPr>
            <w:pStyle w:val="TOC1"/>
            <w:rPr>
              <w:rFonts w:asciiTheme="minorHAnsi" w:hAnsiTheme="minorHAnsi"/>
              <w:kern w:val="2"/>
              <w:szCs w:val="24"/>
              <w:lang w:eastAsia="en-NZ"/>
              <w14:ligatures w14:val="standardContextual"/>
            </w:rPr>
          </w:pPr>
          <w:hyperlink w:anchor="_Toc211306897" w:history="1">
            <w:r w:rsidRPr="00C9344D">
              <w:rPr>
                <w:rStyle w:val="Hyperlink"/>
              </w:rPr>
              <w:t>8</w:t>
            </w:r>
            <w:r>
              <w:rPr>
                <w:rFonts w:asciiTheme="minorHAnsi" w:hAnsiTheme="minorHAnsi"/>
                <w:kern w:val="2"/>
                <w:szCs w:val="24"/>
                <w:lang w:eastAsia="en-NZ"/>
                <w14:ligatures w14:val="standardContextual"/>
              </w:rPr>
              <w:tab/>
            </w:r>
            <w:r w:rsidRPr="00C9344D">
              <w:rPr>
                <w:rStyle w:val="Hyperlink"/>
              </w:rPr>
              <w:t>Future Work</w:t>
            </w:r>
            <w:r>
              <w:rPr>
                <w:webHidden/>
              </w:rPr>
              <w:tab/>
            </w:r>
            <w:r>
              <w:rPr>
                <w:webHidden/>
              </w:rPr>
              <w:fldChar w:fldCharType="begin"/>
            </w:r>
            <w:r>
              <w:rPr>
                <w:webHidden/>
              </w:rPr>
              <w:instrText xml:space="preserve"> PAGEREF _Toc211306897 \h </w:instrText>
            </w:r>
            <w:r>
              <w:rPr>
                <w:webHidden/>
              </w:rPr>
            </w:r>
            <w:r>
              <w:rPr>
                <w:webHidden/>
              </w:rPr>
              <w:fldChar w:fldCharType="separate"/>
            </w:r>
            <w:r w:rsidR="00D107DA">
              <w:rPr>
                <w:webHidden/>
              </w:rPr>
              <w:t>37</w:t>
            </w:r>
            <w:r>
              <w:rPr>
                <w:webHidden/>
              </w:rPr>
              <w:fldChar w:fldCharType="end"/>
            </w:r>
          </w:hyperlink>
        </w:p>
        <w:p w14:paraId="0D5F3FCE" w14:textId="02DEC10D" w:rsidR="006C7293" w:rsidRDefault="006C7293">
          <w:pPr>
            <w:pStyle w:val="TOC2"/>
            <w:rPr>
              <w:rFonts w:asciiTheme="minorHAnsi" w:hAnsiTheme="minorHAnsi"/>
              <w:kern w:val="2"/>
              <w:szCs w:val="24"/>
              <w:lang w:eastAsia="en-NZ"/>
              <w14:ligatures w14:val="standardContextual"/>
            </w:rPr>
          </w:pPr>
          <w:hyperlink w:anchor="_Toc211306898" w:history="1">
            <w:r w:rsidRPr="00C9344D">
              <w:rPr>
                <w:rStyle w:val="Hyperlink"/>
              </w:rPr>
              <w:t>8.1</w:t>
            </w:r>
            <w:r>
              <w:rPr>
                <w:rFonts w:asciiTheme="minorHAnsi" w:hAnsiTheme="minorHAnsi"/>
                <w:kern w:val="2"/>
                <w:szCs w:val="24"/>
                <w:lang w:eastAsia="en-NZ"/>
                <w14:ligatures w14:val="standardContextual"/>
              </w:rPr>
              <w:tab/>
            </w:r>
            <w:r w:rsidRPr="00C9344D">
              <w:rPr>
                <w:rStyle w:val="Hyperlink"/>
              </w:rPr>
              <w:t>GoalScope SDG Analytics Hub (Seacor, 2025)</w:t>
            </w:r>
            <w:r>
              <w:rPr>
                <w:webHidden/>
              </w:rPr>
              <w:tab/>
            </w:r>
            <w:r>
              <w:rPr>
                <w:webHidden/>
              </w:rPr>
              <w:fldChar w:fldCharType="begin"/>
            </w:r>
            <w:r>
              <w:rPr>
                <w:webHidden/>
              </w:rPr>
              <w:instrText xml:space="preserve"> PAGEREF _Toc211306898 \h </w:instrText>
            </w:r>
            <w:r>
              <w:rPr>
                <w:webHidden/>
              </w:rPr>
            </w:r>
            <w:r>
              <w:rPr>
                <w:webHidden/>
              </w:rPr>
              <w:fldChar w:fldCharType="separate"/>
            </w:r>
            <w:r w:rsidR="00D107DA">
              <w:rPr>
                <w:webHidden/>
              </w:rPr>
              <w:t>37</w:t>
            </w:r>
            <w:r>
              <w:rPr>
                <w:webHidden/>
              </w:rPr>
              <w:fldChar w:fldCharType="end"/>
            </w:r>
          </w:hyperlink>
        </w:p>
        <w:p w14:paraId="1A1F813A" w14:textId="4F8D174A" w:rsidR="006C7293" w:rsidRDefault="006C7293">
          <w:pPr>
            <w:pStyle w:val="TOC2"/>
            <w:rPr>
              <w:rFonts w:asciiTheme="minorHAnsi" w:hAnsiTheme="minorHAnsi"/>
              <w:kern w:val="2"/>
              <w:szCs w:val="24"/>
              <w:lang w:eastAsia="en-NZ"/>
              <w14:ligatures w14:val="standardContextual"/>
            </w:rPr>
          </w:pPr>
          <w:hyperlink w:anchor="_Toc211306899" w:history="1">
            <w:r w:rsidRPr="00C9344D">
              <w:rPr>
                <w:rStyle w:val="Hyperlink"/>
                <w:lang w:eastAsia="en-NZ"/>
              </w:rPr>
              <w:t>8.2</w:t>
            </w:r>
            <w:r>
              <w:rPr>
                <w:rFonts w:asciiTheme="minorHAnsi" w:hAnsiTheme="minorHAnsi"/>
                <w:kern w:val="2"/>
                <w:szCs w:val="24"/>
                <w:lang w:eastAsia="en-NZ"/>
                <w14:ligatures w14:val="standardContextual"/>
              </w:rPr>
              <w:tab/>
            </w:r>
            <w:r w:rsidRPr="00C9344D">
              <w:rPr>
                <w:rStyle w:val="Hyperlink"/>
                <w:lang w:eastAsia="en-NZ"/>
              </w:rPr>
              <w:t>SDG Predictions App (Ceka, 2025)</w:t>
            </w:r>
            <w:r>
              <w:rPr>
                <w:webHidden/>
              </w:rPr>
              <w:tab/>
            </w:r>
            <w:r>
              <w:rPr>
                <w:webHidden/>
              </w:rPr>
              <w:fldChar w:fldCharType="begin"/>
            </w:r>
            <w:r>
              <w:rPr>
                <w:webHidden/>
              </w:rPr>
              <w:instrText xml:space="preserve"> PAGEREF _Toc211306899 \h </w:instrText>
            </w:r>
            <w:r>
              <w:rPr>
                <w:webHidden/>
              </w:rPr>
            </w:r>
            <w:r>
              <w:rPr>
                <w:webHidden/>
              </w:rPr>
              <w:fldChar w:fldCharType="separate"/>
            </w:r>
            <w:r w:rsidR="00D107DA">
              <w:rPr>
                <w:webHidden/>
              </w:rPr>
              <w:t>38</w:t>
            </w:r>
            <w:r>
              <w:rPr>
                <w:webHidden/>
              </w:rPr>
              <w:fldChar w:fldCharType="end"/>
            </w:r>
          </w:hyperlink>
        </w:p>
        <w:p w14:paraId="45AD5B2C" w14:textId="490BEC14" w:rsidR="006C7293" w:rsidRDefault="006C7293">
          <w:pPr>
            <w:pStyle w:val="TOC1"/>
            <w:rPr>
              <w:rFonts w:asciiTheme="minorHAnsi" w:hAnsiTheme="minorHAnsi"/>
              <w:kern w:val="2"/>
              <w:szCs w:val="24"/>
              <w:lang w:eastAsia="en-NZ"/>
              <w14:ligatures w14:val="standardContextual"/>
            </w:rPr>
          </w:pPr>
          <w:hyperlink w:anchor="_Toc211306900" w:history="1">
            <w:r w:rsidRPr="00C9344D">
              <w:rPr>
                <w:rStyle w:val="Hyperlink"/>
              </w:rPr>
              <w:t>9</w:t>
            </w:r>
            <w:r>
              <w:rPr>
                <w:rFonts w:asciiTheme="minorHAnsi" w:hAnsiTheme="minorHAnsi"/>
                <w:kern w:val="2"/>
                <w:szCs w:val="24"/>
                <w:lang w:eastAsia="en-NZ"/>
                <w14:ligatures w14:val="standardContextual"/>
              </w:rPr>
              <w:tab/>
            </w:r>
            <w:r w:rsidRPr="00C9344D">
              <w:rPr>
                <w:rStyle w:val="Hyperlink"/>
              </w:rPr>
              <w:t>Personal learning</w:t>
            </w:r>
            <w:r>
              <w:rPr>
                <w:webHidden/>
              </w:rPr>
              <w:tab/>
            </w:r>
            <w:r>
              <w:rPr>
                <w:webHidden/>
              </w:rPr>
              <w:fldChar w:fldCharType="begin"/>
            </w:r>
            <w:r>
              <w:rPr>
                <w:webHidden/>
              </w:rPr>
              <w:instrText xml:space="preserve"> PAGEREF _Toc211306900 \h </w:instrText>
            </w:r>
            <w:r>
              <w:rPr>
                <w:webHidden/>
              </w:rPr>
            </w:r>
            <w:r>
              <w:rPr>
                <w:webHidden/>
              </w:rPr>
              <w:fldChar w:fldCharType="separate"/>
            </w:r>
            <w:r w:rsidR="00D107DA">
              <w:rPr>
                <w:webHidden/>
              </w:rPr>
              <w:t>39</w:t>
            </w:r>
            <w:r>
              <w:rPr>
                <w:webHidden/>
              </w:rPr>
              <w:fldChar w:fldCharType="end"/>
            </w:r>
          </w:hyperlink>
        </w:p>
        <w:p w14:paraId="268F7D4E" w14:textId="0492CAA4" w:rsidR="006C7293" w:rsidRDefault="006C7293">
          <w:pPr>
            <w:pStyle w:val="TOC1"/>
            <w:rPr>
              <w:rFonts w:asciiTheme="minorHAnsi" w:hAnsiTheme="minorHAnsi"/>
              <w:kern w:val="2"/>
              <w:szCs w:val="24"/>
              <w:lang w:eastAsia="en-NZ"/>
              <w14:ligatures w14:val="standardContextual"/>
            </w:rPr>
          </w:pPr>
          <w:hyperlink w:anchor="_Toc211306901" w:history="1">
            <w:r w:rsidRPr="00C9344D">
              <w:rPr>
                <w:rStyle w:val="Hyperlink"/>
              </w:rPr>
              <w:t>10</w:t>
            </w:r>
            <w:r>
              <w:rPr>
                <w:rFonts w:asciiTheme="minorHAnsi" w:hAnsiTheme="minorHAnsi"/>
                <w:kern w:val="2"/>
                <w:szCs w:val="24"/>
                <w:lang w:eastAsia="en-NZ"/>
                <w14:ligatures w14:val="standardContextual"/>
              </w:rPr>
              <w:tab/>
            </w:r>
            <w:r w:rsidRPr="00C9344D">
              <w:rPr>
                <w:rStyle w:val="Hyperlink"/>
              </w:rPr>
              <w:t>References</w:t>
            </w:r>
            <w:r>
              <w:rPr>
                <w:webHidden/>
              </w:rPr>
              <w:tab/>
            </w:r>
            <w:r>
              <w:rPr>
                <w:webHidden/>
              </w:rPr>
              <w:fldChar w:fldCharType="begin"/>
            </w:r>
            <w:r>
              <w:rPr>
                <w:webHidden/>
              </w:rPr>
              <w:instrText xml:space="preserve"> PAGEREF _Toc211306901 \h </w:instrText>
            </w:r>
            <w:r>
              <w:rPr>
                <w:webHidden/>
              </w:rPr>
            </w:r>
            <w:r>
              <w:rPr>
                <w:webHidden/>
              </w:rPr>
              <w:fldChar w:fldCharType="separate"/>
            </w:r>
            <w:r w:rsidR="00D107DA">
              <w:rPr>
                <w:webHidden/>
              </w:rPr>
              <w:t>40</w:t>
            </w:r>
            <w:r>
              <w:rPr>
                <w:webHidden/>
              </w:rPr>
              <w:fldChar w:fldCharType="end"/>
            </w:r>
          </w:hyperlink>
        </w:p>
        <w:p w14:paraId="4705AE16" w14:textId="69C6D666" w:rsidR="00634198" w:rsidRPr="00E3132F" w:rsidRDefault="00634198" w:rsidP="00E52E36">
          <w:r w:rsidRPr="00E3132F">
            <w:rPr>
              <w:b/>
              <w:bCs/>
            </w:rPr>
            <w:fldChar w:fldCharType="end"/>
          </w:r>
        </w:p>
      </w:sdtContent>
    </w:sdt>
    <w:p w14:paraId="0D106762" w14:textId="77777777" w:rsidR="001140A7" w:rsidRPr="00E3132F" w:rsidRDefault="001140A7" w:rsidP="00247B2A">
      <w:pPr>
        <w:rPr>
          <w:rFonts w:cs="Times New Roman"/>
          <w:szCs w:val="24"/>
        </w:rPr>
        <w:sectPr w:rsidR="001140A7" w:rsidRPr="00E3132F" w:rsidSect="00EE79FD">
          <w:headerReference w:type="default" r:id="rId11"/>
          <w:pgSz w:w="11906" w:h="16838" w:code="9"/>
          <w:pgMar w:top="1440" w:right="1440" w:bottom="1440" w:left="1440" w:header="720" w:footer="720" w:gutter="0"/>
          <w:pgNumType w:start="0"/>
          <w:cols w:space="720"/>
          <w:titlePg/>
          <w:docGrid w:linePitch="360"/>
        </w:sectPr>
      </w:pPr>
    </w:p>
    <w:p w14:paraId="02E38764" w14:textId="6DAF1A64" w:rsidR="002C0C34" w:rsidRPr="00E3132F" w:rsidRDefault="002C0C34" w:rsidP="00772FBE">
      <w:pPr>
        <w:pStyle w:val="Heading1"/>
        <w:rPr>
          <w:rStyle w:val="Strong"/>
          <w:b/>
          <w:bCs/>
        </w:rPr>
      </w:pPr>
      <w:bookmarkStart w:id="0" w:name="_Toc211306840"/>
      <w:r w:rsidRPr="00E3132F">
        <w:rPr>
          <w:rStyle w:val="Strong"/>
          <w:b/>
          <w:bCs/>
        </w:rPr>
        <w:lastRenderedPageBreak/>
        <w:t>Executive Summary</w:t>
      </w:r>
      <w:bookmarkEnd w:id="0"/>
    </w:p>
    <w:p w14:paraId="7BF739A7" w14:textId="780BF4DC" w:rsidR="006D4E2B" w:rsidRPr="00023E7F" w:rsidRDefault="006D4E2B" w:rsidP="00057E67">
      <w:r w:rsidRPr="00E3132F">
        <w:t>T</w:t>
      </w:r>
      <w:r w:rsidR="00023E7F" w:rsidRPr="00023E7F">
        <w:t xml:space="preserve">he 2030 Agenda spans 17 interlinked Sustainable Development Goals (SDGs) that must advance together. This project analyzes global SDG indicators to reveal the </w:t>
      </w:r>
      <w:r w:rsidR="00023E7F" w:rsidRPr="00023E7F">
        <w:rPr>
          <w:b/>
          <w:bCs/>
        </w:rPr>
        <w:t>levels, momentum, and inter-goal linkages</w:t>
      </w:r>
      <w:r w:rsidR="00023E7F" w:rsidRPr="00023E7F">
        <w:t xml:space="preserve"> that matter for policy. We combined cross-country time series with correlation/PCA-based analysis and generated </w:t>
      </w:r>
      <w:r w:rsidR="00AE001D">
        <w:t xml:space="preserve">NLP </w:t>
      </w:r>
      <w:r w:rsidR="00023E7F" w:rsidRPr="00023E7F">
        <w:t xml:space="preserve">dynamic insights to support interpretation. </w:t>
      </w:r>
      <w:r w:rsidR="00023E7F">
        <w:t xml:space="preserve"> </w:t>
      </w:r>
      <w:r w:rsidR="00023E7F" w:rsidRPr="00023E7F">
        <w:t>The outcome is</w:t>
      </w:r>
      <w:r w:rsidR="00270BE8">
        <w:t xml:space="preserve"> </w:t>
      </w:r>
      <w:r w:rsidR="00023E7F" w:rsidRPr="00023E7F">
        <w:t>an interactive analytics framework and Python module for reproducible SDG assessments</w:t>
      </w:r>
      <w:r w:rsidR="00F30211">
        <w:t xml:space="preserve"> and projections</w:t>
      </w:r>
      <w:r w:rsidR="00552975">
        <w:t>.</w:t>
      </w:r>
    </w:p>
    <w:p w14:paraId="12950EC0" w14:textId="77777777" w:rsidR="005733C5" w:rsidRDefault="006D4E2B" w:rsidP="00057E67">
      <w:pPr>
        <w:rPr>
          <w:rFonts w:cs="Times New Roman"/>
          <w:b/>
          <w:bCs/>
          <w:szCs w:val="24"/>
        </w:rPr>
      </w:pPr>
      <w:r w:rsidRPr="00E3132F">
        <w:rPr>
          <w:rFonts w:cs="Times New Roman"/>
          <w:b/>
          <w:bCs/>
          <w:szCs w:val="24"/>
        </w:rPr>
        <w:t>Key Findings:</w:t>
      </w:r>
    </w:p>
    <w:p w14:paraId="01202C21" w14:textId="2CDF6E3E" w:rsidR="005733C5" w:rsidRPr="00212E77" w:rsidRDefault="005733C5" w:rsidP="00212E77">
      <w:pPr>
        <w:pStyle w:val="ListParagraph"/>
        <w:numPr>
          <w:ilvl w:val="0"/>
          <w:numId w:val="35"/>
        </w:numPr>
        <w:rPr>
          <w:rFonts w:eastAsia="Times New Roman" w:cs="Times New Roman"/>
          <w:noProof w:val="0"/>
          <w:szCs w:val="24"/>
          <w:lang w:eastAsia="en-NZ"/>
        </w:rPr>
      </w:pPr>
      <w:r w:rsidRPr="00212E77">
        <w:rPr>
          <w:rFonts w:eastAsia="Times New Roman" w:cs="Times New Roman"/>
          <w:noProof w:val="0"/>
          <w:szCs w:val="24"/>
          <w:lang w:eastAsia="en-NZ"/>
        </w:rPr>
        <w:t xml:space="preserve">2025 global snapshot. Regions are uneven: the OECD leads (79.70), E. Europe &amp; C. Asia follow (73.71), and Africa is lowest (56.39)—a 23.31-point spread. </w:t>
      </w:r>
    </w:p>
    <w:p w14:paraId="0487F222" w14:textId="673497A3" w:rsidR="005733C5" w:rsidRPr="00212E77" w:rsidRDefault="005733C5" w:rsidP="00212E77">
      <w:pPr>
        <w:pStyle w:val="ListParagraph"/>
        <w:numPr>
          <w:ilvl w:val="0"/>
          <w:numId w:val="35"/>
        </w:numPr>
        <w:rPr>
          <w:rFonts w:eastAsia="Times New Roman" w:cs="Times New Roman"/>
          <w:noProof w:val="0"/>
          <w:szCs w:val="24"/>
          <w:lang w:eastAsia="en-NZ"/>
        </w:rPr>
      </w:pPr>
      <w:r w:rsidRPr="00212E77">
        <w:rPr>
          <w:rFonts w:eastAsia="Times New Roman" w:cs="Times New Roman"/>
          <w:noProof w:val="0"/>
          <w:szCs w:val="24"/>
          <w:lang w:eastAsia="en-NZ"/>
        </w:rPr>
        <w:t>Where the momentum came from (2015→2025)</w:t>
      </w:r>
      <w:r w:rsidR="00AA73A2">
        <w:rPr>
          <w:rFonts w:eastAsia="Times New Roman" w:cs="Times New Roman"/>
          <w:noProof w:val="0"/>
          <w:szCs w:val="24"/>
          <w:lang w:eastAsia="en-NZ"/>
        </w:rPr>
        <w:t>:</w:t>
      </w:r>
      <w:r w:rsidRPr="00212E77">
        <w:rPr>
          <w:rFonts w:eastAsia="Times New Roman" w:cs="Times New Roman"/>
          <w:noProof w:val="0"/>
          <w:szCs w:val="24"/>
          <w:lang w:eastAsia="en-NZ"/>
        </w:rPr>
        <w:t xml:space="preserve"> The largest lift is SDG 9 (+25.84%), </w:t>
      </w:r>
      <w:r w:rsidR="005D47EC">
        <w:rPr>
          <w:rFonts w:eastAsia="Times New Roman" w:cs="Times New Roman"/>
          <w:noProof w:val="0"/>
          <w:szCs w:val="24"/>
          <w:lang w:eastAsia="en-NZ"/>
        </w:rPr>
        <w:t>SDG 12 has the strongest negative link to SDG 9 (</w:t>
      </w:r>
      <w:r w:rsidR="000748F5">
        <w:rPr>
          <w:rFonts w:eastAsia="Times New Roman" w:cs="Times New Roman"/>
          <w:noProof w:val="0"/>
          <w:szCs w:val="24"/>
          <w:lang w:eastAsia="en-NZ"/>
        </w:rPr>
        <w:t>r=-0.85)</w:t>
      </w:r>
      <w:r w:rsidRPr="00212E77">
        <w:rPr>
          <w:rFonts w:eastAsia="Times New Roman" w:cs="Times New Roman"/>
          <w:noProof w:val="0"/>
          <w:szCs w:val="24"/>
          <w:lang w:eastAsia="en-NZ"/>
        </w:rPr>
        <w:t xml:space="preserve">; SDG 16 </w:t>
      </w:r>
      <w:r w:rsidR="000D6151">
        <w:rPr>
          <w:rFonts w:eastAsia="Times New Roman" w:cs="Times New Roman"/>
          <w:noProof w:val="0"/>
          <w:szCs w:val="24"/>
          <w:lang w:eastAsia="en-NZ"/>
        </w:rPr>
        <w:t xml:space="preserve">has </w:t>
      </w:r>
      <w:r w:rsidR="00860B4B">
        <w:rPr>
          <w:rFonts w:eastAsia="Times New Roman" w:cs="Times New Roman"/>
          <w:noProof w:val="0"/>
          <w:szCs w:val="24"/>
          <w:lang w:eastAsia="en-NZ"/>
        </w:rPr>
        <w:t xml:space="preserve">the </w:t>
      </w:r>
      <w:r w:rsidR="000D6151">
        <w:rPr>
          <w:rFonts w:eastAsia="Times New Roman" w:cs="Times New Roman"/>
          <w:noProof w:val="0"/>
          <w:szCs w:val="24"/>
          <w:lang w:eastAsia="en-NZ"/>
        </w:rPr>
        <w:t>most decline</w:t>
      </w:r>
      <w:r w:rsidRPr="00212E77">
        <w:rPr>
          <w:rFonts w:eastAsia="Times New Roman" w:cs="Times New Roman"/>
          <w:noProof w:val="0"/>
          <w:szCs w:val="24"/>
          <w:lang w:eastAsia="en-NZ"/>
        </w:rPr>
        <w:t xml:space="preserve"> (−4.80%). </w:t>
      </w:r>
    </w:p>
    <w:p w14:paraId="0FC4B0D6" w14:textId="4C24DDEB" w:rsidR="005733C5" w:rsidRPr="00212E77" w:rsidRDefault="005733C5" w:rsidP="00212E77">
      <w:pPr>
        <w:pStyle w:val="ListParagraph"/>
        <w:numPr>
          <w:ilvl w:val="0"/>
          <w:numId w:val="35"/>
        </w:numPr>
        <w:rPr>
          <w:rFonts w:eastAsia="Times New Roman" w:cs="Times New Roman"/>
          <w:noProof w:val="0"/>
          <w:szCs w:val="24"/>
          <w:lang w:eastAsia="en-NZ"/>
        </w:rPr>
      </w:pPr>
      <w:r w:rsidRPr="00212E77">
        <w:rPr>
          <w:rFonts w:eastAsia="Times New Roman" w:cs="Times New Roman"/>
          <w:noProof w:val="0"/>
          <w:szCs w:val="24"/>
          <w:lang w:eastAsia="en-NZ"/>
        </w:rPr>
        <w:t xml:space="preserve">OECD profile. Within the OECD, SDG 16 (−3.16%) and SDG 2 (−2.19%) fall over the decade; movement elsewhere is modest, led by SDG 9/5/17. </w:t>
      </w:r>
    </w:p>
    <w:p w14:paraId="08A9E35D" w14:textId="404A503A" w:rsidR="005733C5" w:rsidRPr="00212E77" w:rsidRDefault="00156FDF" w:rsidP="00212E77">
      <w:pPr>
        <w:pStyle w:val="ListParagraph"/>
        <w:numPr>
          <w:ilvl w:val="0"/>
          <w:numId w:val="35"/>
        </w:numPr>
        <w:rPr>
          <w:rFonts w:eastAsia="Times New Roman" w:cs="Times New Roman"/>
          <w:noProof w:val="0"/>
          <w:szCs w:val="24"/>
          <w:lang w:eastAsia="en-NZ"/>
        </w:rPr>
      </w:pPr>
      <w:r>
        <w:rPr>
          <w:rFonts w:eastAsia="Times New Roman" w:cs="Times New Roman"/>
          <w:noProof w:val="0"/>
          <w:szCs w:val="24"/>
          <w:lang w:eastAsia="en-NZ"/>
        </w:rPr>
        <w:t>New Zealand’s performance is imbalanced: a huge portion of its shortfall comes from environmental goals.</w:t>
      </w:r>
    </w:p>
    <w:p w14:paraId="7CFC2483" w14:textId="6680B366" w:rsidR="005733C5" w:rsidRPr="00212E77" w:rsidRDefault="005733C5" w:rsidP="00212E77">
      <w:pPr>
        <w:pStyle w:val="ListParagraph"/>
        <w:numPr>
          <w:ilvl w:val="0"/>
          <w:numId w:val="35"/>
        </w:numPr>
        <w:rPr>
          <w:rFonts w:eastAsia="Times New Roman" w:cs="Times New Roman"/>
          <w:noProof w:val="0"/>
          <w:szCs w:val="24"/>
          <w:lang w:eastAsia="en-NZ"/>
        </w:rPr>
      </w:pPr>
      <w:r w:rsidRPr="00212E77">
        <w:rPr>
          <w:rFonts w:eastAsia="Times New Roman" w:cs="Times New Roman"/>
          <w:noProof w:val="0"/>
          <w:szCs w:val="24"/>
          <w:lang w:eastAsia="en-NZ"/>
        </w:rPr>
        <w:t xml:space="preserve">Africa: level vs momentum. Despite the lowest average, Africa shows leaders above the median and an “emerging” band rising quickly (e.g., Benin +17.6%, Guinea-Bissau +15.5%, Togo +14.5%). </w:t>
      </w:r>
    </w:p>
    <w:p w14:paraId="70A093B3" w14:textId="60B20BB4" w:rsidR="005733C5" w:rsidRPr="00212E77" w:rsidRDefault="005733C5" w:rsidP="00212E77">
      <w:pPr>
        <w:pStyle w:val="ListParagraph"/>
        <w:numPr>
          <w:ilvl w:val="0"/>
          <w:numId w:val="35"/>
        </w:numPr>
        <w:rPr>
          <w:rFonts w:eastAsia="Times New Roman" w:cs="Times New Roman"/>
          <w:noProof w:val="0"/>
          <w:szCs w:val="24"/>
          <w:lang w:eastAsia="en-NZ"/>
        </w:rPr>
      </w:pPr>
      <w:r w:rsidRPr="00212E77">
        <w:rPr>
          <w:rFonts w:eastAsia="Times New Roman" w:cs="Times New Roman"/>
          <w:noProof w:val="0"/>
          <w:szCs w:val="24"/>
          <w:lang w:eastAsia="en-NZ"/>
        </w:rPr>
        <w:t xml:space="preserve">Inter-goal links &amp; trade-offs. The SDG system forms a dense socio-economic core (hubs: SDGs 3, 9, 4, 6, 1). The sharpest trade-offs </w:t>
      </w:r>
      <w:r w:rsidR="00316BE9" w:rsidRPr="00212E77">
        <w:rPr>
          <w:rFonts w:eastAsia="Times New Roman" w:cs="Times New Roman"/>
          <w:noProof w:val="0"/>
          <w:szCs w:val="24"/>
          <w:lang w:eastAsia="en-NZ"/>
        </w:rPr>
        <w:t>centre</w:t>
      </w:r>
      <w:r w:rsidRPr="00212E77">
        <w:rPr>
          <w:rFonts w:eastAsia="Times New Roman" w:cs="Times New Roman"/>
          <w:noProof w:val="0"/>
          <w:szCs w:val="24"/>
          <w:lang w:eastAsia="en-NZ"/>
        </w:rPr>
        <w:t xml:space="preserve"> on SDG 12, including 12–9 (r=−0.85), 12–3 (r=−0.80), 12–16 (r=−0.80). </w:t>
      </w:r>
    </w:p>
    <w:p w14:paraId="189CD65F" w14:textId="2882B99C" w:rsidR="005D696E" w:rsidRPr="005D696E" w:rsidRDefault="005D696E" w:rsidP="005D696E">
      <w:pPr>
        <w:rPr>
          <w:b/>
          <w:bCs/>
          <w:noProof w:val="0"/>
          <w:sz w:val="36"/>
        </w:rPr>
      </w:pPr>
      <w:r w:rsidRPr="005D696E">
        <w:rPr>
          <w:b/>
          <w:bCs/>
        </w:rPr>
        <w:t>Implications:</w:t>
      </w:r>
    </w:p>
    <w:p w14:paraId="53D8AFB6" w14:textId="77777777" w:rsidR="005D696E" w:rsidRPr="005D696E" w:rsidRDefault="005D696E" w:rsidP="005D696E">
      <w:r w:rsidRPr="005D696E">
        <w:t>Priorities differ by context. For high performers (e.g., OECD), marginal gains come from circular economy and nature-positive investment (SDGs 12, 14–15, 2/17 as enablers). For lower-income contexts, closing foundational gaps (SDGs 1–6, 10) unlocks system-wide progress, while selectively scaling innovation and infrastructure (SDG 9) sustains momentum. Together, GoalScope’s evidence and tooling provide a practical basis for targeted, non-piecemeal progress to 2030.</w:t>
      </w:r>
    </w:p>
    <w:p w14:paraId="3D5E9BFB" w14:textId="77777777" w:rsidR="0068556D" w:rsidRPr="00E3132F" w:rsidRDefault="0068556D" w:rsidP="00772FBE">
      <w:pPr>
        <w:pStyle w:val="Heading1"/>
      </w:pPr>
      <w:bookmarkStart w:id="1" w:name="_Toc211306841"/>
      <w:r w:rsidRPr="00E3132F">
        <w:lastRenderedPageBreak/>
        <w:t>Introduction</w:t>
      </w:r>
      <w:bookmarkEnd w:id="1"/>
    </w:p>
    <w:p w14:paraId="30669850" w14:textId="6A951DAC" w:rsidR="00660F2B" w:rsidRPr="00E3132F" w:rsidRDefault="004C0274" w:rsidP="00407CEB">
      <w:pPr>
        <w:rPr>
          <w:rFonts w:cs="Times New Roman"/>
          <w:szCs w:val="24"/>
        </w:rPr>
      </w:pPr>
      <w:r w:rsidRPr="00E3132F">
        <w:rPr>
          <w:rFonts w:cs="Times New Roman"/>
          <w:szCs w:val="24"/>
        </w:rPr>
        <w:t>T</w:t>
      </w:r>
      <w:r w:rsidR="00876855">
        <w:rPr>
          <w:rFonts w:cs="Times New Roman"/>
          <w:szCs w:val="24"/>
        </w:rPr>
        <w:t>he SDG</w:t>
      </w:r>
      <w:r w:rsidRPr="001D6434">
        <w:rPr>
          <w:rFonts w:cs="Times New Roman"/>
          <w:szCs w:val="24"/>
        </w:rPr>
        <w:t xml:space="preserve"> progress must be coordinated because advances in one area can amplify—or undermine—others. That principle of indivisibility and the risk of trade-offs motivate transparent measurement and analysis to guide policy </w:t>
      </w:r>
      <w:r w:rsidRPr="002A2E9C">
        <w:rPr>
          <w:rFonts w:cs="Times New Roman"/>
          <w:szCs w:val="24"/>
        </w:rPr>
        <w:t>design (e.g., International Council for Science, 2017; Breuer et al., 2022; Niklasson, 2019; Barbier &amp; Burgess, 2021).</w:t>
      </w:r>
      <w:r w:rsidRPr="001D6434">
        <w:rPr>
          <w:rFonts w:cs="Times New Roman"/>
          <w:szCs w:val="24"/>
        </w:rPr>
        <w:t xml:space="preserve"> </w:t>
      </w:r>
      <w:r w:rsidR="00407CEB" w:rsidRPr="001D6434">
        <w:rPr>
          <w:rFonts w:cs="Times New Roman"/>
          <w:szCs w:val="24"/>
        </w:rPr>
        <w:t>This project contributes a reproducible, data-driven workflow and an interactive application—GoalScope—that converts authoritative, open SDG data into decision-ready evidence</w:t>
      </w:r>
      <w:r w:rsidR="00C5126D" w:rsidRPr="001D6434">
        <w:rPr>
          <w:rFonts w:cs="Times New Roman"/>
          <w:szCs w:val="24"/>
        </w:rPr>
        <w:t xml:space="preserve"> and a separate Streamlit SDG Predictions App dedicated to short horizon predictions</w:t>
      </w:r>
      <w:r w:rsidR="00407CEB" w:rsidRPr="001D6434">
        <w:rPr>
          <w:rFonts w:cs="Times New Roman"/>
          <w:szCs w:val="24"/>
        </w:rPr>
        <w:t xml:space="preserve">. GoalScope is a Streamlit front-end over a reusable Python module that performs all data acquisition, cleaning, and analytics. All </w:t>
      </w:r>
      <w:r w:rsidR="00386A88">
        <w:rPr>
          <w:rFonts w:cs="Times New Roman"/>
          <w:szCs w:val="24"/>
        </w:rPr>
        <w:t xml:space="preserve">data analysis </w:t>
      </w:r>
      <w:r w:rsidR="00407CEB" w:rsidRPr="001D6434">
        <w:rPr>
          <w:rFonts w:cs="Times New Roman"/>
          <w:szCs w:val="24"/>
        </w:rPr>
        <w:t>figures and plots in this report were generated directly by GoalScope, ensuring results are reproducible from the same code and data version.</w:t>
      </w:r>
      <w:r w:rsidR="00CD72E3">
        <w:rPr>
          <w:rFonts w:cs="Times New Roman"/>
          <w:szCs w:val="24"/>
        </w:rPr>
        <w:t xml:space="preserve"> </w:t>
      </w:r>
      <w:r w:rsidR="00407CEB" w:rsidRPr="001D6434">
        <w:rPr>
          <w:rFonts w:cs="Times New Roman"/>
          <w:szCs w:val="24"/>
        </w:rPr>
        <w:t>Data is programmatically sourced</w:t>
      </w:r>
      <w:r w:rsidR="001E63A8" w:rsidRPr="001D6434">
        <w:rPr>
          <w:rFonts w:cs="Times New Roman"/>
          <w:szCs w:val="24"/>
        </w:rPr>
        <w:t xml:space="preserve"> via API</w:t>
      </w:r>
      <w:r w:rsidR="00407CEB" w:rsidRPr="001D6434">
        <w:rPr>
          <w:rFonts w:cs="Times New Roman"/>
          <w:szCs w:val="24"/>
        </w:rPr>
        <w:t xml:space="preserve"> from two authoritative feeds: UN SDG endpoints and Sustainable Development Report (SDR) ArcGIS layers. The resulting</w:t>
      </w:r>
      <w:r w:rsidR="00407CEB" w:rsidRPr="00E3132F">
        <w:rPr>
          <w:rFonts w:cs="Times New Roman"/>
          <w:szCs w:val="24"/>
        </w:rPr>
        <w:t xml:space="preserve"> clean datasets, maintained on the familiar 0–100 index scale, underpin all ranking, timeline, correlation, and short-horizon projection views presented here.</w:t>
      </w:r>
    </w:p>
    <w:p w14:paraId="323720D9" w14:textId="77777777" w:rsidR="00F56605" w:rsidRPr="00E3132F" w:rsidRDefault="00F56605" w:rsidP="0027214A">
      <w:pPr>
        <w:pStyle w:val="Heading2"/>
      </w:pPr>
      <w:bookmarkStart w:id="2" w:name="_Toc211306842"/>
      <w:r w:rsidRPr="00E3132F">
        <w:t>Project objectives</w:t>
      </w:r>
      <w:bookmarkEnd w:id="2"/>
    </w:p>
    <w:p w14:paraId="07F3E187" w14:textId="77777777" w:rsidR="00F56605" w:rsidRPr="00E3132F" w:rsidRDefault="00F56605" w:rsidP="00F56605">
      <w:pPr>
        <w:rPr>
          <w:lang w:eastAsia="en-NZ"/>
        </w:rPr>
      </w:pPr>
      <w:r w:rsidRPr="00E3132F">
        <w:rPr>
          <w:lang w:eastAsia="en-NZ"/>
        </w:rPr>
        <w:t>The core project objectives were to:</w:t>
      </w:r>
    </w:p>
    <w:p w14:paraId="321FB077" w14:textId="77777777" w:rsidR="00F56605" w:rsidRPr="00E3132F" w:rsidRDefault="00F56605" w:rsidP="002A55AB">
      <w:pPr>
        <w:pStyle w:val="ListParagraph"/>
        <w:numPr>
          <w:ilvl w:val="0"/>
          <w:numId w:val="17"/>
        </w:numPr>
        <w:rPr>
          <w:lang w:eastAsia="en-NZ"/>
        </w:rPr>
      </w:pPr>
      <w:r w:rsidRPr="00E3132F">
        <w:rPr>
          <w:lang w:eastAsia="en-NZ"/>
        </w:rPr>
        <w:t>Build a clean, auditable SDG dataset and lookup table suitable for advanced analysis.</w:t>
      </w:r>
    </w:p>
    <w:p w14:paraId="04C19675" w14:textId="77777777" w:rsidR="00F56605" w:rsidRPr="00E3132F" w:rsidRDefault="00F56605" w:rsidP="002A55AB">
      <w:pPr>
        <w:pStyle w:val="ListParagraph"/>
        <w:numPr>
          <w:ilvl w:val="0"/>
          <w:numId w:val="17"/>
        </w:numPr>
        <w:rPr>
          <w:lang w:eastAsia="en-NZ"/>
        </w:rPr>
      </w:pPr>
      <w:r w:rsidRPr="00E3132F">
        <w:rPr>
          <w:lang w:eastAsia="en-NZ"/>
        </w:rPr>
        <w:t>Implement robust visual analytics routines, including ranking, timelines, correlations, and short-term projections.</w:t>
      </w:r>
    </w:p>
    <w:p w14:paraId="11B5B616" w14:textId="77777777" w:rsidR="00F56605" w:rsidRPr="00E3132F" w:rsidRDefault="00F56605" w:rsidP="002A55AB">
      <w:pPr>
        <w:pStyle w:val="ListParagraph"/>
        <w:numPr>
          <w:ilvl w:val="0"/>
          <w:numId w:val="17"/>
        </w:numPr>
        <w:rPr>
          <w:lang w:eastAsia="en-NZ"/>
        </w:rPr>
      </w:pPr>
      <w:r w:rsidRPr="00E3132F">
        <w:rPr>
          <w:lang w:eastAsia="en-NZ"/>
        </w:rPr>
        <w:t>Compare index-based change metrics with the world-raw change methods common in academic literature.</w:t>
      </w:r>
    </w:p>
    <w:p w14:paraId="03172A96" w14:textId="77777777" w:rsidR="00F56605" w:rsidRPr="00E3132F" w:rsidRDefault="00F56605" w:rsidP="002A55AB">
      <w:pPr>
        <w:pStyle w:val="ListParagraph"/>
        <w:numPr>
          <w:ilvl w:val="0"/>
          <w:numId w:val="17"/>
        </w:numPr>
        <w:rPr>
          <w:lang w:eastAsia="en-NZ"/>
        </w:rPr>
      </w:pPr>
      <w:r w:rsidRPr="00E3132F">
        <w:rPr>
          <w:lang w:eastAsia="en-NZ"/>
        </w:rPr>
        <w:t>Produce the application for interactive data exploration and reporting with NLP and forecasting features.</w:t>
      </w:r>
    </w:p>
    <w:p w14:paraId="2A902965" w14:textId="462BCA7C" w:rsidR="00F56605" w:rsidRDefault="00F56605" w:rsidP="002A55AB">
      <w:pPr>
        <w:pStyle w:val="ListParagraph"/>
        <w:numPr>
          <w:ilvl w:val="0"/>
          <w:numId w:val="17"/>
        </w:numPr>
        <w:rPr>
          <w:lang w:eastAsia="en-NZ"/>
        </w:rPr>
      </w:pPr>
      <w:r w:rsidRPr="00E3132F">
        <w:rPr>
          <w:lang w:eastAsia="en-NZ"/>
        </w:rPr>
        <w:t>Document the data feeds, methodologies, and limitations clearly.</w:t>
      </w:r>
    </w:p>
    <w:p w14:paraId="542EE15A" w14:textId="77777777" w:rsidR="00551B36" w:rsidRPr="00E3132F" w:rsidRDefault="00551B36" w:rsidP="0027214A">
      <w:pPr>
        <w:pStyle w:val="Heading2"/>
      </w:pPr>
      <w:bookmarkStart w:id="3" w:name="_Toc211306843"/>
      <w:r w:rsidRPr="00E3132F">
        <w:t>Research Questions</w:t>
      </w:r>
      <w:bookmarkEnd w:id="3"/>
    </w:p>
    <w:p w14:paraId="2B3F5EFE" w14:textId="1F872A8D" w:rsidR="00A276E6" w:rsidRPr="00E3132F" w:rsidRDefault="00A276E6" w:rsidP="00A276E6">
      <w:r w:rsidRPr="00E3132F">
        <w:t>This study is organised into five linked research branches. Each branch frames a set of focused sub-questions that are answered in the Findings (Sections 5.1–5.5) using the corresponding GoalScope analytic views.</w:t>
      </w:r>
    </w:p>
    <w:p w14:paraId="392C03FA" w14:textId="77777777" w:rsidR="00A276E6" w:rsidRPr="00A276E6" w:rsidRDefault="00A276E6" w:rsidP="00A276E6">
      <w:pPr>
        <w:numPr>
          <w:ilvl w:val="0"/>
          <w:numId w:val="25"/>
        </w:numPr>
        <w:rPr>
          <w:rFonts w:cs="Times New Roman"/>
          <w:szCs w:val="24"/>
        </w:rPr>
      </w:pPr>
      <w:r w:rsidRPr="00A276E6">
        <w:rPr>
          <w:rFonts w:cs="Times New Roman"/>
          <w:szCs w:val="24"/>
        </w:rPr>
        <w:t>2025 Snapshot — Who leads/lags by region, country and goal?</w:t>
      </w:r>
    </w:p>
    <w:p w14:paraId="68A16629" w14:textId="77777777" w:rsidR="00A276E6" w:rsidRPr="00A276E6" w:rsidRDefault="00A276E6" w:rsidP="00A276E6">
      <w:pPr>
        <w:numPr>
          <w:ilvl w:val="0"/>
          <w:numId w:val="25"/>
        </w:numPr>
        <w:rPr>
          <w:rFonts w:cs="Times New Roman"/>
          <w:szCs w:val="24"/>
        </w:rPr>
      </w:pPr>
      <w:r w:rsidRPr="00A276E6">
        <w:rPr>
          <w:rFonts w:cs="Times New Roman"/>
          <w:szCs w:val="24"/>
        </w:rPr>
        <w:lastRenderedPageBreak/>
        <w:t>Change &amp; Momentum — How fast did scores move from 2015–2025, and where are the stalls or declines?</w:t>
      </w:r>
    </w:p>
    <w:p w14:paraId="12D912A8" w14:textId="77777777" w:rsidR="00A276E6" w:rsidRPr="00A276E6" w:rsidRDefault="00A276E6" w:rsidP="00A276E6">
      <w:pPr>
        <w:numPr>
          <w:ilvl w:val="0"/>
          <w:numId w:val="25"/>
        </w:numPr>
        <w:rPr>
          <w:rFonts w:cs="Times New Roman"/>
          <w:szCs w:val="24"/>
        </w:rPr>
      </w:pPr>
      <w:r w:rsidRPr="00A276E6">
        <w:rPr>
          <w:rFonts w:cs="Times New Roman"/>
          <w:szCs w:val="24"/>
        </w:rPr>
        <w:t>Regional Gaps &amp; Dispersion — How wide are within-region differences (e.g., Africa) and which patterns matter?</w:t>
      </w:r>
    </w:p>
    <w:p w14:paraId="2CAD6FC1" w14:textId="77777777" w:rsidR="00A276E6" w:rsidRPr="00A276E6" w:rsidRDefault="00A276E6" w:rsidP="00A276E6">
      <w:pPr>
        <w:numPr>
          <w:ilvl w:val="0"/>
          <w:numId w:val="25"/>
        </w:numPr>
        <w:rPr>
          <w:rFonts w:cs="Times New Roman"/>
          <w:szCs w:val="24"/>
        </w:rPr>
      </w:pPr>
      <w:r w:rsidRPr="00A276E6">
        <w:rPr>
          <w:rFonts w:cs="Times New Roman"/>
          <w:szCs w:val="24"/>
        </w:rPr>
        <w:t>Inter-Goal Structure — Where are the synergies and trade-offs among goals (correlations, network, PCA)?</w:t>
      </w:r>
    </w:p>
    <w:p w14:paraId="14A505D9" w14:textId="77777777" w:rsidR="00A276E6" w:rsidRPr="00A276E6" w:rsidRDefault="00A276E6" w:rsidP="00A276E6">
      <w:pPr>
        <w:numPr>
          <w:ilvl w:val="0"/>
          <w:numId w:val="25"/>
        </w:numPr>
        <w:rPr>
          <w:rFonts w:cs="Times New Roman"/>
          <w:szCs w:val="24"/>
        </w:rPr>
      </w:pPr>
      <w:r w:rsidRPr="00A276E6">
        <w:rPr>
          <w:rFonts w:cs="Times New Roman"/>
          <w:szCs w:val="24"/>
        </w:rPr>
        <w:t>Focused New Zealand Assessment — Where NZ stands, what lags, and which cross-goal linkages explain the gaps.</w:t>
      </w:r>
    </w:p>
    <w:p w14:paraId="08ABE45B" w14:textId="19DE1B4B" w:rsidR="00551B36" w:rsidRPr="00E3132F" w:rsidRDefault="00551B36" w:rsidP="00A276E6">
      <w:r w:rsidRPr="00E3132F">
        <w:t>Each question is paired with an analytic view in the GoalScope application, allowing the reader to trace findings back to the underlying methods and data. In essence, this report is a working showcase of the GoalScope system: a compact, auditable system that delivers consistent visual answers to SDG questions across all levels (world, region, country) and all 17 goals</w:t>
      </w:r>
      <w:r w:rsidR="00972AEF" w:rsidRPr="00E3132F">
        <w:t>.</w:t>
      </w:r>
    </w:p>
    <w:p w14:paraId="7F271F6D" w14:textId="336AB087" w:rsidR="001E49A3" w:rsidRPr="00E3132F" w:rsidRDefault="001E49A3" w:rsidP="0027214A">
      <w:pPr>
        <w:pStyle w:val="Heading2"/>
      </w:pPr>
      <w:bookmarkStart w:id="4" w:name="_Toc211306844"/>
      <w:r w:rsidRPr="00E3132F">
        <w:t>Purpose and audience</w:t>
      </w:r>
      <w:bookmarkEnd w:id="4"/>
    </w:p>
    <w:p w14:paraId="2985FAE3" w14:textId="11BFE2D0" w:rsidR="0002163F" w:rsidRPr="00E3132F" w:rsidRDefault="006F39FB" w:rsidP="00393F59">
      <w:pPr>
        <w:rPr>
          <w:rFonts w:cs="Times New Roman"/>
          <w:szCs w:val="24"/>
        </w:rPr>
      </w:pPr>
      <w:r w:rsidRPr="00E3132F">
        <w:rPr>
          <w:rFonts w:cs="Times New Roman"/>
          <w:szCs w:val="24"/>
        </w:rPr>
        <w:t>The</w:t>
      </w:r>
      <w:r w:rsidR="00DF7704" w:rsidRPr="00E3132F">
        <w:rPr>
          <w:rFonts w:cs="Times New Roman"/>
          <w:szCs w:val="24"/>
        </w:rPr>
        <w:t xml:space="preserve"> core purpose of analyzing Sustainable Development Goal (SDG) correlations and regional trends is to advance coherent and integrated decision-making by systematically uncovering the complex interdependencies, particularly identifying synergies and trade-offs, among the goals</w:t>
      </w:r>
      <w:r w:rsidRPr="00E3132F">
        <w:rPr>
          <w:rFonts w:cs="Times New Roman"/>
          <w:szCs w:val="24"/>
        </w:rPr>
        <w:t xml:space="preserve"> (Breuer et al., 2022)</w:t>
      </w:r>
      <w:r w:rsidR="008C7831" w:rsidRPr="00E3132F">
        <w:rPr>
          <w:rFonts w:cs="Times New Roman"/>
          <w:szCs w:val="24"/>
        </w:rPr>
        <w:t xml:space="preserve">. </w:t>
      </w:r>
      <w:r w:rsidR="00DF7704" w:rsidRPr="00E3132F">
        <w:rPr>
          <w:rFonts w:cs="Times New Roman"/>
          <w:szCs w:val="24"/>
        </w:rPr>
        <w:t>This analysis translates complex scientific evidence into actionable insights used by institutions to set priorities, effectively allocate resources, and develop streamlined policies across the economic, social, and environmental dimension.</w:t>
      </w:r>
    </w:p>
    <w:p w14:paraId="13F6B2B4" w14:textId="0ABD003D" w:rsidR="0002163F" w:rsidRPr="008949AD" w:rsidRDefault="0002163F" w:rsidP="0002163F">
      <w:pPr>
        <w:rPr>
          <w:rFonts w:cs="Times New Roman"/>
          <w:b/>
          <w:bCs/>
          <w:szCs w:val="24"/>
        </w:rPr>
      </w:pPr>
      <w:r w:rsidRPr="008949AD">
        <w:rPr>
          <w:rFonts w:cs="Times New Roman"/>
          <w:b/>
          <w:bCs/>
          <w:szCs w:val="24"/>
        </w:rPr>
        <w:t xml:space="preserve">The extensive audience for </w:t>
      </w:r>
      <w:r w:rsidR="007A63E4" w:rsidRPr="008949AD">
        <w:rPr>
          <w:rFonts w:cs="Times New Roman"/>
          <w:b/>
          <w:bCs/>
          <w:szCs w:val="24"/>
        </w:rPr>
        <w:t>this project</w:t>
      </w:r>
      <w:r w:rsidRPr="008949AD">
        <w:rPr>
          <w:rFonts w:cs="Times New Roman"/>
          <w:b/>
          <w:bCs/>
          <w:szCs w:val="24"/>
        </w:rPr>
        <w:t xml:space="preserve"> includes:</w:t>
      </w:r>
    </w:p>
    <w:p w14:paraId="7A326DDE" w14:textId="77777777" w:rsidR="0002163F" w:rsidRPr="00E3132F" w:rsidRDefault="0002163F" w:rsidP="002A55AB">
      <w:pPr>
        <w:numPr>
          <w:ilvl w:val="0"/>
          <w:numId w:val="18"/>
        </w:numPr>
        <w:rPr>
          <w:rFonts w:cs="Times New Roman"/>
          <w:szCs w:val="24"/>
        </w:rPr>
      </w:pPr>
      <w:r w:rsidRPr="00E3132F">
        <w:rPr>
          <w:rFonts w:cs="Times New Roman"/>
          <w:szCs w:val="24"/>
        </w:rPr>
        <w:t>Policymakers and Government Entities: Who rely on the data for policy design, implementation, and accountability enhancement.</w:t>
      </w:r>
    </w:p>
    <w:p w14:paraId="7BADCC9D" w14:textId="77777777" w:rsidR="0002163F" w:rsidRPr="00E3132F" w:rsidRDefault="0002163F" w:rsidP="002A55AB">
      <w:pPr>
        <w:numPr>
          <w:ilvl w:val="0"/>
          <w:numId w:val="18"/>
        </w:numPr>
        <w:rPr>
          <w:rFonts w:cs="Times New Roman"/>
          <w:szCs w:val="24"/>
        </w:rPr>
      </w:pPr>
      <w:r w:rsidRPr="00E3132F">
        <w:rPr>
          <w:rFonts w:cs="Times New Roman"/>
          <w:szCs w:val="24"/>
        </w:rPr>
        <w:t>Researchers and Academics: Who utilize the analysis for advancing conceptual models and assessing various SDG methodologies.</w:t>
      </w:r>
    </w:p>
    <w:p w14:paraId="558FA3B0" w14:textId="77777777" w:rsidR="0002163F" w:rsidRPr="00E3132F" w:rsidRDefault="0002163F" w:rsidP="002A55AB">
      <w:pPr>
        <w:numPr>
          <w:ilvl w:val="0"/>
          <w:numId w:val="18"/>
        </w:numPr>
        <w:rPr>
          <w:rFonts w:cs="Times New Roman"/>
          <w:szCs w:val="24"/>
        </w:rPr>
      </w:pPr>
      <w:r w:rsidRPr="00E3132F">
        <w:rPr>
          <w:rFonts w:cs="Times New Roman"/>
          <w:szCs w:val="24"/>
        </w:rPr>
        <w:t>The Private Sector and Investors: Who rely on regional performance metrics for strategic planning, risk assessment, and investment alignment.</w:t>
      </w:r>
    </w:p>
    <w:p w14:paraId="68FDA9C8" w14:textId="05AAD46E" w:rsidR="0002163F" w:rsidRPr="00E3132F" w:rsidRDefault="0002163F" w:rsidP="002A55AB">
      <w:pPr>
        <w:numPr>
          <w:ilvl w:val="0"/>
          <w:numId w:val="18"/>
        </w:numPr>
        <w:rPr>
          <w:rFonts w:cs="Times New Roman"/>
          <w:szCs w:val="24"/>
        </w:rPr>
      </w:pPr>
      <w:r w:rsidRPr="00E3132F">
        <w:rPr>
          <w:rFonts w:cs="Times New Roman"/>
          <w:szCs w:val="24"/>
        </w:rPr>
        <w:t>Civil Society Organizations and the Public: Who gain the transparency and knowledge necessary to assess sustainability challenges and hold stakeholders accountable.</w:t>
      </w:r>
    </w:p>
    <w:p w14:paraId="417E60CC" w14:textId="63514847" w:rsidR="00E43D27" w:rsidRPr="00E3132F" w:rsidRDefault="00E43D27" w:rsidP="00772FBE">
      <w:pPr>
        <w:pStyle w:val="Heading1"/>
      </w:pPr>
      <w:bookmarkStart w:id="5" w:name="_Toc211306845"/>
      <w:r w:rsidRPr="00E3132F">
        <w:lastRenderedPageBreak/>
        <w:t>Background and related work</w:t>
      </w:r>
      <w:bookmarkEnd w:id="5"/>
    </w:p>
    <w:p w14:paraId="66877169" w14:textId="77777777" w:rsidR="00E72A9A" w:rsidRPr="00E3132F" w:rsidRDefault="00E72A9A" w:rsidP="0027214A">
      <w:pPr>
        <w:pStyle w:val="Heading2"/>
      </w:pPr>
      <w:bookmarkStart w:id="6" w:name="_Toc211306846"/>
      <w:r w:rsidRPr="00E3132F">
        <w:t>SDG measurement landscape.</w:t>
      </w:r>
      <w:bookmarkEnd w:id="6"/>
    </w:p>
    <w:p w14:paraId="0584F507" w14:textId="1998D990" w:rsidR="00E72A9A" w:rsidRPr="00E3132F" w:rsidRDefault="00E72A9A" w:rsidP="00247B2A">
      <w:pPr>
        <w:rPr>
          <w:rFonts w:cs="Times New Roman"/>
          <w:szCs w:val="24"/>
        </w:rPr>
      </w:pPr>
      <w:r w:rsidRPr="00E3132F">
        <w:rPr>
          <w:rFonts w:cs="Times New Roman"/>
          <w:szCs w:val="24"/>
        </w:rPr>
        <w:t>The SDG Index and Dashboards compile many indicators into 0–100 goal scores and an overall score, updated annually. The intent is comparability across countries/years, but the index inevitably compresses diverse indicators into a single scale. Governance and implementation challenges in turning global goals into practice are well documented (Niklasson, 2019) and continue to motivate empirical, decision-support work (Swain &amp; Dobers, 2025).</w:t>
      </w:r>
    </w:p>
    <w:p w14:paraId="58B8B388" w14:textId="77777777" w:rsidR="00E72A9A" w:rsidRPr="00E3132F" w:rsidRDefault="00E72A9A" w:rsidP="0027214A">
      <w:pPr>
        <w:pStyle w:val="Heading2"/>
      </w:pPr>
      <w:bookmarkStart w:id="7" w:name="_Toc211306847"/>
      <w:r w:rsidRPr="00E3132F">
        <w:t>Interlinkages: synergies and trade-offs.</w:t>
      </w:r>
      <w:bookmarkEnd w:id="7"/>
    </w:p>
    <w:p w14:paraId="779D567A" w14:textId="2FB6F438" w:rsidR="00E72A9A" w:rsidRPr="00E3132F" w:rsidRDefault="00E72A9A" w:rsidP="00247B2A">
      <w:pPr>
        <w:rPr>
          <w:rFonts w:cs="Times New Roman"/>
          <w:szCs w:val="24"/>
        </w:rPr>
      </w:pPr>
      <w:r w:rsidRPr="00E3132F">
        <w:rPr>
          <w:rFonts w:cs="Times New Roman"/>
          <w:szCs w:val="24"/>
        </w:rPr>
        <w:t>A core theme in the SDG literature is that goals interact. The science-policy guide on SDG interactions formalised a structured way to think about co-benefits and trade-offs across goals and targets (International Council for Science, 2017), and more recent work surveys governance approaches to manage those interlinkages (Breuer et al., 2022). Sector studies (e.g., sanitation) find wide evidence of synergies with most goals and trade-offs with a smaller subset, highlighting that design and context matter (Parikh et al., 2021). From an economics angle, policy mixes need to align institutions and incentives to avoid “grow now, fix later” dynamics (Barbier &amp; Burgess, 2021).</w:t>
      </w:r>
    </w:p>
    <w:p w14:paraId="6E1FD16F" w14:textId="512D3D32" w:rsidR="001F5329" w:rsidRPr="00E3132F" w:rsidRDefault="001F5329" w:rsidP="0027214A">
      <w:pPr>
        <w:pStyle w:val="Heading2"/>
      </w:pPr>
      <w:bookmarkStart w:id="8" w:name="_Toc211306848"/>
      <w:r w:rsidRPr="00E3132F">
        <w:t>Technological Approaches to Data Handling</w:t>
      </w:r>
      <w:bookmarkEnd w:id="8"/>
    </w:p>
    <w:p w14:paraId="174A2162" w14:textId="31A07E1B" w:rsidR="00D42886" w:rsidRPr="00E3132F" w:rsidRDefault="001F5329" w:rsidP="00247B2A">
      <w:pPr>
        <w:rPr>
          <w:rFonts w:cs="Times New Roman"/>
          <w:szCs w:val="24"/>
        </w:rPr>
      </w:pPr>
      <w:r w:rsidRPr="00E3132F">
        <w:rPr>
          <w:rFonts w:cs="Times New Roman"/>
          <w:szCs w:val="24"/>
        </w:rPr>
        <w:t xml:space="preserve">Advanced </w:t>
      </w:r>
      <w:r w:rsidR="00D42886" w:rsidRPr="00E3132F">
        <w:rPr>
          <w:rFonts w:cs="Times New Roman"/>
          <w:szCs w:val="24"/>
        </w:rPr>
        <w:t xml:space="preserve">SDG scholarship now leans on NLP and AI to digest massive text corpora and surface cross-goal linkages at scale. </w:t>
      </w:r>
      <w:r w:rsidR="00D42886" w:rsidRPr="00513BC4">
        <w:rPr>
          <w:rFonts w:cs="Times New Roman"/>
          <w:szCs w:val="24"/>
        </w:rPr>
        <w:t>The Routledge Handbook of the UN SDGs Research and Policy documents end-to-end NLP pipelines—query design, text pre-processing, n-gram extraction, co-occurrence analysis, and network visualization</w:t>
      </w:r>
      <w:r w:rsidR="00D42886" w:rsidRPr="00E3132F">
        <w:rPr>
          <w:rFonts w:cs="Times New Roman"/>
          <w:szCs w:val="24"/>
        </w:rPr>
        <w:t xml:space="preserve">—to map Water–Energy–Food–SDG interlinkages from thousands of records, and it reports AI-assisted text mining of UN Voluntary National Reviews and Universal Periodic Reviews using supervised classifiers that tag passages to SDG targets, rights themes, and affected groups </w:t>
      </w:r>
      <w:r w:rsidR="002B4224" w:rsidRPr="00E3132F">
        <w:rPr>
          <w:rFonts w:cs="Times New Roman"/>
          <w:szCs w:val="24"/>
        </w:rPr>
        <w:t>(Swain &amp; Dobers, 2025)</w:t>
      </w:r>
      <w:r w:rsidR="00D42886" w:rsidRPr="00E3132F">
        <w:rPr>
          <w:rFonts w:cs="Times New Roman"/>
          <w:szCs w:val="24"/>
        </w:rPr>
        <w:t xml:space="preserve">. </w:t>
      </w:r>
    </w:p>
    <w:p w14:paraId="6FE7A2B4" w14:textId="468BAE92" w:rsidR="008B27CA" w:rsidRPr="00E3132F" w:rsidRDefault="00671AAC" w:rsidP="0027214A">
      <w:pPr>
        <w:pStyle w:val="Heading2"/>
      </w:pPr>
      <w:bookmarkStart w:id="9" w:name="_Toc211306849"/>
      <w:r w:rsidRPr="00E3132F">
        <w:t>Classifications of SDG Goals</w:t>
      </w:r>
      <w:bookmarkEnd w:id="9"/>
    </w:p>
    <w:p w14:paraId="75ED8325" w14:textId="35E36ABE" w:rsidR="00A94A16" w:rsidRPr="00E3132F" w:rsidRDefault="00A94A16" w:rsidP="00247B2A">
      <w:r w:rsidRPr="00E3132F">
        <w:t>The SDGs were established to provide a detailed framework for intergovernmental policy efforts and public engagement towards a more sustainable future.</w:t>
      </w:r>
      <w:r w:rsidR="00D54C0E" w:rsidRPr="00E3132F">
        <w:t xml:space="preserve"> </w:t>
      </w:r>
      <w:r w:rsidRPr="00E3132F">
        <w:t xml:space="preserve">However, there is no single, </w:t>
      </w:r>
      <w:r w:rsidRPr="00E3132F">
        <w:lastRenderedPageBreak/>
        <w:t>consensual view on which specific SDG goal belongs to which dimension. The goals are broadly described and often cover multiple, sometimes dispersed, aspects, making a clear-cut classification challenging. The interconnectedness of the three dimensions means that efforts to improve one may impact the others, positively or negatively (Gehringer &amp; Kowalski, 2023).</w:t>
      </w:r>
    </w:p>
    <w:tbl>
      <w:tblPr>
        <w:tblStyle w:val="TableGrid"/>
        <w:tblpPr w:leftFromText="180" w:rightFromText="180" w:vertAnchor="text" w:horzAnchor="margin" w:tblpXSpec="center" w:tblpY="210"/>
        <w:tblW w:w="10362" w:type="dxa"/>
        <w:tblLook w:val="04A0" w:firstRow="1" w:lastRow="0" w:firstColumn="1" w:lastColumn="0" w:noHBand="0" w:noVBand="1"/>
      </w:tblPr>
      <w:tblGrid>
        <w:gridCol w:w="4806"/>
        <w:gridCol w:w="5556"/>
      </w:tblGrid>
      <w:tr w:rsidR="0082661D" w:rsidRPr="00E3132F" w14:paraId="751A57FA" w14:textId="77777777" w:rsidTr="0082661D">
        <w:trPr>
          <w:trHeight w:val="398"/>
        </w:trPr>
        <w:tc>
          <w:tcPr>
            <w:tcW w:w="10362" w:type="dxa"/>
            <w:gridSpan w:val="2"/>
          </w:tcPr>
          <w:p w14:paraId="767EAF5C" w14:textId="77777777" w:rsidR="0082661D" w:rsidRPr="00E3132F" w:rsidRDefault="0082661D" w:rsidP="0082661D">
            <w:pPr>
              <w:jc w:val="center"/>
              <w:rPr>
                <w:rFonts w:cs="Times New Roman"/>
                <w:sz w:val="20"/>
                <w:szCs w:val="20"/>
              </w:rPr>
            </w:pPr>
            <w:r w:rsidRPr="00E3132F">
              <w:rPr>
                <w:rFonts w:cs="Times New Roman"/>
                <w:sz w:val="20"/>
                <w:szCs w:val="20"/>
              </w:rPr>
              <w:t>SDG goal groupings: Barbier &amp; Burgess and the Wedding Cake model</w:t>
            </w:r>
          </w:p>
        </w:tc>
      </w:tr>
      <w:tr w:rsidR="0082661D" w:rsidRPr="00E3132F" w14:paraId="31BBE7EB" w14:textId="77777777" w:rsidTr="0082661D">
        <w:trPr>
          <w:trHeight w:val="398"/>
        </w:trPr>
        <w:tc>
          <w:tcPr>
            <w:tcW w:w="4806" w:type="dxa"/>
          </w:tcPr>
          <w:p w14:paraId="0EADFFE5" w14:textId="4505C0C6" w:rsidR="0082661D" w:rsidRPr="00E3132F" w:rsidRDefault="0082661D" w:rsidP="0082661D">
            <w:pPr>
              <w:jc w:val="center"/>
              <w:rPr>
                <w:rFonts w:cs="Times New Roman"/>
                <w:sz w:val="20"/>
                <w:szCs w:val="20"/>
              </w:rPr>
            </w:pPr>
            <w:r w:rsidRPr="00E3132F">
              <w:rPr>
                <w:rFonts w:cs="Times New Roman"/>
                <w:sz w:val="20"/>
                <w:szCs w:val="20"/>
              </w:rPr>
              <w:t>Barbier &amp; Burgess Classification</w:t>
            </w:r>
            <w:r w:rsidR="00D54C0E" w:rsidRPr="00E3132F">
              <w:rPr>
                <w:rFonts w:cs="Times New Roman"/>
                <w:sz w:val="20"/>
                <w:szCs w:val="20"/>
              </w:rPr>
              <w:t xml:space="preserve"> (2017)</w:t>
            </w:r>
          </w:p>
        </w:tc>
        <w:tc>
          <w:tcPr>
            <w:tcW w:w="5556" w:type="dxa"/>
          </w:tcPr>
          <w:p w14:paraId="443EA139" w14:textId="5EC761D8" w:rsidR="0082661D" w:rsidRPr="00E3132F" w:rsidRDefault="0082661D" w:rsidP="0082661D">
            <w:pPr>
              <w:jc w:val="center"/>
              <w:rPr>
                <w:rFonts w:cs="Times New Roman"/>
                <w:sz w:val="20"/>
                <w:szCs w:val="20"/>
              </w:rPr>
            </w:pPr>
            <w:r w:rsidRPr="00E3132F">
              <w:rPr>
                <w:rFonts w:cs="Times New Roman"/>
                <w:sz w:val="20"/>
                <w:szCs w:val="20"/>
              </w:rPr>
              <w:t>Stockholm Resilience Centre’s Wedding Cake</w:t>
            </w:r>
            <w:r w:rsidR="00981E49" w:rsidRPr="00E3132F">
              <w:rPr>
                <w:rFonts w:cs="Times New Roman"/>
                <w:sz w:val="20"/>
                <w:szCs w:val="20"/>
              </w:rPr>
              <w:t xml:space="preserve"> (2016)</w:t>
            </w:r>
          </w:p>
        </w:tc>
      </w:tr>
      <w:tr w:rsidR="0082661D" w:rsidRPr="00E3132F" w14:paraId="25C8A492" w14:textId="77777777" w:rsidTr="0082661D">
        <w:trPr>
          <w:trHeight w:val="4475"/>
        </w:trPr>
        <w:tc>
          <w:tcPr>
            <w:tcW w:w="4806" w:type="dxa"/>
          </w:tcPr>
          <w:p w14:paraId="10BCDE8B" w14:textId="77777777" w:rsidR="0082661D" w:rsidRPr="00E3132F" w:rsidRDefault="0082661D" w:rsidP="0082661D">
            <w:pPr>
              <w:rPr>
                <w:rFonts w:cs="Times New Roman"/>
                <w:szCs w:val="24"/>
              </w:rPr>
            </w:pPr>
            <w:r w:rsidRPr="00E3132F">
              <w:rPr>
                <w:rFonts w:cs="Times New Roman"/>
                <w:szCs w:val="24"/>
              </w:rPr>
              <w:drawing>
                <wp:inline distT="0" distB="0" distL="0" distR="0" wp14:anchorId="1D5E485D" wp14:editId="450ACAA9">
                  <wp:extent cx="2914115" cy="2586251"/>
                  <wp:effectExtent l="0" t="0" r="635" b="5080"/>
                  <wp:docPr id="620481506" name="Picture 1" descr="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1506" name="Picture 1" descr="Diagram of a diagram of a diagram&#10;&#10;AI-generated content may be incorrect."/>
                          <pic:cNvPicPr/>
                        </pic:nvPicPr>
                        <pic:blipFill>
                          <a:blip r:embed="rId12"/>
                          <a:stretch>
                            <a:fillRect/>
                          </a:stretch>
                        </pic:blipFill>
                        <pic:spPr>
                          <a:xfrm>
                            <a:off x="0" y="0"/>
                            <a:ext cx="2921726" cy="2593005"/>
                          </a:xfrm>
                          <a:prstGeom prst="rect">
                            <a:avLst/>
                          </a:prstGeom>
                        </pic:spPr>
                      </pic:pic>
                    </a:graphicData>
                  </a:graphic>
                </wp:inline>
              </w:drawing>
            </w:r>
          </w:p>
        </w:tc>
        <w:tc>
          <w:tcPr>
            <w:tcW w:w="5556" w:type="dxa"/>
          </w:tcPr>
          <w:p w14:paraId="38B22881" w14:textId="77777777" w:rsidR="0082661D" w:rsidRPr="00E3132F" w:rsidRDefault="0082661D" w:rsidP="0082661D">
            <w:pPr>
              <w:rPr>
                <w:rFonts w:cs="Times New Roman"/>
                <w:szCs w:val="24"/>
              </w:rPr>
            </w:pPr>
            <w:r w:rsidRPr="00E3132F">
              <w:rPr>
                <w:rFonts w:cs="Times New Roman"/>
                <w:szCs w:val="24"/>
              </w:rPr>
              <w:drawing>
                <wp:inline distT="0" distB="0" distL="0" distR="0" wp14:anchorId="4A0D9C0C" wp14:editId="07284C5C">
                  <wp:extent cx="3387194" cy="2661314"/>
                  <wp:effectExtent l="0" t="0" r="3810" b="5715"/>
                  <wp:docPr id="516367331" name="Picture 4"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67331" name="Picture 4" descr="A diagram of a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4478" cy="2667037"/>
                          </a:xfrm>
                          <a:prstGeom prst="rect">
                            <a:avLst/>
                          </a:prstGeom>
                          <a:noFill/>
                          <a:ln>
                            <a:noFill/>
                          </a:ln>
                        </pic:spPr>
                      </pic:pic>
                    </a:graphicData>
                  </a:graphic>
                </wp:inline>
              </w:drawing>
            </w:r>
          </w:p>
        </w:tc>
      </w:tr>
    </w:tbl>
    <w:p w14:paraId="65F9684C" w14:textId="77777777" w:rsidR="0082661D" w:rsidRPr="00E3132F" w:rsidRDefault="0082661D" w:rsidP="00247B2A"/>
    <w:p w14:paraId="22B748F4" w14:textId="79E07C86" w:rsidR="007E63E9" w:rsidRPr="00E3132F" w:rsidRDefault="00E72A9A" w:rsidP="00247B2A">
      <w:pPr>
        <w:rPr>
          <w:rFonts w:cs="Times New Roman"/>
          <w:szCs w:val="24"/>
        </w:rPr>
      </w:pPr>
      <w:r w:rsidRPr="00E3132F">
        <w:rPr>
          <w:rFonts w:cs="Times New Roman"/>
          <w:szCs w:val="24"/>
        </w:rPr>
        <w:t xml:space="preserve">To make interaction patterns tractable, researchers often group goals into social, economic, environmental, and partnership/institutional pillars (e.g., </w:t>
      </w:r>
      <w:r w:rsidR="00F66E62" w:rsidRPr="00E3132F">
        <w:rPr>
          <w:rFonts w:cs="Times New Roman"/>
          <w:szCs w:val="24"/>
        </w:rPr>
        <w:t xml:space="preserve">Stockholm Resilience Centre’s </w:t>
      </w:r>
      <w:r w:rsidRPr="00E3132F">
        <w:rPr>
          <w:rFonts w:cs="Times New Roman"/>
          <w:szCs w:val="24"/>
        </w:rPr>
        <w:t>“wedding cake” heuristics, or classifications discussed by Barbier &amp; Burgess, 2021). Using grouped views alongside per-goal results helps detect whether co-movement is really a broad pillar effect or just a couple of dominant goals.</w:t>
      </w:r>
      <w:r w:rsidR="00D11319" w:rsidRPr="00E3132F">
        <w:rPr>
          <w:rFonts w:cs="Times New Roman"/>
          <w:szCs w:val="24"/>
        </w:rPr>
        <w:t xml:space="preserve"> </w:t>
      </w:r>
    </w:p>
    <w:p w14:paraId="68D83CB4" w14:textId="4DBD1D7B" w:rsidR="00FB17DE" w:rsidRPr="004B44D2" w:rsidRDefault="00FB17DE" w:rsidP="00247B2A">
      <w:pPr>
        <w:rPr>
          <w:b/>
          <w:bCs/>
        </w:rPr>
      </w:pPr>
      <w:r w:rsidRPr="004B44D2">
        <w:rPr>
          <w:b/>
          <w:bCs/>
        </w:rPr>
        <w:t>Several approaches have been developed to classify the 17 SDGs:</w:t>
      </w:r>
    </w:p>
    <w:p w14:paraId="4A9DB87B" w14:textId="59F22E5C" w:rsidR="00FB17DE" w:rsidRPr="00E3132F" w:rsidRDefault="00FB17DE" w:rsidP="002A55AB">
      <w:pPr>
        <w:pStyle w:val="ListParagraph"/>
        <w:numPr>
          <w:ilvl w:val="0"/>
          <w:numId w:val="10"/>
        </w:numPr>
      </w:pPr>
      <w:r w:rsidRPr="00E3132F">
        <w:t xml:space="preserve">"Wedding Cake" Conceptualization (Stockholm Resilience Centre, 2016): This model suggests a hierarchical relationship where economies are embedded in societies, and societies are embedded in the biosphere.  </w:t>
      </w:r>
    </w:p>
    <w:p w14:paraId="1FBB2086" w14:textId="036F4C6F" w:rsidR="00FB17DE" w:rsidRPr="00E3132F" w:rsidRDefault="00FB17DE" w:rsidP="002A55AB">
      <w:pPr>
        <w:pStyle w:val="ListParagraph"/>
        <w:numPr>
          <w:ilvl w:val="1"/>
          <w:numId w:val="10"/>
        </w:numPr>
      </w:pPr>
      <w:r w:rsidRPr="00E3132F">
        <w:t>Biosphere Layer: SDGs 6, 13</w:t>
      </w:r>
      <w:r w:rsidR="00FC2EF5">
        <w:t xml:space="preserve">, </w:t>
      </w:r>
      <w:r w:rsidRPr="00E3132F">
        <w:t>14</w:t>
      </w:r>
      <w:r w:rsidR="00415C52">
        <w:t xml:space="preserve">, </w:t>
      </w:r>
      <w:r w:rsidRPr="00E3132F">
        <w:t xml:space="preserve">15 </w:t>
      </w:r>
    </w:p>
    <w:p w14:paraId="68DB8659" w14:textId="1E3B02BA" w:rsidR="00FB17DE" w:rsidRPr="00E3132F" w:rsidRDefault="00FB17DE" w:rsidP="002A55AB">
      <w:pPr>
        <w:pStyle w:val="ListParagraph"/>
        <w:numPr>
          <w:ilvl w:val="1"/>
          <w:numId w:val="10"/>
        </w:numPr>
      </w:pPr>
      <w:r w:rsidRPr="00E3132F">
        <w:t>Society Layer: SDGs 1, 2</w:t>
      </w:r>
      <w:r w:rsidR="00FC2EF5">
        <w:t xml:space="preserve">, </w:t>
      </w:r>
      <w:r w:rsidRPr="00E3132F">
        <w:t>3, 4, 5, 7, 11</w:t>
      </w:r>
      <w:r w:rsidR="00415C52">
        <w:t xml:space="preserve">, </w:t>
      </w:r>
      <w:r w:rsidRPr="00E3132F">
        <w:t>16</w:t>
      </w:r>
    </w:p>
    <w:p w14:paraId="48BE0416" w14:textId="717E2DFB" w:rsidR="00FB17DE" w:rsidRPr="00E3132F" w:rsidRDefault="00FB17DE" w:rsidP="002A55AB">
      <w:pPr>
        <w:pStyle w:val="ListParagraph"/>
        <w:numPr>
          <w:ilvl w:val="1"/>
          <w:numId w:val="10"/>
        </w:numPr>
      </w:pPr>
      <w:r w:rsidRPr="00E3132F">
        <w:t>Economy Layer: SDGs 8, 9, 10, 12</w:t>
      </w:r>
    </w:p>
    <w:p w14:paraId="35EFC619" w14:textId="694D8E08" w:rsidR="00FB17DE" w:rsidRPr="00E3132F" w:rsidRDefault="00FB17DE" w:rsidP="002A55AB">
      <w:pPr>
        <w:pStyle w:val="ListParagraph"/>
        <w:numPr>
          <w:ilvl w:val="1"/>
          <w:numId w:val="10"/>
        </w:numPr>
      </w:pPr>
      <w:r w:rsidRPr="00E3132F">
        <w:t>Partnerships: SDG 17</w:t>
      </w:r>
    </w:p>
    <w:p w14:paraId="4A8F790F" w14:textId="29761E72" w:rsidR="00FB17DE" w:rsidRPr="00E3132F" w:rsidRDefault="00FB17DE" w:rsidP="002A55AB">
      <w:pPr>
        <w:pStyle w:val="ListParagraph"/>
        <w:numPr>
          <w:ilvl w:val="0"/>
          <w:numId w:val="10"/>
        </w:numPr>
      </w:pPr>
      <w:r w:rsidRPr="00E3132F">
        <w:lastRenderedPageBreak/>
        <w:t xml:space="preserve">Barbier and Burgess (2017) Classification: This approach explicitly designates each SDG as primarily an economic, environmental, or social system goal, forming the foundation for their economic analysis. They acknowledge that this assignment is somewhat arbitrary and that some SDGs may overlap.  </w:t>
      </w:r>
    </w:p>
    <w:p w14:paraId="6C533265" w14:textId="46D4E5D0" w:rsidR="00FB17DE" w:rsidRPr="00E3132F" w:rsidRDefault="00FB17DE" w:rsidP="002A55AB">
      <w:pPr>
        <w:pStyle w:val="ListParagraph"/>
        <w:numPr>
          <w:ilvl w:val="1"/>
          <w:numId w:val="10"/>
        </w:numPr>
      </w:pPr>
      <w:r w:rsidRPr="00E3132F">
        <w:t>Economic System Goals: SDG</w:t>
      </w:r>
      <w:r w:rsidR="000148D6" w:rsidRPr="00E3132F">
        <w:t>s</w:t>
      </w:r>
      <w:r w:rsidRPr="00E3132F">
        <w:t xml:space="preserve"> 1</w:t>
      </w:r>
      <w:r w:rsidR="000148D6" w:rsidRPr="00E3132F">
        <w:t>, 2, 3, 6, 7, 8, 9</w:t>
      </w:r>
    </w:p>
    <w:p w14:paraId="25AD13A7" w14:textId="708124B7" w:rsidR="00FB17DE" w:rsidRPr="00E3132F" w:rsidRDefault="00FB17DE" w:rsidP="002A55AB">
      <w:pPr>
        <w:pStyle w:val="ListParagraph"/>
        <w:numPr>
          <w:ilvl w:val="1"/>
          <w:numId w:val="10"/>
        </w:numPr>
      </w:pPr>
      <w:r w:rsidRPr="00E3132F">
        <w:t>Environmental System Goals:</w:t>
      </w:r>
      <w:r w:rsidR="000148D6" w:rsidRPr="00E3132F">
        <w:t xml:space="preserve"> </w:t>
      </w:r>
      <w:r w:rsidRPr="00E3132F">
        <w:t>SDG</w:t>
      </w:r>
      <w:r w:rsidR="000148D6" w:rsidRPr="00E3132F">
        <w:t>s</w:t>
      </w:r>
      <w:r w:rsidRPr="00E3132F">
        <w:t xml:space="preserve"> 11</w:t>
      </w:r>
      <w:r w:rsidR="000148D6" w:rsidRPr="00E3132F">
        <w:t>, 12, 13, 14, 15</w:t>
      </w:r>
    </w:p>
    <w:p w14:paraId="5DF1A812" w14:textId="256A7D9D" w:rsidR="00FB17DE" w:rsidRPr="00E3132F" w:rsidRDefault="00FB17DE" w:rsidP="002A55AB">
      <w:pPr>
        <w:pStyle w:val="ListParagraph"/>
        <w:numPr>
          <w:ilvl w:val="1"/>
          <w:numId w:val="10"/>
        </w:numPr>
      </w:pPr>
      <w:r w:rsidRPr="00E3132F">
        <w:t>Social System Goals:</w:t>
      </w:r>
      <w:r w:rsidR="000148D6" w:rsidRPr="00E3132F">
        <w:t xml:space="preserve"> </w:t>
      </w:r>
      <w:r w:rsidRPr="00E3132F">
        <w:t>SDG</w:t>
      </w:r>
      <w:r w:rsidR="000148D6" w:rsidRPr="00E3132F">
        <w:t>s</w:t>
      </w:r>
      <w:r w:rsidRPr="00E3132F">
        <w:t xml:space="preserve"> 4</w:t>
      </w:r>
      <w:r w:rsidR="000148D6" w:rsidRPr="00E3132F">
        <w:t>, 5, 10, 16, 17</w:t>
      </w:r>
    </w:p>
    <w:p w14:paraId="089F0B34" w14:textId="1BC49381" w:rsidR="00FB17DE" w:rsidRPr="00E3132F" w:rsidRDefault="00FB17DE" w:rsidP="002A55AB">
      <w:pPr>
        <w:pStyle w:val="ListParagraph"/>
        <w:numPr>
          <w:ilvl w:val="0"/>
          <w:numId w:val="10"/>
        </w:numPr>
      </w:pPr>
      <w:r w:rsidRPr="00E3132F">
        <w:t>Gehringer and Kowalski's Own Classification (Gehringer &amp; Kowalski, 2023): Based on a bottom-up methodology, reviewing all 169 targets and 231 indicators of the SDGs, identifying the prevailing dimension for each SDG. SDG 17 is treated as an all-embracing goal without a clear classification to only one dimension.</w:t>
      </w:r>
    </w:p>
    <w:p w14:paraId="587D85C2" w14:textId="07FE0C8B" w:rsidR="00FB17DE" w:rsidRPr="00E3132F" w:rsidRDefault="00FB17DE" w:rsidP="002A55AB">
      <w:pPr>
        <w:pStyle w:val="ListParagraph"/>
        <w:numPr>
          <w:ilvl w:val="1"/>
          <w:numId w:val="10"/>
        </w:numPr>
      </w:pPr>
      <w:r w:rsidRPr="00E3132F">
        <w:t>Social Dimension: SDGs 1, 2, 3, 4, 5, 6, 10, 11, 13, 16.</w:t>
      </w:r>
    </w:p>
    <w:p w14:paraId="62814256" w14:textId="4FCF742E" w:rsidR="00FB17DE" w:rsidRPr="00E3132F" w:rsidRDefault="00FB17DE" w:rsidP="002A55AB">
      <w:pPr>
        <w:pStyle w:val="ListParagraph"/>
        <w:numPr>
          <w:ilvl w:val="1"/>
          <w:numId w:val="10"/>
        </w:numPr>
      </w:pPr>
      <w:r w:rsidRPr="00E3132F">
        <w:t>Economic Dimension: SDGs 7, 8, 9.</w:t>
      </w:r>
    </w:p>
    <w:p w14:paraId="6D56B3C4" w14:textId="67D3E3BE" w:rsidR="00FB17DE" w:rsidRPr="00E3132F" w:rsidRDefault="00FB17DE" w:rsidP="002A55AB">
      <w:pPr>
        <w:pStyle w:val="ListParagraph"/>
        <w:numPr>
          <w:ilvl w:val="1"/>
          <w:numId w:val="10"/>
        </w:numPr>
      </w:pPr>
      <w:r w:rsidRPr="00E3132F">
        <w:t xml:space="preserve">Environmental Dimension: SDGs 14, 15.  </w:t>
      </w:r>
    </w:p>
    <w:p w14:paraId="323B528D" w14:textId="2940A80A" w:rsidR="00FB17DE" w:rsidRPr="00E3132F" w:rsidRDefault="00FB17DE" w:rsidP="002A55AB">
      <w:pPr>
        <w:pStyle w:val="ListParagraph"/>
        <w:numPr>
          <w:ilvl w:val="0"/>
          <w:numId w:val="10"/>
        </w:numPr>
      </w:pPr>
      <w:r w:rsidRPr="00E3132F">
        <w:t>Other Approaches (Boar, Bastida, &amp; Marimon, 2020) (e.g., Boar et al., Dangelmaier):</w:t>
      </w:r>
    </w:p>
    <w:p w14:paraId="28DAB7E0" w14:textId="6574A668" w:rsidR="00FB17DE" w:rsidRPr="00E3132F" w:rsidRDefault="00FB17DE" w:rsidP="002A55AB">
      <w:pPr>
        <w:pStyle w:val="ListParagraph"/>
        <w:numPr>
          <w:ilvl w:val="1"/>
          <w:numId w:val="10"/>
        </w:numPr>
      </w:pPr>
      <w:r w:rsidRPr="00E3132F">
        <w:t>Unanimously Classified SDGs (across Boar et al., Dangelmaier, and Barbier &amp; Burgess):</w:t>
      </w:r>
    </w:p>
    <w:p w14:paraId="69CCDF3E" w14:textId="1A065F8A" w:rsidR="00FB17DE" w:rsidRPr="00E3132F" w:rsidRDefault="00FB17DE" w:rsidP="002A55AB">
      <w:pPr>
        <w:pStyle w:val="ListParagraph"/>
        <w:numPr>
          <w:ilvl w:val="2"/>
          <w:numId w:val="10"/>
        </w:numPr>
      </w:pPr>
      <w:r w:rsidRPr="00E3132F">
        <w:t>Social: SDG 5 (Gender Equality)</w:t>
      </w:r>
    </w:p>
    <w:p w14:paraId="739D49AD" w14:textId="34E49CF9" w:rsidR="00FB17DE" w:rsidRPr="00E3132F" w:rsidRDefault="00FB17DE" w:rsidP="002A55AB">
      <w:pPr>
        <w:pStyle w:val="ListParagraph"/>
        <w:numPr>
          <w:ilvl w:val="2"/>
          <w:numId w:val="10"/>
        </w:numPr>
      </w:pPr>
      <w:r w:rsidRPr="00E3132F">
        <w:t xml:space="preserve">Environmental: SDG 14 (Life Below Water), SDG 15 (Life on Land)  </w:t>
      </w:r>
    </w:p>
    <w:p w14:paraId="74207139" w14:textId="4ADA9AA1" w:rsidR="00FB17DE" w:rsidRPr="00E3132F" w:rsidRDefault="00FB17DE" w:rsidP="002A55AB">
      <w:pPr>
        <w:pStyle w:val="ListParagraph"/>
        <w:numPr>
          <w:ilvl w:val="1"/>
          <w:numId w:val="10"/>
        </w:numPr>
      </w:pPr>
      <w:r w:rsidRPr="00E3132F">
        <w:t xml:space="preserve">Boar, Bastida, and Marimon (2020): Social (SDGs 1-5, 7, 11, 16), Environmental (SDGs 6, 13-15), Economic (SDGs 8-10, 12). SDG 17 is "Partnership to Achieve the Goals".  </w:t>
      </w:r>
    </w:p>
    <w:p w14:paraId="7C9A904F" w14:textId="4FD80F62" w:rsidR="00057477" w:rsidRPr="00E3132F" w:rsidRDefault="00FB17DE" w:rsidP="002A55AB">
      <w:pPr>
        <w:pStyle w:val="ListParagraph"/>
        <w:numPr>
          <w:ilvl w:val="1"/>
          <w:numId w:val="10"/>
        </w:numPr>
      </w:pPr>
      <w:r w:rsidRPr="00E3132F">
        <w:t>Dangelmaier (2022): Places SDG 10 (Reduced Inequality) in the social dimension (unlike Boar et al.). Also introduces "climate" as a sub-dimension of environmental and "governance" as an additional dimension. Identifies confluent areas where SDGs belong to more than one dimension, e.g., SDGs 6, 7, 11, 12 in both social and environmental dimensions, and SDGs 4, 8 in both social and economic dimensions.</w:t>
      </w:r>
    </w:p>
    <w:p w14:paraId="2BB3D5EF" w14:textId="4AA23D4A" w:rsidR="00E72A9A" w:rsidRPr="00E3132F" w:rsidRDefault="00E72A9A" w:rsidP="0027214A">
      <w:pPr>
        <w:pStyle w:val="Heading2"/>
      </w:pPr>
      <w:bookmarkStart w:id="10" w:name="_Toc211306850"/>
      <w:r w:rsidRPr="00E3132F">
        <w:t>Methods used in the literature</w:t>
      </w:r>
      <w:bookmarkEnd w:id="10"/>
    </w:p>
    <w:p w14:paraId="3183CCF6" w14:textId="46805DB0" w:rsidR="00E72A9A" w:rsidRPr="00E3132F" w:rsidRDefault="00E72A9A" w:rsidP="00247B2A">
      <w:pPr>
        <w:rPr>
          <w:rFonts w:cs="Times New Roman"/>
          <w:szCs w:val="24"/>
        </w:rPr>
      </w:pPr>
      <w:r w:rsidRPr="00E3132F">
        <w:rPr>
          <w:rFonts w:cs="Times New Roman" w:hint="eastAsia"/>
          <w:szCs w:val="24"/>
        </w:rPr>
        <w:t xml:space="preserve">Typical empirical tools include correlation matrices, principal component analysis (PCA) to uncover alignment across goals/countries, and network/interaction scoring frameworks. Importantly, correlation </w:t>
      </w:r>
      <w:r w:rsidRPr="00E3132F">
        <w:rPr>
          <w:rFonts w:cs="Times New Roman" w:hint="eastAsia"/>
          <w:szCs w:val="24"/>
        </w:rPr>
        <w:t>≠</w:t>
      </w:r>
      <w:r w:rsidRPr="00E3132F">
        <w:rPr>
          <w:rFonts w:cs="Times New Roman" w:hint="eastAsia"/>
          <w:szCs w:val="24"/>
        </w:rPr>
        <w:t xml:space="preserve"> causation: co-movement may reflect income, institut</w:t>
      </w:r>
      <w:r w:rsidRPr="00E3132F">
        <w:rPr>
          <w:rFonts w:cs="Times New Roman"/>
          <w:szCs w:val="24"/>
        </w:rPr>
        <w:t xml:space="preserve">ions, or </w:t>
      </w:r>
      <w:r w:rsidRPr="00E3132F">
        <w:rPr>
          <w:rFonts w:cs="Times New Roman"/>
          <w:szCs w:val="24"/>
        </w:rPr>
        <w:lastRenderedPageBreak/>
        <w:t xml:space="preserve">shared shocks. For change over time, </w:t>
      </w:r>
      <w:r w:rsidR="00C26460" w:rsidRPr="00E3132F">
        <w:rPr>
          <w:rFonts w:cs="Times New Roman"/>
          <w:szCs w:val="24"/>
        </w:rPr>
        <w:t>Barbier and Burgess</w:t>
      </w:r>
      <w:r w:rsidR="00B63B9B" w:rsidRPr="00E3132F">
        <w:rPr>
          <w:rFonts w:cs="Times New Roman"/>
          <w:szCs w:val="24"/>
        </w:rPr>
        <w:t xml:space="preserve"> (2021)</w:t>
      </w:r>
      <w:r w:rsidRPr="00E3132F">
        <w:rPr>
          <w:rFonts w:cs="Times New Roman"/>
          <w:szCs w:val="24"/>
        </w:rPr>
        <w:t xml:space="preserve"> compute world-level change from raw indicators (with direction correction and sometimes population weights); this is not the same as </w:t>
      </w:r>
      <w:r w:rsidR="00F841DD">
        <w:rPr>
          <w:rFonts w:cs="Times New Roman"/>
          <w:szCs w:val="24"/>
        </w:rPr>
        <w:t>%</w:t>
      </w:r>
      <w:r w:rsidRPr="00E3132F">
        <w:rPr>
          <w:rFonts w:cs="Times New Roman"/>
          <w:szCs w:val="24"/>
        </w:rPr>
        <w:t xml:space="preserve"> change on the index scale. Both routes are informative but answer different questions—hence </w:t>
      </w:r>
      <w:r w:rsidR="00583E75" w:rsidRPr="00E3132F">
        <w:rPr>
          <w:rFonts w:cs="Times New Roman"/>
          <w:szCs w:val="24"/>
        </w:rPr>
        <w:t>we</w:t>
      </w:r>
      <w:r w:rsidRPr="00E3132F">
        <w:rPr>
          <w:rFonts w:cs="Times New Roman"/>
          <w:szCs w:val="24"/>
        </w:rPr>
        <w:t xml:space="preserve"> implement both in Methods to keep results comparable to the literature.</w:t>
      </w:r>
    </w:p>
    <w:p w14:paraId="285AC68C" w14:textId="546A5116" w:rsidR="00E72A9A" w:rsidRPr="00E3132F" w:rsidRDefault="00E72A9A" w:rsidP="0027214A">
      <w:pPr>
        <w:pStyle w:val="Heading2"/>
      </w:pPr>
      <w:bookmarkStart w:id="11" w:name="_Toc211306851"/>
      <w:r w:rsidRPr="00E3132F">
        <w:t>Where this project fits</w:t>
      </w:r>
      <w:bookmarkEnd w:id="11"/>
    </w:p>
    <w:p w14:paraId="7F358FF4" w14:textId="4C7DA789" w:rsidR="002122FB" w:rsidRPr="00E3132F" w:rsidRDefault="00E72A9A" w:rsidP="00247B2A">
      <w:pPr>
        <w:rPr>
          <w:rFonts w:cs="Times New Roman"/>
          <w:szCs w:val="24"/>
        </w:rPr>
      </w:pPr>
      <w:r w:rsidRPr="00E3132F">
        <w:rPr>
          <w:rFonts w:cs="Times New Roman"/>
          <w:szCs w:val="24"/>
        </w:rPr>
        <w:t xml:space="preserve">This study contributes a transparent, reproducible pipeline and app: comparable level and </w:t>
      </w:r>
      <w:r w:rsidR="00F841DD">
        <w:rPr>
          <w:rFonts w:cs="Times New Roman"/>
          <w:szCs w:val="24"/>
        </w:rPr>
        <w:t>%</w:t>
      </w:r>
      <w:r w:rsidRPr="00E3132F">
        <w:rPr>
          <w:rFonts w:cs="Times New Roman"/>
          <w:szCs w:val="24"/>
        </w:rPr>
        <w:t>-change views for Overall and each goal; region/country lenses, including dispersion within regions; grouped correlations to visualise alignment vs. trade-offs; and a discussion that keeps policy-relevant interpretation front-and-centre (e.g., when “basic services” goals move together while some environmental/consumption goals do not). The aim is to turn desk research into an interactive tool students</w:t>
      </w:r>
      <w:r w:rsidR="00B87ABA" w:rsidRPr="00E3132F">
        <w:rPr>
          <w:rFonts w:cs="Times New Roman"/>
          <w:szCs w:val="24"/>
        </w:rPr>
        <w:t>, researchers</w:t>
      </w:r>
      <w:r w:rsidRPr="00E3132F">
        <w:rPr>
          <w:rFonts w:cs="Times New Roman"/>
          <w:szCs w:val="24"/>
        </w:rPr>
        <w:t xml:space="preserve"> and policy analysts can reuse.</w:t>
      </w:r>
    </w:p>
    <w:p w14:paraId="1344C9E3" w14:textId="7585E845" w:rsidR="00855478" w:rsidRPr="00E3132F" w:rsidRDefault="00B72AF6" w:rsidP="00772FBE">
      <w:pPr>
        <w:pStyle w:val="Heading1"/>
      </w:pPr>
      <w:bookmarkStart w:id="12" w:name="_Toc211306852"/>
      <w:r w:rsidRPr="00E3132F">
        <w:t>Methodology</w:t>
      </w:r>
      <w:bookmarkEnd w:id="12"/>
    </w:p>
    <w:p w14:paraId="525C4585" w14:textId="2D8BEA83" w:rsidR="00A923FA" w:rsidRPr="00E3132F" w:rsidRDefault="00A923FA" w:rsidP="00A923FA">
      <w:r w:rsidRPr="00E3132F">
        <w:t>We designed and delivered an end-to-end SDG analytics system that turns authoritative, open data into reproducible, interactive evidence. The system comprises:</w:t>
      </w:r>
      <w:r w:rsidR="004B4B00" w:rsidRPr="00E3132F">
        <w:t xml:space="preserve"> </w:t>
      </w:r>
      <w:r w:rsidRPr="00E3132F">
        <w:t>Two companion applications. We built GoalScope, our primary analytics and visualisation app for rankings, timelines</w:t>
      </w:r>
      <w:r w:rsidR="000514D3" w:rsidRPr="00E3132F">
        <w:t>, structure and</w:t>
      </w:r>
      <w:r w:rsidRPr="00E3132F">
        <w:t xml:space="preserve"> correlations</w:t>
      </w:r>
      <w:r w:rsidR="0076436E" w:rsidRPr="00E3132F">
        <w:t xml:space="preserve"> with NLP generated insights and chatbot assistant</w:t>
      </w:r>
      <w:r w:rsidR="00000E2D">
        <w:t xml:space="preserve"> (Seacor, 2025)</w:t>
      </w:r>
      <w:r w:rsidRPr="00E3132F">
        <w:t xml:space="preserve">; and a separate </w:t>
      </w:r>
      <w:r w:rsidR="00604627">
        <w:t xml:space="preserve">SDG Predictions App </w:t>
      </w:r>
      <w:r w:rsidRPr="00E3132F">
        <w:t>dedicated to short-horizon projections</w:t>
      </w:r>
      <w:r w:rsidR="00000E2D">
        <w:t xml:space="preserve"> (Ceka, 2025)</w:t>
      </w:r>
      <w:r w:rsidRPr="00E3132F">
        <w:t>. Both apps read the same prepared datasets to ensure a single source of truth.</w:t>
      </w:r>
    </w:p>
    <w:p w14:paraId="345CAB6B" w14:textId="0F8C1902" w:rsidR="00A923FA" w:rsidRPr="00E3132F" w:rsidRDefault="00A923FA" w:rsidP="00F2396D">
      <w:r w:rsidRPr="00E3132F">
        <w:t>A scripted data pipeline</w:t>
      </w:r>
      <w:r w:rsidR="001C412C">
        <w:t>:</w:t>
      </w:r>
      <w:r w:rsidRPr="00E3132F">
        <w:t xml:space="preserve"> We programmatically acquire SDG data from UN SDG endpoints and Sustainable Development Report (SDR) ArcGIS layers, harmonise fields, and produce two canonical tables that drive every analysis and figure</w:t>
      </w:r>
      <w:r w:rsidR="00F2396D" w:rsidRPr="00E3132F">
        <w:t>.</w:t>
      </w:r>
    </w:p>
    <w:p w14:paraId="508026FE" w14:textId="569A47F7" w:rsidR="00A923FA" w:rsidRPr="00E3132F" w:rsidRDefault="00A923FA" w:rsidP="00247B2A">
      <w:r w:rsidRPr="00E3132F">
        <w:t>Reproducibility by construction</w:t>
      </w:r>
      <w:r w:rsidR="00010B8F" w:rsidRPr="00E3132F">
        <w:t xml:space="preserve">: </w:t>
      </w:r>
      <w:r w:rsidRPr="00E3132F">
        <w:t>All figures and plots used to answer the research questions are generated directly by GoalScope</w:t>
      </w:r>
      <w:r w:rsidR="00766E2D">
        <w:t xml:space="preserve"> and the SDG Predictions App</w:t>
      </w:r>
      <w:r w:rsidRPr="00E3132F">
        <w:t xml:space="preserve"> from the same code and data version</w:t>
      </w:r>
      <w:r w:rsidR="007637CB" w:rsidRPr="00E3132F">
        <w:t>.</w:t>
      </w:r>
    </w:p>
    <w:p w14:paraId="3EBEF49A" w14:textId="704146C4" w:rsidR="00855478" w:rsidRPr="00E3132F" w:rsidRDefault="00855478" w:rsidP="0027214A">
      <w:pPr>
        <w:pStyle w:val="Heading2"/>
      </w:pPr>
      <w:bookmarkStart w:id="13" w:name="_Toc211306853"/>
      <w:r w:rsidRPr="00E3132F">
        <w:t>Data sources and structure</w:t>
      </w:r>
      <w:bookmarkEnd w:id="13"/>
    </w:p>
    <w:p w14:paraId="4DAAC12A" w14:textId="44899360" w:rsidR="002F60D0" w:rsidRPr="00E3132F" w:rsidRDefault="002F60D0" w:rsidP="00247B2A">
      <w:pPr>
        <w:rPr>
          <w:lang w:eastAsia="en-NZ"/>
        </w:rPr>
      </w:pPr>
      <w:r w:rsidRPr="00E3132F">
        <w:rPr>
          <w:lang w:eastAsia="en-NZ"/>
        </w:rPr>
        <w:t>We combined two authoritative sources</w:t>
      </w:r>
      <w:r w:rsidR="00F166F8" w:rsidRPr="00E3132F">
        <w:rPr>
          <w:lang w:eastAsia="en-NZ"/>
        </w:rPr>
        <w:t xml:space="preserve"> via API</w:t>
      </w:r>
      <w:r w:rsidRPr="00E3132F">
        <w:rPr>
          <w:lang w:eastAsia="en-NZ"/>
        </w:rPr>
        <w:t>:</w:t>
      </w:r>
    </w:p>
    <w:p w14:paraId="4410528C" w14:textId="0106C17D" w:rsidR="0056532C" w:rsidRPr="00E3132F" w:rsidRDefault="00424FEB" w:rsidP="005F1AB2">
      <w:pPr>
        <w:pStyle w:val="ListParagraph"/>
        <w:numPr>
          <w:ilvl w:val="0"/>
          <w:numId w:val="13"/>
        </w:numPr>
        <w:rPr>
          <w:lang w:eastAsia="en-NZ"/>
        </w:rPr>
      </w:pPr>
      <w:r>
        <w:rPr>
          <w:lang w:eastAsia="en-NZ"/>
        </w:rPr>
        <w:t>P</w:t>
      </w:r>
      <w:r w:rsidR="002534AD" w:rsidRPr="002534AD">
        <w:rPr>
          <w:lang w:eastAsia="en-NZ"/>
        </w:rPr>
        <w:t xml:space="preserve">rogrammatically pulled the official SDG goal catalogue from the </w:t>
      </w:r>
      <w:r w:rsidR="002534AD" w:rsidRPr="00D3050E">
        <w:rPr>
          <w:b/>
          <w:bCs/>
          <w:lang w:eastAsia="en-NZ"/>
        </w:rPr>
        <w:t>UN SDG API</w:t>
      </w:r>
      <w:r w:rsidR="002534AD" w:rsidRPr="002534AD">
        <w:rPr>
          <w:lang w:eastAsia="en-NZ"/>
        </w:rPr>
        <w:t xml:space="preserve"> (/SDGAPI/v1/sdg/Goal/List), parsed the JSON to a pandas DataFrame, and kept the fields code, title, description for use as the canonical Goal lookup.</w:t>
      </w:r>
    </w:p>
    <w:p w14:paraId="694312EF" w14:textId="644D9439" w:rsidR="00B312EC" w:rsidRDefault="00B312EC" w:rsidP="0049228C">
      <w:pPr>
        <w:pStyle w:val="ListParagraph"/>
        <w:numPr>
          <w:ilvl w:val="0"/>
          <w:numId w:val="13"/>
        </w:numPr>
      </w:pPr>
      <w:r>
        <w:rPr>
          <w:lang w:eastAsia="en-NZ"/>
        </w:rPr>
        <w:lastRenderedPageBreak/>
        <w:t>R</w:t>
      </w:r>
      <w:r w:rsidRPr="00B312EC">
        <w:rPr>
          <w:lang w:eastAsia="en-NZ"/>
        </w:rPr>
        <w:t xml:space="preserve">etrieved the SDR datasets (Codebook, Backdated Time-series, 2025 with indicators) directly from </w:t>
      </w:r>
      <w:r w:rsidRPr="00D3050E">
        <w:rPr>
          <w:b/>
          <w:bCs/>
          <w:lang w:eastAsia="en-NZ"/>
        </w:rPr>
        <w:t>ArcGIS Online FeatureServ</w:t>
      </w:r>
      <w:r w:rsidRPr="00B312EC">
        <w:rPr>
          <w:lang w:eastAsia="en-NZ"/>
        </w:rPr>
        <w:t xml:space="preserve">er layer 0. A small wrapper maps dataset </w:t>
      </w:r>
      <w:r w:rsidRPr="00B312EC">
        <w:rPr>
          <w:rFonts w:ascii="Cambria Math" w:hAnsi="Cambria Math" w:cs="Cambria Math"/>
          <w:lang w:eastAsia="en-NZ"/>
        </w:rPr>
        <w:t>∈</w:t>
      </w:r>
      <w:r w:rsidRPr="00B312EC">
        <w:rPr>
          <w:lang w:eastAsia="en-NZ"/>
        </w:rPr>
        <w:t xml:space="preserve"> {codebook, sdr_backdated, sdr2025, rawdata} to the correct service URL, then pages through results using resultOffset/resultRecordCount (page size 2,000) until no features remain (where = 1=1). We request JSON (f=json), suppress geometry, and extract the attributes from each batch into a pandas DataFrame. This yields canonical tables for indicators/metadata (codebook) and harmonized time-series used throughout the analysis.</w:t>
      </w:r>
    </w:p>
    <w:p w14:paraId="10076E8C" w14:textId="52FA595C" w:rsidR="00855478" w:rsidRPr="00E3132F" w:rsidRDefault="00855478" w:rsidP="0096099D">
      <w:pPr>
        <w:pStyle w:val="Heading2"/>
      </w:pPr>
      <w:bookmarkStart w:id="14" w:name="_Toc211306854"/>
      <w:r w:rsidRPr="00E3132F">
        <w:t>Cleaning &amp; integration</w:t>
      </w:r>
      <w:bookmarkEnd w:id="14"/>
    </w:p>
    <w:p w14:paraId="0828AF21" w14:textId="2CCD2421" w:rsidR="00855478" w:rsidRPr="00E3132F" w:rsidRDefault="00F0276D" w:rsidP="00247B2A">
      <w:pPr>
        <w:rPr>
          <w:rFonts w:cs="Times New Roman"/>
          <w:szCs w:val="24"/>
        </w:rPr>
      </w:pPr>
      <w:r w:rsidRPr="00F0276D">
        <w:rPr>
          <w:rFonts w:cs="Times New Roman"/>
          <w:szCs w:val="24"/>
        </w:rPr>
        <w:t xml:space="preserve">We construct a unified SDG panel by joining a canonical lookup to cleaned SDR time-series. First, we derive a goals_lookup (Goal_1…Goal_17) with group tags, then merge it with a slimmed SDR </w:t>
      </w:r>
      <w:r w:rsidRPr="00F0276D">
        <w:rPr>
          <w:rFonts w:cs="Times New Roman"/>
          <w:b/>
          <w:bCs/>
          <w:szCs w:val="24"/>
        </w:rPr>
        <w:t>Codebook</w:t>
      </w:r>
      <w:r w:rsidRPr="00F0276D">
        <w:rPr>
          <w:rFonts w:cs="Times New Roman"/>
          <w:szCs w:val="24"/>
        </w:rPr>
        <w:t xml:space="preserve"> (IndCode, SDG, Indicator) to create df_lookup (code, sdg, group, description). Next, we standardise the </w:t>
      </w:r>
      <w:r w:rsidRPr="00F0276D">
        <w:rPr>
          <w:rFonts w:cs="Times New Roman"/>
          <w:b/>
          <w:bCs/>
          <w:szCs w:val="24"/>
        </w:rPr>
        <w:t>Backdated</w:t>
      </w:r>
      <w:r w:rsidRPr="00F0276D">
        <w:rPr>
          <w:rFonts w:cs="Times New Roman"/>
          <w:szCs w:val="24"/>
        </w:rPr>
        <w:t xml:space="preserve"> timeseries: drop null indexreg_, normalise column names (e.g., Goal_*, remove n_ prefixes), and retain ID/country/year plus SDG/region fields. We similarly reshape </w:t>
      </w:r>
      <w:r w:rsidRPr="00F0276D">
        <w:rPr>
          <w:rFonts w:cs="Times New Roman"/>
          <w:b/>
          <w:bCs/>
          <w:szCs w:val="24"/>
        </w:rPr>
        <w:t>SDR 2025</w:t>
      </w:r>
      <w:r w:rsidRPr="00F0276D">
        <w:rPr>
          <w:rFonts w:cs="Times New Roman"/>
          <w:szCs w:val="24"/>
        </w:rPr>
        <w:t xml:space="preserve"> (strip _Score, fix _Score_reg naming), align keys (ID, Country, Region), and insert Year=2025. Finally, we row-bind backdated and 2025 tables, sort by Country, Year, cast SDG columns to numeric with coercion, and harmonise region labels (e.g., ‘E. Europe &amp; C. Asia’ → ‘E_Euro_Asia’). This yields df_sdg for analysis and df_lookup for consistent titles/legends/tooltips</w:t>
      </w:r>
    </w:p>
    <w:p w14:paraId="1A63CCF2" w14:textId="092FD828" w:rsidR="00154ECC" w:rsidRPr="00E3132F" w:rsidRDefault="00154ECC" w:rsidP="0027214A">
      <w:pPr>
        <w:pStyle w:val="Heading3"/>
      </w:pPr>
      <w:bookmarkStart w:id="15" w:name="_Toc211306855"/>
      <w:r w:rsidRPr="00E3132F">
        <w:t>Generated result datasets</w:t>
      </w:r>
      <w:bookmarkEnd w:id="15"/>
    </w:p>
    <w:p w14:paraId="43D14FCF" w14:textId="71850E1C" w:rsidR="00204BC8" w:rsidRPr="00204BC8" w:rsidRDefault="00204BC8" w:rsidP="00204BC8">
      <w:pPr>
        <w:pStyle w:val="ListParagraph"/>
        <w:numPr>
          <w:ilvl w:val="0"/>
          <w:numId w:val="26"/>
        </w:numPr>
        <w:rPr>
          <w:lang w:eastAsia="en-NZ"/>
        </w:rPr>
      </w:pPr>
      <w:r w:rsidRPr="00204BC8">
        <w:rPr>
          <w:b/>
          <w:bCs/>
          <w:lang w:eastAsia="en-NZ"/>
        </w:rPr>
        <w:t>df_sdg</w:t>
      </w:r>
      <w:r w:rsidRPr="00204BC8">
        <w:rPr>
          <w:lang w:eastAsia="en-NZ"/>
        </w:rPr>
        <w:t xml:space="preserve"> — Canonical country–year panel of SDG index scores (2000–2025). One row per Country–Year; columns include </w:t>
      </w:r>
      <w:r w:rsidRPr="00204BC8">
        <w:rPr>
          <w:i/>
          <w:iCs/>
          <w:lang w:eastAsia="en-NZ"/>
        </w:rPr>
        <w:t>Country, Year, Region</w:t>
      </w:r>
      <w:r w:rsidRPr="00204BC8">
        <w:rPr>
          <w:lang w:eastAsia="en-NZ"/>
        </w:rPr>
        <w:t xml:space="preserve">, goal-level indices </w:t>
      </w:r>
      <w:r w:rsidRPr="00E47ABC">
        <w:rPr>
          <w:lang w:eastAsia="en-NZ"/>
        </w:rPr>
        <w:t>Goal_1…Goal_17 on a 0–100 scale, plus selected sdg_* indicator</w:t>
      </w:r>
      <w:r w:rsidRPr="00204BC8">
        <w:rPr>
          <w:lang w:eastAsia="en-NZ"/>
        </w:rPr>
        <w:t xml:space="preserve"> fields. Built from UN SDG/SDR ArcGIS timeseries, then standardised to tidy numeric types, </w:t>
      </w:r>
      <w:r w:rsidRPr="00BD5434">
        <w:rPr>
          <w:lang w:eastAsia="en-NZ"/>
        </w:rPr>
        <w:t>harmonised country/region names, and clipped to 0–100. Designed to join to df_lookup and used</w:t>
      </w:r>
      <w:r w:rsidRPr="00204BC8">
        <w:rPr>
          <w:lang w:eastAsia="en-NZ"/>
        </w:rPr>
        <w:t xml:space="preserve"> for rankings, timelines, correlations, and short-term forecasts.</w:t>
      </w:r>
    </w:p>
    <w:p w14:paraId="4FEF9AE1" w14:textId="625EFFB8" w:rsidR="00204BC8" w:rsidRDefault="00204BC8" w:rsidP="00204BC8">
      <w:pPr>
        <w:pStyle w:val="ListParagraph"/>
        <w:numPr>
          <w:ilvl w:val="0"/>
          <w:numId w:val="26"/>
        </w:numPr>
        <w:rPr>
          <w:lang w:eastAsia="en-NZ"/>
        </w:rPr>
      </w:pPr>
      <w:r w:rsidRPr="00204BC8">
        <w:rPr>
          <w:b/>
          <w:bCs/>
          <w:lang w:eastAsia="en-NZ"/>
        </w:rPr>
        <w:t>df_lookup</w:t>
      </w:r>
      <w:r w:rsidRPr="00204BC8">
        <w:rPr>
          <w:lang w:eastAsia="en-NZ"/>
        </w:rPr>
        <w:t xml:space="preserve"> — Compact catalogue of SDG codes with </w:t>
      </w:r>
      <w:r w:rsidRPr="00E47ABC">
        <w:rPr>
          <w:lang w:eastAsia="en-NZ"/>
        </w:rPr>
        <w:t>numeric sdg (1–17), human-readable title/description, and a coarse group label (economic / social / environmental</w:t>
      </w:r>
      <w:r w:rsidRPr="00204BC8">
        <w:rPr>
          <w:lang w:eastAsia="en-NZ"/>
        </w:rPr>
        <w:t xml:space="preserve"> / partnership). Created by combining the UN goals list with the SDR codebook, then mapping each SDG to a group. A helper supports alternative groupings (e.g., Barbier &amp; Burgess; Stockholm Resilience “Wedding Cake”). Drives labels, legends, and grouping options across all plots.</w:t>
      </w:r>
    </w:p>
    <w:p w14:paraId="5B8D3642" w14:textId="77777777" w:rsidR="0005231E" w:rsidRPr="0005231E" w:rsidRDefault="0005231E" w:rsidP="0005231E">
      <w:pPr>
        <w:pStyle w:val="Heading2"/>
        <w:rPr>
          <w:lang w:eastAsia="en-NZ"/>
        </w:rPr>
      </w:pPr>
      <w:bookmarkStart w:id="16" w:name="_Toc211306856"/>
      <w:r w:rsidRPr="0005231E">
        <w:rPr>
          <w:lang w:eastAsia="en-NZ"/>
        </w:rPr>
        <w:lastRenderedPageBreak/>
        <w:t>Verification against SDR Dashboards (rankings &amp; explorer)</w:t>
      </w:r>
      <w:bookmarkEnd w:id="16"/>
    </w:p>
    <w:p w14:paraId="53677BA9" w14:textId="199FCECF" w:rsidR="0005231E" w:rsidRPr="0005231E" w:rsidRDefault="0005231E" w:rsidP="0005231E">
      <w:pPr>
        <w:rPr>
          <w:lang w:eastAsia="en-NZ"/>
        </w:rPr>
      </w:pPr>
      <w:r w:rsidRPr="0005231E">
        <w:rPr>
          <w:lang w:eastAsia="en-NZ"/>
        </w:rPr>
        <w:t xml:space="preserve">To verify the correctness of our data summarisation and computations, we cross-checked GoalScope outputs against the public </w:t>
      </w:r>
      <w:r w:rsidRPr="0005231E">
        <w:rPr>
          <w:b/>
          <w:bCs/>
          <w:lang w:eastAsia="en-NZ"/>
        </w:rPr>
        <w:t>SDG Index dashboards</w:t>
      </w:r>
      <w:r w:rsidRPr="0005231E">
        <w:rPr>
          <w:lang w:eastAsia="en-NZ"/>
        </w:rPr>
        <w:t xml:space="preserve">—the Rankings view and the </w:t>
      </w:r>
      <w:r w:rsidR="003C1475" w:rsidRPr="003C1475">
        <w:rPr>
          <w:lang w:eastAsia="en-NZ"/>
        </w:rPr>
        <w:t xml:space="preserve">Data </w:t>
      </w:r>
      <w:r w:rsidRPr="0005231E">
        <w:rPr>
          <w:lang w:eastAsia="en-NZ"/>
        </w:rPr>
        <w:t>Explorer view:</w:t>
      </w:r>
    </w:p>
    <w:p w14:paraId="43FFDBA2" w14:textId="77777777" w:rsidR="0005231E" w:rsidRPr="0005231E" w:rsidRDefault="0005231E" w:rsidP="0005231E">
      <w:pPr>
        <w:numPr>
          <w:ilvl w:val="0"/>
          <w:numId w:val="36"/>
        </w:numPr>
        <w:rPr>
          <w:lang w:eastAsia="en-NZ"/>
        </w:rPr>
      </w:pPr>
      <w:r w:rsidRPr="0005231E">
        <w:rPr>
          <w:lang w:eastAsia="en-NZ"/>
        </w:rPr>
        <w:t xml:space="preserve">Rankings: </w:t>
      </w:r>
      <w:hyperlink r:id="rId14" w:tgtFrame="_new" w:history="1">
        <w:r w:rsidRPr="0005231E">
          <w:rPr>
            <w:rStyle w:val="Hyperlink"/>
            <w:lang w:eastAsia="en-NZ"/>
          </w:rPr>
          <w:t>https://dashboards.sdgindex.org/rankings</w:t>
        </w:r>
      </w:hyperlink>
    </w:p>
    <w:p w14:paraId="4999BC81" w14:textId="14C59291" w:rsidR="0005231E" w:rsidRPr="0005231E" w:rsidRDefault="003C1475" w:rsidP="0005231E">
      <w:pPr>
        <w:numPr>
          <w:ilvl w:val="0"/>
          <w:numId w:val="36"/>
        </w:numPr>
        <w:rPr>
          <w:lang w:eastAsia="en-NZ"/>
        </w:rPr>
      </w:pPr>
      <w:r>
        <w:rPr>
          <w:lang w:eastAsia="en-NZ"/>
        </w:rPr>
        <w:t xml:space="preserve">Data </w:t>
      </w:r>
      <w:r w:rsidR="0005231E" w:rsidRPr="0005231E">
        <w:rPr>
          <w:lang w:eastAsia="en-NZ"/>
        </w:rPr>
        <w:t xml:space="preserve">Explorer: </w:t>
      </w:r>
      <w:hyperlink r:id="rId15" w:tgtFrame="_new" w:history="1">
        <w:r w:rsidR="0005231E" w:rsidRPr="0005231E">
          <w:rPr>
            <w:rStyle w:val="Hyperlink"/>
            <w:lang w:eastAsia="en-NZ"/>
          </w:rPr>
          <w:t>https://dashboards.sdgindex.org/explorer/</w:t>
        </w:r>
      </w:hyperlink>
    </w:p>
    <w:p w14:paraId="29E174DC" w14:textId="79BEAA78" w:rsidR="0005231E" w:rsidRPr="0005231E" w:rsidRDefault="0005231E" w:rsidP="0005231E">
      <w:pPr>
        <w:rPr>
          <w:lang w:eastAsia="en-NZ"/>
        </w:rPr>
      </w:pPr>
      <w:r w:rsidRPr="0005231E">
        <w:rPr>
          <w:lang w:eastAsia="en-NZ"/>
        </w:rPr>
        <w:t xml:space="preserve">Because our canonical panel and 2025 snapshot are built from the UN SDG API and SDR ArcGIS layers, the SDR dashboards are the appropriate external reference for both the </w:t>
      </w:r>
      <w:r w:rsidRPr="0005231E">
        <w:rPr>
          <w:b/>
          <w:bCs/>
          <w:lang w:eastAsia="en-NZ"/>
        </w:rPr>
        <w:t>2025 SDG</w:t>
      </w:r>
      <w:r w:rsidRPr="0005231E">
        <w:rPr>
          <w:lang w:eastAsia="en-NZ"/>
        </w:rPr>
        <w:t xml:space="preserve"> values and the </w:t>
      </w:r>
      <w:r w:rsidRPr="0005231E">
        <w:rPr>
          <w:b/>
          <w:bCs/>
          <w:lang w:eastAsia="en-NZ"/>
        </w:rPr>
        <w:t>backdated time-series</w:t>
      </w:r>
      <w:r w:rsidRPr="0005231E">
        <w:rPr>
          <w:lang w:eastAsia="en-NZ"/>
        </w:rPr>
        <w:t xml:space="preserve"> that underpin our charts. </w:t>
      </w:r>
    </w:p>
    <w:p w14:paraId="264C84BB" w14:textId="3F8DA54D" w:rsidR="0005231E" w:rsidRPr="0005231E" w:rsidRDefault="0005231E" w:rsidP="0005231E">
      <w:pPr>
        <w:rPr>
          <w:lang w:eastAsia="en-NZ"/>
        </w:rPr>
      </w:pPr>
      <w:r w:rsidRPr="0005231E">
        <w:rPr>
          <w:b/>
          <w:bCs/>
          <w:lang w:eastAsia="en-NZ"/>
        </w:rPr>
        <w:t>Procedure</w:t>
      </w:r>
      <w:r w:rsidR="00FF1747">
        <w:rPr>
          <w:b/>
          <w:bCs/>
          <w:lang w:eastAsia="en-NZ"/>
        </w:rPr>
        <w:t>:</w:t>
      </w:r>
    </w:p>
    <w:p w14:paraId="608CD14C" w14:textId="77777777" w:rsidR="0005231E" w:rsidRPr="0005231E" w:rsidRDefault="0005231E" w:rsidP="0005231E">
      <w:pPr>
        <w:numPr>
          <w:ilvl w:val="0"/>
          <w:numId w:val="37"/>
        </w:numPr>
        <w:rPr>
          <w:lang w:eastAsia="en-NZ"/>
        </w:rPr>
      </w:pPr>
      <w:r w:rsidRPr="0005231E">
        <w:rPr>
          <w:b/>
          <w:bCs/>
          <w:lang w:eastAsia="en-NZ"/>
        </w:rPr>
        <w:t>Replicate filters.</w:t>
      </w:r>
      <w:r w:rsidRPr="0005231E">
        <w:rPr>
          <w:lang w:eastAsia="en-NZ"/>
        </w:rPr>
        <w:t xml:space="preserve"> We matched dashboard filters (year = 2025; same region labels) and applied identical country inclusion rules. (Region harmonisation was already part of our cleaning step.) </w:t>
      </w:r>
    </w:p>
    <w:p w14:paraId="44665AF1" w14:textId="77777777" w:rsidR="0005231E" w:rsidRPr="0005231E" w:rsidRDefault="0005231E" w:rsidP="0005231E">
      <w:pPr>
        <w:numPr>
          <w:ilvl w:val="0"/>
          <w:numId w:val="37"/>
        </w:numPr>
        <w:rPr>
          <w:lang w:eastAsia="en-NZ"/>
        </w:rPr>
      </w:pPr>
      <w:r w:rsidRPr="0005231E">
        <w:rPr>
          <w:b/>
          <w:bCs/>
          <w:lang w:eastAsia="en-NZ"/>
        </w:rPr>
        <w:t>Rank order check (overall).</w:t>
      </w:r>
      <w:r w:rsidRPr="0005231E">
        <w:rPr>
          <w:lang w:eastAsia="en-NZ"/>
        </w:rPr>
        <w:t xml:space="preserve"> We compared top/bottom lists and full rank order to the Rankings dashboard. Any discrepancies were traced to imputation and rounding.</w:t>
      </w:r>
    </w:p>
    <w:p w14:paraId="25BBB7C7" w14:textId="77777777" w:rsidR="0005231E" w:rsidRPr="0005231E" w:rsidRDefault="0005231E" w:rsidP="0005231E">
      <w:pPr>
        <w:numPr>
          <w:ilvl w:val="0"/>
          <w:numId w:val="37"/>
        </w:numPr>
        <w:rPr>
          <w:lang w:eastAsia="en-NZ"/>
        </w:rPr>
      </w:pPr>
      <w:r w:rsidRPr="0005231E">
        <w:rPr>
          <w:b/>
          <w:bCs/>
          <w:lang w:eastAsia="en-NZ"/>
        </w:rPr>
        <w:t>Goal-level spot checks (Explorer).</w:t>
      </w:r>
      <w:r w:rsidRPr="0005231E">
        <w:rPr>
          <w:lang w:eastAsia="en-NZ"/>
        </w:rPr>
        <w:t xml:space="preserve"> For a rotating sample of countries across regions and performance tiers, we verified goal profiles and trend lines against Explorer, ensuring our 0–100 goal indices and trajectories aligned visually and numerically.</w:t>
      </w:r>
    </w:p>
    <w:p w14:paraId="2D861A2C" w14:textId="77777777" w:rsidR="0005231E" w:rsidRPr="0005231E" w:rsidRDefault="0005231E" w:rsidP="0005231E">
      <w:pPr>
        <w:numPr>
          <w:ilvl w:val="0"/>
          <w:numId w:val="37"/>
        </w:numPr>
        <w:rPr>
          <w:lang w:eastAsia="en-NZ"/>
        </w:rPr>
      </w:pPr>
      <w:r w:rsidRPr="0005231E">
        <w:rPr>
          <w:b/>
          <w:bCs/>
          <w:lang w:eastAsia="en-NZ"/>
        </w:rPr>
        <w:t>Chart-to-chart parity.</w:t>
      </w:r>
      <w:r w:rsidRPr="0005231E">
        <w:rPr>
          <w:lang w:eastAsia="en-NZ"/>
        </w:rPr>
        <w:t xml:space="preserve"> We validated our regional ordering, country trajectories, and goal correlation patterns by inspecting dashboard values for the same entities/years used in our figures.</w:t>
      </w:r>
    </w:p>
    <w:p w14:paraId="0CA6CB66" w14:textId="53146D0E" w:rsidR="0005231E" w:rsidRPr="0005231E" w:rsidRDefault="0005231E" w:rsidP="0005231E">
      <w:pPr>
        <w:rPr>
          <w:lang w:eastAsia="en-NZ"/>
        </w:rPr>
      </w:pPr>
      <w:r w:rsidRPr="0005231E">
        <w:rPr>
          <w:b/>
          <w:bCs/>
          <w:lang w:eastAsia="en-NZ"/>
        </w:rPr>
        <w:t>Discrepancy handling</w:t>
      </w:r>
      <w:r w:rsidR="00046F27">
        <w:rPr>
          <w:b/>
          <w:bCs/>
          <w:lang w:eastAsia="en-NZ"/>
        </w:rPr>
        <w:t>:</w:t>
      </w:r>
      <w:r w:rsidRPr="0005231E">
        <w:rPr>
          <w:lang w:eastAsia="en-NZ"/>
        </w:rPr>
        <w:t xml:space="preserve"> During early checks, some country ranks did not match the Rankings dashboard. We found SDR </w:t>
      </w:r>
      <w:r w:rsidRPr="0005231E">
        <w:rPr>
          <w:b/>
          <w:bCs/>
          <w:lang w:eastAsia="en-NZ"/>
        </w:rPr>
        <w:t>falls back to the regional goal score</w:t>
      </w:r>
      <w:r w:rsidRPr="0005231E">
        <w:rPr>
          <w:lang w:eastAsia="en-NZ"/>
        </w:rPr>
        <w:t xml:space="preserve"> when a country’s goal value is missing; our first pass treated missing values as NA, biasing the overall mean. We implemented the </w:t>
      </w:r>
      <w:r w:rsidRPr="0005231E">
        <w:rPr>
          <w:b/>
          <w:bCs/>
          <w:lang w:eastAsia="en-NZ"/>
        </w:rPr>
        <w:t>same regional fallback</w:t>
      </w:r>
      <w:r w:rsidRPr="0005231E">
        <w:rPr>
          <w:lang w:eastAsia="en-NZ"/>
        </w:rPr>
        <w:t xml:space="preserve"> in our pipeline and recomputed the overall index/ranks; after alignment, our lists matched SDR under identical filters. </w:t>
      </w:r>
    </w:p>
    <w:p w14:paraId="26D25C30" w14:textId="7C0717FD" w:rsidR="0005231E" w:rsidRPr="0005231E" w:rsidRDefault="0005231E" w:rsidP="0005231E">
      <w:pPr>
        <w:rPr>
          <w:lang w:eastAsia="en-NZ"/>
        </w:rPr>
      </w:pPr>
      <w:r w:rsidRPr="0005231E">
        <w:rPr>
          <w:b/>
          <w:bCs/>
          <w:lang w:eastAsia="en-NZ"/>
        </w:rPr>
        <w:t>Outcome</w:t>
      </w:r>
      <w:r w:rsidR="00046F27">
        <w:rPr>
          <w:b/>
          <w:bCs/>
          <w:lang w:eastAsia="en-NZ"/>
        </w:rPr>
        <w:t xml:space="preserve">: </w:t>
      </w:r>
      <w:r w:rsidRPr="0005231E">
        <w:rPr>
          <w:lang w:eastAsia="en-NZ"/>
        </w:rPr>
        <w:t>After filter and imputation alignment, GoalScope’s ranks, 2025 goal profiles, and time-series were consistent with the SDR dashboards, with only expected minor rounding differences from on-screen formatting. This provides an external verification baseline for all ranking and chart views generated from our single source-of-truth datasets.</w:t>
      </w:r>
    </w:p>
    <w:p w14:paraId="5F62780C" w14:textId="77777777" w:rsidR="0005231E" w:rsidRPr="00204BC8" w:rsidRDefault="0005231E" w:rsidP="0005231E">
      <w:pPr>
        <w:rPr>
          <w:lang w:eastAsia="en-NZ"/>
        </w:rPr>
      </w:pPr>
    </w:p>
    <w:p w14:paraId="31B283CE" w14:textId="0B99B0F6" w:rsidR="000E31B7" w:rsidRDefault="000E31B7" w:rsidP="000E31B7">
      <w:pPr>
        <w:pStyle w:val="Heading2"/>
      </w:pPr>
      <w:bookmarkStart w:id="17" w:name="_Toc211306857"/>
      <w:r w:rsidRPr="000E31B7">
        <w:lastRenderedPageBreak/>
        <w:t>System implementation</w:t>
      </w:r>
      <w:bookmarkEnd w:id="17"/>
    </w:p>
    <w:p w14:paraId="01F73AB9" w14:textId="39445580" w:rsidR="00626413" w:rsidRPr="00626413" w:rsidRDefault="00626413" w:rsidP="00626413">
      <w:r w:rsidRPr="00626413">
        <w:t xml:space="preserve">We provide links rather than embedding code; full code base is available in the </w:t>
      </w:r>
      <w:r>
        <w:t>GitHub r</w:t>
      </w:r>
      <w:r w:rsidRPr="00626413">
        <w:t>epository</w:t>
      </w:r>
      <w:r>
        <w:t>.</w:t>
      </w:r>
    </w:p>
    <w:p w14:paraId="7C6DB2F4" w14:textId="0883E21B" w:rsidR="00D6597E" w:rsidRPr="00D6597E" w:rsidRDefault="00D6597E" w:rsidP="002871B5">
      <w:pPr>
        <w:pStyle w:val="Heading3"/>
      </w:pPr>
      <w:bookmarkStart w:id="18" w:name="_Toc211306858"/>
      <w:r>
        <w:t xml:space="preserve">GoalScope </w:t>
      </w:r>
      <w:r w:rsidR="00173D34">
        <w:t>SDG Analytics Hub</w:t>
      </w:r>
      <w:r w:rsidR="00211F6D">
        <w:t xml:space="preserve"> (Seacor</w:t>
      </w:r>
      <w:r w:rsidR="00DB1235">
        <w:t>, 2025)</w:t>
      </w:r>
      <w:bookmarkEnd w:id="18"/>
    </w:p>
    <w:p w14:paraId="2C83505F" w14:textId="7394716B" w:rsidR="000E31B7" w:rsidRDefault="000E31B7" w:rsidP="000E31B7">
      <w:r w:rsidRPr="001E7125">
        <w:rPr>
          <w:b/>
          <w:bCs/>
        </w:rPr>
        <w:t>GoalScope</w:t>
      </w:r>
      <w:r w:rsidRPr="000E31B7">
        <w:t xml:space="preserve"> is a thin Streamlit UI over a reusable Python analytics module. The module handles data acquisition/cleaning, produces canonical frames, and serves </w:t>
      </w:r>
      <w:r w:rsidR="006C0188">
        <w:t xml:space="preserve">complete data </w:t>
      </w:r>
      <w:r w:rsidR="00736EA1">
        <w:t>analysis</w:t>
      </w:r>
      <w:r w:rsidRPr="000E31B7">
        <w:t xml:space="preserve"> that generate every figure in this report. The UI simply passes user inputs to these routines and renders the returned Plotly figures.</w:t>
      </w:r>
    </w:p>
    <w:p w14:paraId="26DDE78D" w14:textId="599E9DF0" w:rsidR="00722D5B" w:rsidRDefault="00722D5B" w:rsidP="000E31B7">
      <w:r w:rsidRPr="00722D5B">
        <w:drawing>
          <wp:inline distT="0" distB="0" distL="0" distR="0" wp14:anchorId="351DD515" wp14:editId="7781D754">
            <wp:extent cx="5731510" cy="3328670"/>
            <wp:effectExtent l="0" t="0" r="2540" b="5080"/>
            <wp:docPr id="163506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69204" name=""/>
                    <pic:cNvPicPr/>
                  </pic:nvPicPr>
                  <pic:blipFill>
                    <a:blip r:embed="rId16"/>
                    <a:stretch>
                      <a:fillRect/>
                    </a:stretch>
                  </pic:blipFill>
                  <pic:spPr>
                    <a:xfrm>
                      <a:off x="0" y="0"/>
                      <a:ext cx="5747116" cy="3337733"/>
                    </a:xfrm>
                    <a:prstGeom prst="rect">
                      <a:avLst/>
                    </a:prstGeom>
                  </pic:spPr>
                </pic:pic>
              </a:graphicData>
            </a:graphic>
          </wp:inline>
        </w:drawing>
      </w:r>
    </w:p>
    <w:p w14:paraId="40464656" w14:textId="62494F40" w:rsidR="005429C3" w:rsidRDefault="005429C3" w:rsidP="00DB3F72">
      <w:pPr>
        <w:jc w:val="left"/>
        <w:rPr>
          <w:b/>
          <w:bCs/>
        </w:rPr>
      </w:pPr>
      <w:r>
        <w:rPr>
          <w:b/>
          <w:bCs/>
        </w:rPr>
        <w:t xml:space="preserve">App link: </w:t>
      </w:r>
      <w:hyperlink r:id="rId17" w:history="1">
        <w:r w:rsidR="001F4189" w:rsidRPr="001F4189">
          <w:rPr>
            <w:rStyle w:val="Hyperlink"/>
            <w:b/>
            <w:bCs/>
          </w:rPr>
          <w:t>GoalScope SDG Analytics Hub · Streamlit</w:t>
        </w:r>
      </w:hyperlink>
    </w:p>
    <w:p w14:paraId="2372AD22" w14:textId="77777777" w:rsidR="002B165D" w:rsidRDefault="002B165D" w:rsidP="00DB3F72">
      <w:pPr>
        <w:jc w:val="left"/>
      </w:pPr>
      <w:r w:rsidRPr="004A6271">
        <w:t>All analysis scripts and the GoalScope Streamlit app are hosted</w:t>
      </w:r>
      <w:r>
        <w:t xml:space="preserve"> </w:t>
      </w:r>
      <w:r w:rsidRPr="004A6271">
        <w:t>at the public repository</w:t>
      </w:r>
      <w:r>
        <w:t>:</w:t>
      </w:r>
    </w:p>
    <w:p w14:paraId="0168B76A" w14:textId="77777777" w:rsidR="002B165D" w:rsidRDefault="002B165D" w:rsidP="00DB3F72">
      <w:pPr>
        <w:jc w:val="left"/>
      </w:pPr>
      <w:r w:rsidRPr="004A6271">
        <w:rPr>
          <w:b/>
          <w:bCs/>
        </w:rPr>
        <w:t>jeseacor/sdg_streamlit</w:t>
      </w:r>
      <w:r w:rsidRPr="004A6271">
        <w:t>:</w:t>
      </w:r>
      <w:r>
        <w:t xml:space="preserve"> </w:t>
      </w:r>
      <w:hyperlink r:id="rId18" w:history="1">
        <w:r w:rsidRPr="00A755D9">
          <w:rPr>
            <w:rStyle w:val="Hyperlink"/>
          </w:rPr>
          <w:t>https://github.com/jeseacor/sdg_streamlit</w:t>
        </w:r>
      </w:hyperlink>
    </w:p>
    <w:p w14:paraId="5C5300D1" w14:textId="090A99BB" w:rsidR="00F65B2E" w:rsidRDefault="00F65B2E" w:rsidP="00DB3F72">
      <w:pPr>
        <w:jc w:val="left"/>
      </w:pPr>
      <w:r w:rsidRPr="00F65B2E">
        <w:rPr>
          <w:b/>
          <w:bCs/>
        </w:rPr>
        <w:t>Executable notebook (Kaggle):</w:t>
      </w:r>
      <w:r w:rsidRPr="00F65B2E">
        <w:t xml:space="preserve"> </w:t>
      </w:r>
      <w:r w:rsidRPr="00F65B2E">
        <w:rPr>
          <w:i/>
          <w:iCs/>
        </w:rPr>
        <w:t>A</w:t>
      </w:r>
      <w:r w:rsidR="00315EDC">
        <w:rPr>
          <w:i/>
          <w:iCs/>
        </w:rPr>
        <w:t>nalyzing Global SDG Indicators</w:t>
      </w:r>
      <w:r w:rsidRPr="00F65B2E">
        <w:rPr>
          <w:i/>
          <w:iCs/>
        </w:rPr>
        <w:t xml:space="preserve"> – Reproducible build of key figures</w:t>
      </w:r>
      <w:r w:rsidRPr="00F65B2E">
        <w:t xml:space="preserve"> — runs end-to-end with the same data snapshot. </w:t>
      </w:r>
      <w:hyperlink r:id="rId19" w:history="1">
        <w:r w:rsidR="00315EDC" w:rsidRPr="001F0CE0">
          <w:rPr>
            <w:rStyle w:val="Hyperlink"/>
          </w:rPr>
          <w:t>https://www.kaggle.com/code/jeseacor/analyzing-global-sdg-indicators</w:t>
        </w:r>
      </w:hyperlink>
    </w:p>
    <w:p w14:paraId="76D5F289" w14:textId="77777777" w:rsidR="00765451" w:rsidRDefault="00765451" w:rsidP="00DB3F72">
      <w:pPr>
        <w:jc w:val="left"/>
      </w:pPr>
    </w:p>
    <w:p w14:paraId="30FA7AA5" w14:textId="014174B4" w:rsidR="00173D34" w:rsidRDefault="002B165D" w:rsidP="00247B2A">
      <w:pPr>
        <w:rPr>
          <w:rFonts w:cs="Times New Roman"/>
          <w:szCs w:val="24"/>
        </w:rPr>
      </w:pPr>
      <w:r w:rsidRPr="00D82CA8">
        <w:rPr>
          <w:rFonts w:cs="Times New Roman"/>
          <w:b/>
          <w:bCs/>
          <w:szCs w:val="24"/>
        </w:rPr>
        <w:t>Software Stack:</w:t>
      </w:r>
      <w:r>
        <w:rPr>
          <w:rFonts w:cs="Times New Roman"/>
          <w:szCs w:val="24"/>
        </w:rPr>
        <w:t xml:space="preserve"> </w:t>
      </w:r>
      <w:r w:rsidRPr="00E3132F">
        <w:rPr>
          <w:rFonts w:cs="Times New Roman"/>
          <w:szCs w:val="24"/>
        </w:rPr>
        <w:t>Python (Python Software Foundation, 2025), NumPy (Harris et al., 2020), pandas (pandas development team, 2025), scikit-learn (Pedregosa et al., 2011), Plotly (Plotly Technologies Inc., 2025), Streamlit (Streamlit, 2025), OpenAI API (OpenAI, 2025).</w:t>
      </w:r>
    </w:p>
    <w:p w14:paraId="7843C0FD" w14:textId="77777777" w:rsidR="00765451" w:rsidRDefault="00765451" w:rsidP="00247B2A">
      <w:pPr>
        <w:rPr>
          <w:rFonts w:cs="Times New Roman"/>
          <w:szCs w:val="24"/>
        </w:rPr>
      </w:pPr>
    </w:p>
    <w:p w14:paraId="3A07D145" w14:textId="77777777" w:rsidR="00765451" w:rsidRDefault="00765451" w:rsidP="00247B2A">
      <w:pPr>
        <w:rPr>
          <w:rFonts w:cs="Times New Roman"/>
          <w:szCs w:val="24"/>
        </w:rPr>
      </w:pPr>
    </w:p>
    <w:p w14:paraId="7B97150E" w14:textId="483F09E7" w:rsidR="00173D34" w:rsidRPr="00D6597E" w:rsidRDefault="00173D34" w:rsidP="002871B5">
      <w:pPr>
        <w:pStyle w:val="Heading3"/>
      </w:pPr>
      <w:bookmarkStart w:id="19" w:name="_Toc211306859"/>
      <w:r>
        <w:lastRenderedPageBreak/>
        <w:t>SDG Predictions App (</w:t>
      </w:r>
      <w:r w:rsidR="00DB1235">
        <w:t>Ceka, 2025</w:t>
      </w:r>
      <w:r>
        <w:t>)</w:t>
      </w:r>
      <w:bookmarkEnd w:id="19"/>
    </w:p>
    <w:p w14:paraId="3E15767A" w14:textId="73409612" w:rsidR="00796E56" w:rsidRPr="00D914BE" w:rsidRDefault="00E940D5" w:rsidP="00D914BE">
      <w:pPr>
        <w:rPr>
          <w:rFonts w:cs="Times New Roman"/>
          <w:szCs w:val="24"/>
        </w:rPr>
      </w:pPr>
      <w:r w:rsidRPr="00796E56">
        <w:rPr>
          <w:rFonts w:cs="Times New Roman"/>
          <w:szCs w:val="24"/>
        </w:rPr>
        <w:drawing>
          <wp:anchor distT="0" distB="0" distL="114300" distR="114300" simplePos="0" relativeHeight="251646976" behindDoc="0" locked="0" layoutInCell="1" allowOverlap="1" wp14:anchorId="7CF87982" wp14:editId="10F70426">
            <wp:simplePos x="0" y="0"/>
            <wp:positionH relativeFrom="column">
              <wp:posOffset>22225</wp:posOffset>
            </wp:positionH>
            <wp:positionV relativeFrom="paragraph">
              <wp:posOffset>556971</wp:posOffset>
            </wp:positionV>
            <wp:extent cx="4464685" cy="1992630"/>
            <wp:effectExtent l="0" t="0" r="0" b="7620"/>
            <wp:wrapSquare wrapText="bothSides"/>
            <wp:docPr id="210098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8036" name="Picture 1" descr="A screenshot of a computer&#10;&#10;AI-generated content may be incorrect."/>
                    <pic:cNvPicPr/>
                  </pic:nvPicPr>
                  <pic:blipFill>
                    <a:blip r:embed="rId20"/>
                    <a:stretch>
                      <a:fillRect/>
                    </a:stretch>
                  </pic:blipFill>
                  <pic:spPr>
                    <a:xfrm>
                      <a:off x="0" y="0"/>
                      <a:ext cx="4464685" cy="1992630"/>
                    </a:xfrm>
                    <a:prstGeom prst="rect">
                      <a:avLst/>
                    </a:prstGeom>
                  </pic:spPr>
                </pic:pic>
              </a:graphicData>
            </a:graphic>
          </wp:anchor>
        </w:drawing>
      </w:r>
      <w:r w:rsidR="00D914BE" w:rsidRPr="00D914BE">
        <w:rPr>
          <w:rFonts w:cs="Times New Roman"/>
          <w:szCs w:val="24"/>
        </w:rPr>
        <w:t xml:space="preserve">The predictive component of the </w:t>
      </w:r>
      <w:r w:rsidR="00D914BE">
        <w:rPr>
          <w:rFonts w:cs="Times New Roman"/>
          <w:szCs w:val="24"/>
        </w:rPr>
        <w:t>Predictions</w:t>
      </w:r>
      <w:r w:rsidR="00D914BE" w:rsidRPr="00D914BE">
        <w:rPr>
          <w:rFonts w:cs="Times New Roman"/>
          <w:szCs w:val="24"/>
        </w:rPr>
        <w:t xml:space="preserve"> App extends the analytics engine described earlier by incorporating machine-learning and time-series forecasting capabilities. This module allows users to forecast SDG performance up to 2030, comparing multiple models for interpretability and precision</w:t>
      </w:r>
      <w:r w:rsidR="00E7146B" w:rsidRPr="00340009">
        <w:rPr>
          <w:rFonts w:cs="Times New Roman"/>
          <w:szCs w:val="24"/>
        </w:rPr>
        <w:t>.</w:t>
      </w:r>
    </w:p>
    <w:p w14:paraId="3860943F" w14:textId="5757A246" w:rsidR="00D914BE" w:rsidRPr="00D914BE" w:rsidRDefault="00D914BE" w:rsidP="005404B2">
      <w:pPr>
        <w:rPr>
          <w:rFonts w:cs="Times New Roman"/>
          <w:szCs w:val="24"/>
        </w:rPr>
      </w:pPr>
      <w:r w:rsidRPr="00D914BE">
        <w:rPr>
          <w:rFonts w:cs="Times New Roman"/>
          <w:szCs w:val="24"/>
        </w:rPr>
        <w:t>Models Implemented</w:t>
      </w:r>
      <w:r w:rsidR="005404B2" w:rsidRPr="00340009">
        <w:rPr>
          <w:rFonts w:cs="Times New Roman"/>
          <w:szCs w:val="24"/>
        </w:rPr>
        <w:t xml:space="preserve">: </w:t>
      </w:r>
      <w:r w:rsidRPr="00D914BE">
        <w:rPr>
          <w:rFonts w:cs="Times New Roman"/>
          <w:szCs w:val="24"/>
        </w:rPr>
        <w:t>Linear Regression (LR): Establishes baseline linear trends between Year and SDG scores</w:t>
      </w:r>
      <w:r w:rsidR="005404B2" w:rsidRPr="00340009">
        <w:rPr>
          <w:rFonts w:cs="Times New Roman"/>
          <w:szCs w:val="24"/>
        </w:rPr>
        <w:t xml:space="preserve">. </w:t>
      </w:r>
      <w:r w:rsidRPr="00D914BE">
        <w:rPr>
          <w:rFonts w:cs="Times New Roman"/>
          <w:szCs w:val="24"/>
        </w:rPr>
        <w:t>Random Forest Regressor (RF): Captures non-linear and interaction effects. Hyperparameters such as n_estimators and max_depth were tuned to balance bias and variance</w:t>
      </w:r>
      <w:r w:rsidR="005404B2" w:rsidRPr="00340009">
        <w:rPr>
          <w:rFonts w:cs="Times New Roman"/>
          <w:szCs w:val="24"/>
        </w:rPr>
        <w:t xml:space="preserve">. </w:t>
      </w:r>
      <w:r w:rsidRPr="00D914BE">
        <w:rPr>
          <w:rFonts w:cs="Times New Roman"/>
          <w:szCs w:val="24"/>
        </w:rPr>
        <w:t>ARIMA: Models temporal dependencies through parameters (p, d, q), optimised using the Akaike and Bayesian Information Criteria (AIC/BIC) to ensure reliable forecasts</w:t>
      </w:r>
      <w:r w:rsidR="005404B2" w:rsidRPr="00340009">
        <w:rPr>
          <w:rFonts w:cs="Times New Roman"/>
          <w:szCs w:val="24"/>
        </w:rPr>
        <w:t>.</w:t>
      </w:r>
    </w:p>
    <w:p w14:paraId="6F056313" w14:textId="2198DDB2" w:rsidR="00F21F73" w:rsidRPr="00D914BE" w:rsidRDefault="00D914BE" w:rsidP="00EB323E">
      <w:pPr>
        <w:rPr>
          <w:b/>
          <w:bCs/>
        </w:rPr>
      </w:pPr>
      <w:r w:rsidRPr="00D914BE">
        <w:rPr>
          <w:rFonts w:cs="Times New Roman"/>
          <w:szCs w:val="24"/>
        </w:rPr>
        <w:t>Evaluation Metrics</w:t>
      </w:r>
      <w:r w:rsidR="005404B2" w:rsidRPr="00340009">
        <w:rPr>
          <w:rFonts w:cs="Times New Roman"/>
          <w:szCs w:val="24"/>
        </w:rPr>
        <w:t xml:space="preserve">: </w:t>
      </w:r>
      <w:r w:rsidRPr="00D914BE">
        <w:rPr>
          <w:rFonts w:cs="Times New Roman"/>
          <w:szCs w:val="24"/>
        </w:rPr>
        <w:t>Model performance was assessed using Root Mean Squared Error (RMSE), Coefficient of Determination (R²), AIC, and BIC values. RMSE measured average prediction errors, R² evaluated model explanatory power, and AIC/BIC penalised overfitting. Together, these metrics enabled a balanced comparison between linear, ensemble, and temporal forecasts</w:t>
      </w:r>
      <w:r w:rsidR="00E7146B">
        <w:rPr>
          <w:rFonts w:cs="Times New Roman"/>
          <w:szCs w:val="24"/>
        </w:rPr>
        <w:t>.</w:t>
      </w:r>
      <w:r w:rsidR="006B409F">
        <w:rPr>
          <w:rFonts w:cs="Times New Roman"/>
          <w:szCs w:val="24"/>
        </w:rPr>
        <w:t xml:space="preserve"> </w:t>
      </w:r>
      <w:r w:rsidR="00D9602A">
        <w:rPr>
          <w:b/>
          <w:bCs/>
        </w:rPr>
        <w:t>App link:</w:t>
      </w:r>
      <w:r w:rsidR="00956625">
        <w:rPr>
          <w:b/>
          <w:bCs/>
        </w:rPr>
        <w:t xml:space="preserve"> </w:t>
      </w:r>
      <w:hyperlink r:id="rId21" w:history="1">
        <w:r w:rsidR="00956625" w:rsidRPr="00956625">
          <w:rPr>
            <w:rStyle w:val="Hyperlink"/>
            <w:b/>
            <w:bCs/>
          </w:rPr>
          <w:t>SDG Predictions App</w:t>
        </w:r>
      </w:hyperlink>
      <w:r w:rsidR="00EB323E">
        <w:rPr>
          <w:b/>
          <w:bCs/>
        </w:rPr>
        <w:t xml:space="preserve"> | </w:t>
      </w:r>
      <w:r w:rsidR="00870B22">
        <w:rPr>
          <w:b/>
          <w:bCs/>
        </w:rPr>
        <w:t>Github</w:t>
      </w:r>
      <w:r w:rsidR="00F21F73" w:rsidRPr="004A6271">
        <w:t>:</w:t>
      </w:r>
      <w:r w:rsidR="00F21F73">
        <w:t xml:space="preserve"> </w:t>
      </w:r>
      <w:hyperlink r:id="rId22" w:history="1">
        <w:r w:rsidR="00870B22" w:rsidRPr="00870B22">
          <w:rPr>
            <w:rStyle w:val="Hyperlink"/>
          </w:rPr>
          <w:t>Sairam123-code/sdg-predictions-app</w:t>
        </w:r>
      </w:hyperlink>
      <w:r w:rsidR="00A66AEE">
        <w:t xml:space="preserve"> </w:t>
      </w:r>
      <w:r w:rsidR="00141288">
        <w:t xml:space="preserve">| </w:t>
      </w:r>
      <w:r w:rsidR="00141288" w:rsidRPr="00141288">
        <w:rPr>
          <w:b/>
          <w:bCs/>
        </w:rPr>
        <w:t>Kaggle</w:t>
      </w:r>
      <w:r w:rsidR="00141288">
        <w:t xml:space="preserve">: </w:t>
      </w:r>
      <w:hyperlink r:id="rId23" w:history="1">
        <w:r w:rsidR="00141288" w:rsidRPr="00EF5031">
          <w:rPr>
            <w:rStyle w:val="Hyperlink"/>
          </w:rPr>
          <w:t>https://www.kaggle.com/code/sairamceka/sdg-analysis</w:t>
        </w:r>
      </w:hyperlink>
    </w:p>
    <w:p w14:paraId="41B00F8D" w14:textId="6CE4D83A" w:rsidR="00BB2E4B" w:rsidRDefault="00BB2E4B" w:rsidP="00BB2E4B">
      <w:pPr>
        <w:pStyle w:val="Heading2"/>
      </w:pPr>
      <w:bookmarkStart w:id="20" w:name="_Toc211306860"/>
      <w:r w:rsidRPr="00E3132F">
        <w:t>Challenges encountered and how we resolved them</w:t>
      </w:r>
      <w:bookmarkEnd w:id="20"/>
    </w:p>
    <w:p w14:paraId="63CFBC37" w14:textId="536C60EF" w:rsidR="004748EA" w:rsidRPr="004748EA" w:rsidRDefault="004748EA" w:rsidP="00027A17">
      <w:pPr>
        <w:pStyle w:val="Heading3"/>
      </w:pPr>
      <w:bookmarkStart w:id="21" w:name="_Toc211306861"/>
      <w:r>
        <w:t>GoalScope SDG Analytics Hub (Seacor, 2025)</w:t>
      </w:r>
      <w:bookmarkEnd w:id="21"/>
    </w:p>
    <w:p w14:paraId="347D083E" w14:textId="77777777" w:rsidR="00BB2E4B" w:rsidRPr="00E3132F" w:rsidRDefault="00BB2E4B" w:rsidP="00027A17">
      <w:pPr>
        <w:pStyle w:val="Heading4"/>
      </w:pPr>
      <w:r w:rsidRPr="004748EA">
        <w:rPr>
          <w:rStyle w:val="Strong"/>
          <w:b/>
          <w:bCs/>
        </w:rPr>
        <w:t>Ranking</w:t>
      </w:r>
      <w:r w:rsidRPr="00E3132F">
        <w:rPr>
          <w:rStyle w:val="Strong"/>
          <w:b/>
          <w:bCs/>
        </w:rPr>
        <w:t xml:space="preserve"> mismatch with SDR (missing-value fallback).</w:t>
      </w:r>
    </w:p>
    <w:p w14:paraId="76D21641" w14:textId="79A5E511" w:rsidR="00BB2E4B" w:rsidRPr="00E3132F" w:rsidRDefault="00BB2E4B" w:rsidP="00BB2E4B">
      <w:pPr>
        <w:pStyle w:val="NormalWeb"/>
      </w:pPr>
      <w:r w:rsidRPr="00E3132F">
        <w:t xml:space="preserve">When we cross-checked our computed rankings against the SDR Rankings site and the 2025 report, we initially observed discrepancies. Investigation showed that where a country has missing values for specific goal scores, SDR falls back to the regional score for that goal in its index calculation. Our first pass treated missing goal values as NA (excluding them from the row mean), which biased some country rankings. We implemented the same regional fallback imputation for missing goal values in our pipeline and recomputed the Overall index </w:t>
      </w:r>
      <w:r w:rsidRPr="00E3132F">
        <w:lastRenderedPageBreak/>
        <w:t>and ranks. After this change, our country rankings and top/bottom lists matched the SDR outputs under the same filters and year, giving us a consistent verification baseline.</w:t>
      </w:r>
    </w:p>
    <w:p w14:paraId="0A36E41A" w14:textId="713F953B" w:rsidR="00E80498" w:rsidRPr="00E3132F" w:rsidRDefault="00F570D4" w:rsidP="00BB2E4B">
      <w:pPr>
        <w:pStyle w:val="NormalWeb"/>
      </w:pPr>
      <w:r w:rsidRPr="00E3132F">
        <w:t xml:space="preserve">The following code checks the SDG value (“Goal_*”) if </w:t>
      </w:r>
      <w:r w:rsidR="00027A24" w:rsidRPr="00E3132F">
        <w:t>empty then gets the value from the regional score (“Score_reg_*”)</w:t>
      </w:r>
      <w:r w:rsidR="00246186" w:rsidRPr="00E3132F">
        <w:t>:</w:t>
      </w:r>
    </w:p>
    <w:p w14:paraId="696F605C" w14:textId="4883B4A2" w:rsidR="008742F3" w:rsidRPr="00E3132F" w:rsidRDefault="008742F3" w:rsidP="00BB2E4B">
      <w:pPr>
        <w:pStyle w:val="NormalWeb"/>
      </w:pPr>
      <w:r w:rsidRPr="00E3132F">
        <w:drawing>
          <wp:inline distT="0" distB="0" distL="0" distR="0" wp14:anchorId="7FB5989E" wp14:editId="2FAFB7E0">
            <wp:extent cx="5731510" cy="546100"/>
            <wp:effectExtent l="0" t="0" r="2540" b="6350"/>
            <wp:docPr id="35106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1891" name=""/>
                    <pic:cNvPicPr/>
                  </pic:nvPicPr>
                  <pic:blipFill>
                    <a:blip r:embed="rId24"/>
                    <a:stretch>
                      <a:fillRect/>
                    </a:stretch>
                  </pic:blipFill>
                  <pic:spPr>
                    <a:xfrm>
                      <a:off x="0" y="0"/>
                      <a:ext cx="5731510" cy="546100"/>
                    </a:xfrm>
                    <a:prstGeom prst="rect">
                      <a:avLst/>
                    </a:prstGeom>
                  </pic:spPr>
                </pic:pic>
              </a:graphicData>
            </a:graphic>
          </wp:inline>
        </w:drawing>
      </w:r>
    </w:p>
    <w:p w14:paraId="4BE9EE2E" w14:textId="77777777" w:rsidR="00BB2E4B" w:rsidRPr="00E3132F" w:rsidRDefault="00BB2E4B" w:rsidP="00027A17">
      <w:pPr>
        <w:pStyle w:val="Heading4"/>
      </w:pPr>
      <w:r w:rsidRPr="00E3132F">
        <w:rPr>
          <w:rStyle w:val="Strong"/>
          <w:b/>
          <w:bCs/>
        </w:rPr>
        <w:t>NLP “</w:t>
      </w:r>
      <w:r w:rsidRPr="004748EA">
        <w:rPr>
          <w:rStyle w:val="Strong"/>
          <w:b/>
          <w:bCs/>
        </w:rPr>
        <w:t>insight</w:t>
      </w:r>
      <w:r w:rsidRPr="00E3132F">
        <w:rPr>
          <w:rStyle w:val="Strong"/>
          <w:b/>
          <w:bCs/>
        </w:rPr>
        <w:t>” generation under deployment constraints.</w:t>
      </w:r>
    </w:p>
    <w:p w14:paraId="414E699B" w14:textId="61444E21" w:rsidR="00BB2E4B" w:rsidRPr="00E3132F" w:rsidRDefault="00BB2E4B" w:rsidP="00BB2E4B">
      <w:pPr>
        <w:pStyle w:val="NormalWeb"/>
      </w:pPr>
      <w:r w:rsidRPr="00E3132F">
        <w:t xml:space="preserve">We prototyped on-box models (e.g., Mistral, Flan-T5), but the required model downloads and memory footprint were incompatible with our Streamlit hosting constraints. We switched to an API-hosted LLM (OpenAI) for the “Generate Insight” </w:t>
      </w:r>
      <w:r w:rsidR="004E51C0" w:rsidRPr="00E3132F">
        <w:t xml:space="preserve">and chatbot </w:t>
      </w:r>
      <w:r w:rsidRPr="00E3132F">
        <w:t>feature, which removed heavy model assets from the deployment and yielded acceptable latency and quality. To manage cost and robustness, we (i) scope prompts to compact table/figure summaries</w:t>
      </w:r>
      <w:r w:rsidR="002D5846" w:rsidRPr="00E3132F">
        <w:t xml:space="preserve"> and </w:t>
      </w:r>
      <w:r w:rsidRPr="00E3132F">
        <w:t>(ii) keep token budgets low</w:t>
      </w:r>
      <w:r w:rsidR="002D5846" w:rsidRPr="00E3132F">
        <w:t>.</w:t>
      </w:r>
    </w:p>
    <w:p w14:paraId="25755466" w14:textId="57A3979D" w:rsidR="009B0776" w:rsidRPr="00E3132F" w:rsidRDefault="00FB7392" w:rsidP="00027A17">
      <w:pPr>
        <w:pStyle w:val="Heading4"/>
      </w:pPr>
      <w:r>
        <w:t>Projection</w:t>
      </w:r>
      <w:r w:rsidR="009B0776" w:rsidRPr="00E3132F">
        <w:t xml:space="preserve"> reliability with short yearly panels.</w:t>
      </w:r>
    </w:p>
    <w:p w14:paraId="76600FD0" w14:textId="5271EA9F" w:rsidR="00510BBC" w:rsidRDefault="001F0AEA" w:rsidP="00BB2E4B">
      <w:pPr>
        <w:pStyle w:val="NormalWeb"/>
      </w:pPr>
      <w:r w:rsidRPr="001F0AEA">
        <w:t>With only ~10–25 annual points per country–goal, ETS fitting (level/trend/damping) is fragile and out-of-sample checks are weak. Structural breaks (method updates, COVID) and the bounded 0–100 scale—especially near the edges—further inflate uncertainty. Mitigations: cap horizons at 1–3 years; enforce a minimum history and suppress very short/flat series; default to level-only when AIC/validation doesn’t support a trend; benchmark against naïve baselines and report 80/95% intervals; and flag suspected breaks so results are read as scenarios, not firm predictions.</w:t>
      </w:r>
    </w:p>
    <w:p w14:paraId="73520C23" w14:textId="60E4174E" w:rsidR="00B20D8C" w:rsidRDefault="00B20D8C" w:rsidP="00B20D8C">
      <w:pPr>
        <w:pStyle w:val="Heading3"/>
      </w:pPr>
      <w:bookmarkStart w:id="22" w:name="_Toc211306862"/>
      <w:r>
        <w:t>SDG Predictions App (Ceka, 2025)</w:t>
      </w:r>
      <w:bookmarkEnd w:id="22"/>
    </w:p>
    <w:p w14:paraId="172A8A8A" w14:textId="40E93955" w:rsidR="00510BBC" w:rsidRDefault="001078C2" w:rsidP="00B20D8C">
      <w:pPr>
        <w:pStyle w:val="Heading4"/>
      </w:pPr>
      <w:r>
        <w:t>Forecast performance</w:t>
      </w:r>
    </w:p>
    <w:p w14:paraId="62848ADB" w14:textId="18C47C68" w:rsidR="006A3C0F" w:rsidRPr="00E3132F" w:rsidRDefault="00DC636C" w:rsidP="00BB2E4B">
      <w:pPr>
        <w:pStyle w:val="NormalWeb"/>
      </w:pPr>
      <w:r w:rsidRPr="00DC636C">
        <w:t>Ensuring temporal and regional consistency proved challenging: our metrics often pulled in different directions. Lowering RMSE and AIC could erode R², obscuring whether the module truly captured SDG trends across diverse countries. Balancing fit and parsimony to limit overfitting while retaining generalisability for 2026–2030 demanded extra validation and careful judgment.</w:t>
      </w:r>
    </w:p>
    <w:p w14:paraId="0B35EEB4" w14:textId="7CF94D5A" w:rsidR="00775014" w:rsidRPr="00E3132F" w:rsidRDefault="00196514" w:rsidP="00772FBE">
      <w:pPr>
        <w:pStyle w:val="Heading1"/>
      </w:pPr>
      <w:bookmarkStart w:id="23" w:name="_Toc211306863"/>
      <w:r w:rsidRPr="00E3132F">
        <w:lastRenderedPageBreak/>
        <w:t>Findings by Research Questions</w:t>
      </w:r>
      <w:bookmarkEnd w:id="23"/>
    </w:p>
    <w:p w14:paraId="0E520B5F" w14:textId="4C1067A8" w:rsidR="00905EA6" w:rsidRPr="00E3132F" w:rsidRDefault="00905EA6" w:rsidP="0027214A">
      <w:pPr>
        <w:pStyle w:val="Heading2"/>
      </w:pPr>
      <w:bookmarkStart w:id="24" w:name="_Toc211306864"/>
      <w:r w:rsidRPr="00E3132F">
        <w:t>Global snapshot (2025)</w:t>
      </w:r>
      <w:bookmarkEnd w:id="24"/>
    </w:p>
    <w:p w14:paraId="7C8AFC79" w14:textId="56CEC104" w:rsidR="00905EA6" w:rsidRPr="00E3132F" w:rsidRDefault="000D5C74" w:rsidP="0027214A">
      <w:pPr>
        <w:pStyle w:val="Heading3"/>
        <w:rPr>
          <w:rStyle w:val="Strong"/>
          <w:b/>
          <w:bCs/>
        </w:rPr>
      </w:pPr>
      <w:bookmarkStart w:id="25" w:name="_Toc211306865"/>
      <w:r w:rsidRPr="00E3132F">
        <w:rPr>
          <w:rStyle w:val="Strong"/>
          <w:b/>
          <w:bCs/>
        </w:rPr>
        <w:t>What is the current world average status and trajectory</w:t>
      </w:r>
      <w:r w:rsidR="00E40688" w:rsidRPr="00E3132F">
        <w:rPr>
          <w:rStyle w:val="Strong"/>
          <w:b/>
          <w:bCs/>
        </w:rPr>
        <w:t xml:space="preserve"> vs 2030 targets</w:t>
      </w:r>
      <w:r w:rsidR="00414AC8" w:rsidRPr="00E3132F">
        <w:rPr>
          <w:rStyle w:val="Strong"/>
          <w:b/>
          <w:bCs/>
        </w:rPr>
        <w:t>?</w:t>
      </w:r>
      <w:bookmarkEnd w:id="25"/>
    </w:p>
    <w:p w14:paraId="4B9B850E" w14:textId="2960A81D" w:rsidR="009D5E19" w:rsidRPr="00E3132F" w:rsidRDefault="00583BCF" w:rsidP="002F172E">
      <w:pPr>
        <w:rPr>
          <w:lang w:eastAsia="en-NZ"/>
        </w:rPr>
      </w:pPr>
      <w:r w:rsidRPr="00E3132F">
        <mc:AlternateContent>
          <mc:Choice Requires="wps">
            <w:drawing>
              <wp:anchor distT="0" distB="0" distL="114300" distR="114300" simplePos="0" relativeHeight="251636736" behindDoc="0" locked="0" layoutInCell="1" allowOverlap="1" wp14:anchorId="522464D7" wp14:editId="7D774831">
                <wp:simplePos x="0" y="0"/>
                <wp:positionH relativeFrom="column">
                  <wp:posOffset>-95885</wp:posOffset>
                </wp:positionH>
                <wp:positionV relativeFrom="paragraph">
                  <wp:posOffset>311785</wp:posOffset>
                </wp:positionV>
                <wp:extent cx="3779520" cy="2524760"/>
                <wp:effectExtent l="0" t="0" r="11430" b="27940"/>
                <wp:wrapSquare wrapText="bothSides"/>
                <wp:docPr id="1533720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9520" cy="2524760"/>
                        </a:xfrm>
                        <a:prstGeom prst="rect">
                          <a:avLst/>
                        </a:prstGeom>
                        <a:solidFill>
                          <a:srgbClr val="FFFFFF"/>
                        </a:solidFill>
                        <a:ln w="9525">
                          <a:solidFill>
                            <a:schemeClr val="bg1">
                              <a:lumMod val="95000"/>
                            </a:schemeClr>
                          </a:solidFill>
                          <a:miter lim="800000"/>
                          <a:headEnd/>
                          <a:tailEnd/>
                        </a:ln>
                      </wps:spPr>
                      <wps:txbx>
                        <w:txbxContent>
                          <w:p w14:paraId="76A048DD" w14:textId="149803E6" w:rsidR="009D5E19" w:rsidRPr="00E3132F" w:rsidRDefault="009D5E19" w:rsidP="009D5E19">
                            <w:pPr>
                              <w:keepNext/>
                            </w:pPr>
                            <w:bookmarkStart w:id="26" w:name="_Hlk210911068"/>
                            <w:bookmarkEnd w:id="26"/>
                            <w:r w:rsidRPr="00E3132F">
                              <w:drawing>
                                <wp:inline distT="0" distB="0" distL="0" distR="0" wp14:anchorId="56F7DDCC" wp14:editId="2821CD11">
                                  <wp:extent cx="3500651" cy="2173562"/>
                                  <wp:effectExtent l="0" t="0" r="5080" b="0"/>
                                  <wp:docPr id="577861508"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77128" name="Picture 1" descr="A graph with text on it&#10;&#10;AI-generated content may be incorrect."/>
                                          <pic:cNvPicPr/>
                                        </pic:nvPicPr>
                                        <pic:blipFill>
                                          <a:blip r:embed="rId25"/>
                                          <a:stretch>
                                            <a:fillRect/>
                                          </a:stretch>
                                        </pic:blipFill>
                                        <pic:spPr>
                                          <a:xfrm>
                                            <a:off x="0" y="0"/>
                                            <a:ext cx="3586976" cy="2227162"/>
                                          </a:xfrm>
                                          <a:prstGeom prst="rect">
                                            <a:avLst/>
                                          </a:prstGeom>
                                        </pic:spPr>
                                      </pic:pic>
                                    </a:graphicData>
                                  </a:graphic>
                                </wp:inline>
                              </w:drawing>
                            </w:r>
                          </w:p>
                          <w:p w14:paraId="7E18480F" w14:textId="504059F4" w:rsidR="009D5E19" w:rsidRPr="00E3132F" w:rsidRDefault="009D5E19" w:rsidP="009D5E19">
                            <w:pPr>
                              <w:pStyle w:val="Caption"/>
                            </w:pPr>
                            <w:r w:rsidRPr="00E3132F">
                              <w:t>Figure 1: Overall Ranking of SDG Goals for 2025</w:t>
                            </w:r>
                            <w:r w:rsidR="0003798F">
                              <w:t>. GoalScope (Seacor, 2025)</w:t>
                            </w:r>
                          </w:p>
                          <w:p w14:paraId="0491585F" w14:textId="77777777" w:rsidR="009D5E19" w:rsidRPr="00E3132F" w:rsidRDefault="009D5E19" w:rsidP="009D5E1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464D7" id="_x0000_s1027" type="#_x0000_t202" style="position:absolute;left:0;text-align:left;margin-left:-7.55pt;margin-top:24.55pt;width:297.6pt;height:198.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" strokecolor="#f2f2f2 [3052]">
                <v:textbox>
                  <w:txbxContent>
                    <w:p w14:paraId="76A048DD" w14:textId="149803E6" w:rsidR="009D5E19" w:rsidRPr="00E3132F" w:rsidRDefault="009D5E19" w:rsidP="009D5E19">
                      <w:pPr>
                        <w:keepNext/>
                      </w:pPr>
                      <w:bookmarkStart w:id="27" w:name="_Hlk210911068"/>
                      <w:bookmarkEnd w:id="27"/>
                      <w:r w:rsidRPr="00E3132F">
                        <w:drawing>
                          <wp:inline distT="0" distB="0" distL="0" distR="0" wp14:anchorId="56F7DDCC" wp14:editId="2821CD11">
                            <wp:extent cx="3500651" cy="2173562"/>
                            <wp:effectExtent l="0" t="0" r="5080" b="0"/>
                            <wp:docPr id="577861508"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77128" name="Picture 1" descr="A graph with text on it&#10;&#10;AI-generated content may be incorrect."/>
                                    <pic:cNvPicPr/>
                                  </pic:nvPicPr>
                                  <pic:blipFill>
                                    <a:blip r:embed="rId25"/>
                                    <a:stretch>
                                      <a:fillRect/>
                                    </a:stretch>
                                  </pic:blipFill>
                                  <pic:spPr>
                                    <a:xfrm>
                                      <a:off x="0" y="0"/>
                                      <a:ext cx="3586976" cy="2227162"/>
                                    </a:xfrm>
                                    <a:prstGeom prst="rect">
                                      <a:avLst/>
                                    </a:prstGeom>
                                  </pic:spPr>
                                </pic:pic>
                              </a:graphicData>
                            </a:graphic>
                          </wp:inline>
                        </w:drawing>
                      </w:r>
                    </w:p>
                    <w:p w14:paraId="7E18480F" w14:textId="504059F4" w:rsidR="009D5E19" w:rsidRPr="00E3132F" w:rsidRDefault="009D5E19" w:rsidP="009D5E19">
                      <w:pPr>
                        <w:pStyle w:val="Caption"/>
                      </w:pPr>
                      <w:r w:rsidRPr="00E3132F">
                        <w:t>Figure 1: Overall Ranking of SDG Goals for 2025</w:t>
                      </w:r>
                      <w:r w:rsidR="0003798F">
                        <w:t>. GoalScope (Seacor, 2025)</w:t>
                      </w:r>
                    </w:p>
                    <w:p w14:paraId="0491585F" w14:textId="77777777" w:rsidR="009D5E19" w:rsidRPr="00E3132F" w:rsidRDefault="009D5E19" w:rsidP="009D5E19"/>
                  </w:txbxContent>
                </v:textbox>
                <w10:wrap type="square"/>
              </v:shape>
            </w:pict>
          </mc:Fallback>
        </mc:AlternateContent>
      </w:r>
      <w:r w:rsidR="00B017E2" w:rsidRPr="00E3132F">
        <w:rPr>
          <w:lang w:eastAsia="en-NZ"/>
        </w:rPr>
        <w:t xml:space="preserve">Answer (see </w:t>
      </w:r>
      <w:r w:rsidR="009D5E19" w:rsidRPr="00E3132F">
        <w:rPr>
          <w:lang w:eastAsia="en-NZ"/>
        </w:rPr>
        <w:t xml:space="preserve">Figures 1 and </w:t>
      </w:r>
      <w:r w:rsidR="00C67769" w:rsidRPr="00E3132F">
        <w:rPr>
          <w:lang w:eastAsia="en-NZ"/>
        </w:rPr>
        <w:t>2</w:t>
      </w:r>
      <w:r w:rsidR="00B017E2" w:rsidRPr="00E3132F">
        <w:rPr>
          <w:lang w:eastAsia="en-NZ"/>
        </w:rPr>
        <w:t>).</w:t>
      </w:r>
      <w:r w:rsidR="009D5E19" w:rsidRPr="00E3132F">
        <w:rPr>
          <w:lang w:eastAsia="en-NZ"/>
        </w:rPr>
        <w:t xml:space="preserve"> </w:t>
      </w:r>
      <w:r w:rsidRPr="00E3132F">
        <w:rPr>
          <w:lang w:eastAsia="en-NZ"/>
        </w:rPr>
        <w:t>As per</w:t>
      </w:r>
      <w:r w:rsidR="009D5E19" w:rsidRPr="00E3132F">
        <w:rPr>
          <w:lang w:eastAsia="en-NZ"/>
        </w:rPr>
        <w:t xml:space="preserve"> the study’s scale where 100 represents the 2030 target, the closest-to-target group is led by SDG 13 (gap 16.2 points), followed by SDG 12 (gap 22.78) and SDG 1 (gap 24.70). These three are within roughly twenty to twenty-five points of the target and require sustained—but not transformational—late-stage gains.</w:t>
      </w:r>
    </w:p>
    <w:p w14:paraId="7683F8B0" w14:textId="2FDF6CE0" w:rsidR="00460870" w:rsidRPr="00E3132F" w:rsidRDefault="000B7142" w:rsidP="002F172E">
      <w:pPr>
        <w:rPr>
          <w:lang w:eastAsia="en-NZ"/>
        </w:rPr>
      </w:pPr>
      <w:r w:rsidRPr="00E3132F">
        <w:rPr>
          <w:lang w:eastAsia="en-NZ"/>
        </w:rPr>
        <mc:AlternateContent>
          <mc:Choice Requires="wps">
            <w:drawing>
              <wp:anchor distT="0" distB="0" distL="114300" distR="114300" simplePos="0" relativeHeight="251642880" behindDoc="0" locked="0" layoutInCell="1" allowOverlap="1" wp14:anchorId="31DD5BC0" wp14:editId="3F06127E">
                <wp:simplePos x="0" y="0"/>
                <wp:positionH relativeFrom="column">
                  <wp:posOffset>-914</wp:posOffset>
                </wp:positionH>
                <wp:positionV relativeFrom="paragraph">
                  <wp:posOffset>653796</wp:posOffset>
                </wp:positionV>
                <wp:extent cx="3415665" cy="2867025"/>
                <wp:effectExtent l="0" t="0" r="13335" b="28575"/>
                <wp:wrapSquare wrapText="bothSides"/>
                <wp:docPr id="1231484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5665" cy="2867025"/>
                        </a:xfrm>
                        <a:prstGeom prst="rect">
                          <a:avLst/>
                        </a:prstGeom>
                        <a:solidFill>
                          <a:srgbClr val="FFFFFF"/>
                        </a:solidFill>
                        <a:ln w="9525">
                          <a:solidFill>
                            <a:schemeClr val="bg1">
                              <a:lumMod val="95000"/>
                            </a:schemeClr>
                          </a:solidFill>
                          <a:miter lim="800000"/>
                          <a:headEnd/>
                          <a:tailEnd/>
                        </a:ln>
                      </wps:spPr>
                      <wps:txbx>
                        <w:txbxContent>
                          <w:p w14:paraId="0A772D94" w14:textId="77777777" w:rsidR="0045340F" w:rsidRPr="00E3132F" w:rsidRDefault="0045340F" w:rsidP="0045340F">
                            <w:pPr>
                              <w:keepNext/>
                            </w:pPr>
                            <w:r w:rsidRPr="00E3132F">
                              <w:drawing>
                                <wp:inline distT="0" distB="0" distL="0" distR="0" wp14:anchorId="21A24D84" wp14:editId="6A84806A">
                                  <wp:extent cx="3189033" cy="2465223"/>
                                  <wp:effectExtent l="0" t="0" r="0" b="0"/>
                                  <wp:docPr id="122680869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6419" name="Picture 1" descr="A graph of different colored lines&#10;&#10;AI-generated content may be incorrect."/>
                                          <pic:cNvPicPr/>
                                        </pic:nvPicPr>
                                        <pic:blipFill>
                                          <a:blip r:embed="rId26"/>
                                          <a:stretch>
                                            <a:fillRect/>
                                          </a:stretch>
                                        </pic:blipFill>
                                        <pic:spPr>
                                          <a:xfrm>
                                            <a:off x="0" y="0"/>
                                            <a:ext cx="3193122" cy="2468384"/>
                                          </a:xfrm>
                                          <a:prstGeom prst="rect">
                                            <a:avLst/>
                                          </a:prstGeom>
                                        </pic:spPr>
                                      </pic:pic>
                                    </a:graphicData>
                                  </a:graphic>
                                </wp:inline>
                              </w:drawing>
                            </w:r>
                          </w:p>
                          <w:p w14:paraId="191C469B" w14:textId="6BD5E9E7" w:rsidR="0045340F" w:rsidRPr="00E3132F" w:rsidRDefault="0045340F" w:rsidP="0045340F">
                            <w:pPr>
                              <w:pStyle w:val="Caption"/>
                            </w:pPr>
                            <w:r w:rsidRPr="00E3132F">
                              <w:t>Figure 2: SDG Timeline – 2015 to 2025</w:t>
                            </w:r>
                            <w:r w:rsidR="0003798F">
                              <w:t>. GoalScope (Seacor, 2025)</w:t>
                            </w:r>
                          </w:p>
                          <w:p w14:paraId="6CCD78DB" w14:textId="77777777" w:rsidR="0045340F" w:rsidRPr="00E3132F" w:rsidRDefault="0045340F" w:rsidP="0045340F"/>
                        </w:txbxContent>
                      </wps:txbx>
                      <wps:bodyPr rot="0" vert="horz" wrap="square" lIns="91440" tIns="45720" rIns="91440" bIns="45720" anchor="t" anchorCtr="0">
                        <a:noAutofit/>
                      </wps:bodyPr>
                    </wps:wsp>
                  </a:graphicData>
                </a:graphic>
              </wp:anchor>
            </w:drawing>
          </mc:Choice>
          <mc:Fallback>
            <w:pict>
              <v:shape w14:anchorId="31DD5BC0" id="_x0000_s1028" type="#_x0000_t202" style="position:absolute;left:0;text-align:left;margin-left:-.05pt;margin-top:51.5pt;width:268.95pt;height:225.7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" strokecolor="#f2f2f2 [3052]">
                <v:textbox>
                  <w:txbxContent>
                    <w:p w14:paraId="0A772D94" w14:textId="77777777" w:rsidR="0045340F" w:rsidRPr="00E3132F" w:rsidRDefault="0045340F" w:rsidP="0045340F">
                      <w:pPr>
                        <w:keepNext/>
                      </w:pPr>
                      <w:r w:rsidRPr="00E3132F">
                        <w:drawing>
                          <wp:inline distT="0" distB="0" distL="0" distR="0" wp14:anchorId="21A24D84" wp14:editId="6A84806A">
                            <wp:extent cx="3189033" cy="2465223"/>
                            <wp:effectExtent l="0" t="0" r="0" b="0"/>
                            <wp:docPr id="122680869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6419" name="Picture 1" descr="A graph of different colored lines&#10;&#10;AI-generated content may be incorrect."/>
                                    <pic:cNvPicPr/>
                                  </pic:nvPicPr>
                                  <pic:blipFill>
                                    <a:blip r:embed="rId26"/>
                                    <a:stretch>
                                      <a:fillRect/>
                                    </a:stretch>
                                  </pic:blipFill>
                                  <pic:spPr>
                                    <a:xfrm>
                                      <a:off x="0" y="0"/>
                                      <a:ext cx="3193122" cy="2468384"/>
                                    </a:xfrm>
                                    <a:prstGeom prst="rect">
                                      <a:avLst/>
                                    </a:prstGeom>
                                  </pic:spPr>
                                </pic:pic>
                              </a:graphicData>
                            </a:graphic>
                          </wp:inline>
                        </w:drawing>
                      </w:r>
                    </w:p>
                    <w:p w14:paraId="191C469B" w14:textId="6BD5E9E7" w:rsidR="0045340F" w:rsidRPr="00E3132F" w:rsidRDefault="0045340F" w:rsidP="0045340F">
                      <w:pPr>
                        <w:pStyle w:val="Caption"/>
                      </w:pPr>
                      <w:r w:rsidRPr="00E3132F">
                        <w:t>Figure 2: SDG Timeline – 2015 to 2025</w:t>
                      </w:r>
                      <w:r w:rsidR="0003798F">
                        <w:t>. GoalScope (Seacor, 2025)</w:t>
                      </w:r>
                    </w:p>
                    <w:p w14:paraId="6CCD78DB" w14:textId="77777777" w:rsidR="0045340F" w:rsidRPr="00E3132F" w:rsidRDefault="0045340F" w:rsidP="0045340F"/>
                  </w:txbxContent>
                </v:textbox>
                <w10:wrap type="square"/>
              </v:shape>
            </w:pict>
          </mc:Fallback>
        </mc:AlternateContent>
      </w:r>
      <w:r w:rsidR="009D5E19" w:rsidRPr="00E3132F">
        <w:rPr>
          <w:lang w:eastAsia="en-NZ"/>
        </w:rPr>
        <w:t>A broad needs-acceleration band sits 25–35 points from target: SDG 4 (gap 25.31) and SDG 11 (gap 26.20) head a cluster in the high-60s to low-70s—SDGs 3, 6, 8, 10, 17, 14, 15. These goals are progressing but will not reach the target by 2030 at current pace without policy and investment acceleration.</w:t>
      </w:r>
      <w:r w:rsidR="001D22C1">
        <w:rPr>
          <w:lang w:eastAsia="en-NZ"/>
        </w:rPr>
        <w:t xml:space="preserve"> </w:t>
      </w:r>
      <w:r w:rsidR="009D5E19" w:rsidRPr="00E3132F">
        <w:t>The off-track group faces the largest shortfalls: SDGs 2, 5, 16, and SDG 9. SDG 9 carries the biggest distance to target (gap about 48.5 points) despite being the fastest improver since 2015 (+25.78%). SDG 16 is moving in the wrong direction (−4.74%), widening its already substantial gap. SDG 5 and SDG 2 show positive but insufficient gains</w:t>
      </w:r>
      <w:r w:rsidR="009D5E19" w:rsidRPr="00E3132F">
        <w:rPr>
          <w:lang w:eastAsia="en-NZ"/>
        </w:rPr>
        <w:t xml:space="preserve"> relative to their remaining distance.</w:t>
      </w:r>
      <w:r>
        <w:rPr>
          <w:lang w:eastAsia="en-NZ"/>
        </w:rPr>
        <w:t xml:space="preserve"> </w:t>
      </w:r>
      <w:r w:rsidR="00B16B3B" w:rsidRPr="00E3132F">
        <w:rPr>
          <w:lang w:eastAsia="en-NZ"/>
        </w:rPr>
        <w:t>The overall assessment of global progress is grim; according to the United Nations’ 2023 midterm report—</w:t>
      </w:r>
      <w:r w:rsidR="00B16B3B" w:rsidRPr="00F80C46">
        <w:rPr>
          <w:lang w:eastAsia="en-NZ"/>
        </w:rPr>
        <w:t xml:space="preserve">as cited in Zerunyan and Duzert—only about 15% of targets are on </w:t>
      </w:r>
      <w:r w:rsidR="00B16B3B" w:rsidRPr="00F80C46">
        <w:rPr>
          <w:lang w:eastAsia="en-NZ"/>
        </w:rPr>
        <w:lastRenderedPageBreak/>
        <w:t>track, progress on more than 50% is</w:t>
      </w:r>
      <w:r w:rsidR="00B16B3B" w:rsidRPr="00E3132F">
        <w:rPr>
          <w:lang w:eastAsia="en-NZ"/>
        </w:rPr>
        <w:t xml:space="preserve"> weak or insufficient, and on 30% it has stalled or reversed (as cited in Zerunyan &amp; Duzert, 2025).</w:t>
      </w:r>
      <w:r w:rsidR="00AD1DC6">
        <w:rPr>
          <w:lang w:eastAsia="en-NZ"/>
        </w:rPr>
        <w:t xml:space="preserve"> </w:t>
      </w:r>
      <w:r w:rsidR="009D5E19" w:rsidRPr="00E3132F">
        <w:t>Implication for 2030</w:t>
      </w:r>
      <w:r w:rsidR="002F172E" w:rsidRPr="00E3132F">
        <w:t>:</w:t>
      </w:r>
      <w:r w:rsidR="009D5E19" w:rsidRPr="00E3132F">
        <w:t xml:space="preserve"> No goal is at or near full attainment. Priorities are: (1) lock in high-level performance on SDGs 13 and 12 while pushing for last-mile gains; (2) accelerate the mid-band (SDGs 4, 11, 3, 6, 8, 10, 17, 14, 15) through targeted policy packages; and (3) mount focused turnarounds for the off-track set—especially SDGs 16, 9, 5, 2—if the</w:t>
      </w:r>
      <w:r w:rsidR="009D5E19" w:rsidRPr="00E3132F">
        <w:rPr>
          <w:lang w:eastAsia="en-NZ"/>
        </w:rPr>
        <w:t xml:space="preserve"> global average is to close meaningful portions of the remaining gaps by 2030.</w:t>
      </w:r>
    </w:p>
    <w:p w14:paraId="7FFFBC89" w14:textId="66D71F5F" w:rsidR="00FF03C5" w:rsidRPr="00E3132F" w:rsidRDefault="00905EA6" w:rsidP="0027214A">
      <w:pPr>
        <w:pStyle w:val="Heading3"/>
      </w:pPr>
      <w:bookmarkStart w:id="28" w:name="_Toc211306866"/>
      <w:r w:rsidRPr="00E3132F">
        <w:rPr>
          <w:rStyle w:val="Strong"/>
          <w:b/>
          <w:bCs/>
        </w:rPr>
        <w:t>Which regions lead and which lag on the overall score in 2025?</w:t>
      </w:r>
      <w:bookmarkEnd w:id="28"/>
    </w:p>
    <w:p w14:paraId="1D1A38EB" w14:textId="09E4DB58" w:rsidR="00EF56E6" w:rsidRPr="00E3132F" w:rsidRDefault="004610FC" w:rsidP="00247B2A">
      <w:r w:rsidRPr="00E3132F">
        <mc:AlternateContent>
          <mc:Choice Requires="wps">
            <w:drawing>
              <wp:anchor distT="0" distB="0" distL="114300" distR="114300" simplePos="0" relativeHeight="251586560" behindDoc="0" locked="0" layoutInCell="1" allowOverlap="1" wp14:anchorId="5F0F4F1D" wp14:editId="429650CC">
                <wp:simplePos x="0" y="0"/>
                <wp:positionH relativeFrom="column">
                  <wp:posOffset>0</wp:posOffset>
                </wp:positionH>
                <wp:positionV relativeFrom="paragraph">
                  <wp:posOffset>589001</wp:posOffset>
                </wp:positionV>
                <wp:extent cx="3079115" cy="2209165"/>
                <wp:effectExtent l="0" t="0" r="26035" b="19685"/>
                <wp:wrapSquare wrapText="bothSides"/>
                <wp:docPr id="472763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115" cy="2209165"/>
                        </a:xfrm>
                        <a:prstGeom prst="rect">
                          <a:avLst/>
                        </a:prstGeom>
                        <a:solidFill>
                          <a:srgbClr val="FFFFFF"/>
                        </a:solidFill>
                        <a:ln w="9525">
                          <a:solidFill>
                            <a:schemeClr val="bg1">
                              <a:lumMod val="95000"/>
                            </a:schemeClr>
                          </a:solidFill>
                          <a:miter lim="800000"/>
                          <a:headEnd/>
                          <a:tailEnd/>
                        </a:ln>
                      </wps:spPr>
                      <wps:txbx>
                        <w:txbxContent>
                          <w:p w14:paraId="1BF3725D" w14:textId="77777777" w:rsidR="002C6A73" w:rsidRPr="00E3132F" w:rsidRDefault="00910EBB" w:rsidP="002C6A73">
                            <w:pPr>
                              <w:keepNext/>
                            </w:pPr>
                            <w:r w:rsidRPr="00E3132F">
                              <w:drawing>
                                <wp:inline distT="0" distB="0" distL="0" distR="0" wp14:anchorId="0447192E" wp14:editId="0197703B">
                                  <wp:extent cx="2823667" cy="1892088"/>
                                  <wp:effectExtent l="0" t="0" r="0" b="0"/>
                                  <wp:docPr id="157622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081" name=""/>
                                          <pic:cNvPicPr/>
                                        </pic:nvPicPr>
                                        <pic:blipFill>
                                          <a:blip r:embed="rId27"/>
                                          <a:stretch>
                                            <a:fillRect/>
                                          </a:stretch>
                                        </pic:blipFill>
                                        <pic:spPr>
                                          <a:xfrm>
                                            <a:off x="0" y="0"/>
                                            <a:ext cx="2847414" cy="1908001"/>
                                          </a:xfrm>
                                          <a:prstGeom prst="rect">
                                            <a:avLst/>
                                          </a:prstGeom>
                                        </pic:spPr>
                                      </pic:pic>
                                    </a:graphicData>
                                  </a:graphic>
                                </wp:inline>
                              </w:drawing>
                            </w:r>
                          </w:p>
                          <w:p w14:paraId="65770EAF" w14:textId="087B2D78" w:rsidR="002C6A73" w:rsidRPr="00E3132F" w:rsidRDefault="002C6A73" w:rsidP="002C6A73">
                            <w:pPr>
                              <w:pStyle w:val="Caption"/>
                              <w:jc w:val="left"/>
                            </w:pPr>
                            <w:r w:rsidRPr="00E3132F">
                              <w:t xml:space="preserve">Figure </w:t>
                            </w:r>
                            <w:r w:rsidR="00637328" w:rsidRPr="00E3132F">
                              <w:t>3</w:t>
                            </w:r>
                            <w:r w:rsidRPr="00E3132F">
                              <w:t xml:space="preserve">: </w:t>
                            </w:r>
                            <w:r w:rsidR="00D64C6D" w:rsidRPr="00E3132F">
                              <w:t>Regional Overall Score</w:t>
                            </w:r>
                            <w:r w:rsidR="0003798F">
                              <w:t>. GoalScope (Seacor, 2025)</w:t>
                            </w:r>
                          </w:p>
                          <w:p w14:paraId="04C8150E" w14:textId="2F383FC7" w:rsidR="0033564D" w:rsidRPr="00E3132F" w:rsidRDefault="003356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F4F1D" id="_x0000_s1029" type="#_x0000_t202" style="position:absolute;left:0;text-align:left;margin-left:0;margin-top:46.4pt;width:242.45pt;height:173.9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" strokecolor="#f2f2f2 [3052]">
                <v:textbox>
                  <w:txbxContent>
                    <w:p w14:paraId="1BF3725D" w14:textId="77777777" w:rsidR="002C6A73" w:rsidRPr="00E3132F" w:rsidRDefault="00910EBB" w:rsidP="002C6A73">
                      <w:pPr>
                        <w:keepNext/>
                      </w:pPr>
                      <w:r w:rsidRPr="00E3132F">
                        <w:drawing>
                          <wp:inline distT="0" distB="0" distL="0" distR="0" wp14:anchorId="0447192E" wp14:editId="0197703B">
                            <wp:extent cx="2823667" cy="1892088"/>
                            <wp:effectExtent l="0" t="0" r="0" b="0"/>
                            <wp:docPr id="157622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081" name=""/>
                                    <pic:cNvPicPr/>
                                  </pic:nvPicPr>
                                  <pic:blipFill>
                                    <a:blip r:embed="rId27"/>
                                    <a:stretch>
                                      <a:fillRect/>
                                    </a:stretch>
                                  </pic:blipFill>
                                  <pic:spPr>
                                    <a:xfrm>
                                      <a:off x="0" y="0"/>
                                      <a:ext cx="2847414" cy="1908001"/>
                                    </a:xfrm>
                                    <a:prstGeom prst="rect">
                                      <a:avLst/>
                                    </a:prstGeom>
                                  </pic:spPr>
                                </pic:pic>
                              </a:graphicData>
                            </a:graphic>
                          </wp:inline>
                        </w:drawing>
                      </w:r>
                    </w:p>
                    <w:p w14:paraId="65770EAF" w14:textId="087B2D78" w:rsidR="002C6A73" w:rsidRPr="00E3132F" w:rsidRDefault="002C6A73" w:rsidP="002C6A73">
                      <w:pPr>
                        <w:pStyle w:val="Caption"/>
                        <w:jc w:val="left"/>
                      </w:pPr>
                      <w:r w:rsidRPr="00E3132F">
                        <w:t xml:space="preserve">Figure </w:t>
                      </w:r>
                      <w:r w:rsidR="00637328" w:rsidRPr="00E3132F">
                        <w:t>3</w:t>
                      </w:r>
                      <w:r w:rsidRPr="00E3132F">
                        <w:t xml:space="preserve">: </w:t>
                      </w:r>
                      <w:r w:rsidR="00D64C6D" w:rsidRPr="00E3132F">
                        <w:t>Regional Overall Score</w:t>
                      </w:r>
                      <w:r w:rsidR="0003798F">
                        <w:t>. GoalScope (Seacor, 2025)</w:t>
                      </w:r>
                    </w:p>
                    <w:p w14:paraId="04C8150E" w14:textId="2F383FC7" w:rsidR="0033564D" w:rsidRPr="00E3132F" w:rsidRDefault="0033564D"/>
                  </w:txbxContent>
                </v:textbox>
                <w10:wrap type="square"/>
              </v:shape>
            </w:pict>
          </mc:Fallback>
        </mc:AlternateContent>
      </w:r>
      <w:r w:rsidR="00EF56E6" w:rsidRPr="00E3132F">
        <w:t>The OECD leads the regional ranking in 2025</w:t>
      </w:r>
      <w:r w:rsidR="001F2B20">
        <w:t xml:space="preserve"> (Figure 3)</w:t>
      </w:r>
      <w:r w:rsidR="00EF56E6" w:rsidRPr="00E3132F">
        <w:t xml:space="preserve"> with an overall score of 79.70, followed by Eastern Europe &amp; Central Asia (73.71). An upper-middle tier sits just under 70—Latin America &amp; the Caribbean (68.35) and East &amp; South Asia (68.03). MENA (64.93) and Oceania (63.19) are below the global middle. Africa records the lowest overall score at 56.39. The spread between the leader and laggard is 23.31 points, indicating sizable regional dispersion in</w:t>
      </w:r>
      <w:r w:rsidR="00EF56E6" w:rsidRPr="00E3132F">
        <w:rPr>
          <w:rFonts w:cs="Times New Roman"/>
          <w:szCs w:val="24"/>
        </w:rPr>
        <w:t xml:space="preserve"> progress toward the 2030 targets</w:t>
      </w:r>
      <w:r w:rsidR="00105FB2" w:rsidRPr="00E3132F">
        <w:t>.</w:t>
      </w:r>
    </w:p>
    <w:p w14:paraId="5CD62CC4" w14:textId="7F453549" w:rsidR="00FF03C5" w:rsidRPr="00E3132F" w:rsidRDefault="00105FB2" w:rsidP="00247B2A">
      <w:r w:rsidRPr="00E3132F">
        <w:t>This pattern is consistent with prior work: OECD members tend to exhibit the highest overall performance (Breuer et al., 2022), and their scores largely reflect already advanced socio-economic baselines (Finnveden, Verhoef, &amp; Newman, 2020).</w:t>
      </w:r>
    </w:p>
    <w:p w14:paraId="3CD90B88" w14:textId="1E9C8A41" w:rsidR="008C77B8" w:rsidRPr="00E3132F" w:rsidRDefault="003B306B" w:rsidP="008C77B8">
      <w:pPr>
        <w:pStyle w:val="Heading4"/>
      </w:pPr>
      <w:r w:rsidRPr="00E3132F">
        <w:t>OECD SDG performance profile, 2025</w:t>
      </w:r>
    </w:p>
    <w:p w14:paraId="137D012A" w14:textId="51CA0C62" w:rsidR="00E269BE" w:rsidRDefault="00B33B20" w:rsidP="00E416FE">
      <w:pPr>
        <w:rPr>
          <w:rFonts w:cs="Times New Roman"/>
          <w:szCs w:val="24"/>
        </w:rPr>
      </w:pPr>
      <w:r w:rsidRPr="00E3132F">
        <w:t>Figure 3 show us that t</w:t>
      </w:r>
      <w:r w:rsidR="00C44EF2" w:rsidRPr="00E3132F">
        <w:t xml:space="preserve">he OECD records the highest regional overall SDG score in 2025 (79.7), </w:t>
      </w:r>
      <w:r w:rsidR="00BF4FBD" w:rsidRPr="00E3132F">
        <w:t>In Figure 4 we see</w:t>
      </w:r>
      <w:r w:rsidR="00C44EF2" w:rsidRPr="00E3132F">
        <w:t xml:space="preserve"> strengths in the socio-economic core (Goals 1, 3, 4, 6, 7, 9, 11) and the main gaps in the environmental block—especially SDG 12 (58.45), plus SDGs 14–15 and 13.</w:t>
      </w:r>
      <w:r w:rsidR="00E416FE" w:rsidRPr="00E3132F">
        <w:t xml:space="preserve"> </w:t>
      </w:r>
      <w:r w:rsidR="00D22F0B">
        <w:t xml:space="preserve">The plot </w:t>
      </w:r>
      <w:r w:rsidR="0013058F">
        <w:t xml:space="preserve"> </w:t>
      </w:r>
      <w:r w:rsidR="00E416FE" w:rsidRPr="00E3132F">
        <w:t>shows a classic advanced-economy wheel: the social–economic SDGs (1, 3, 4, 6, 7, 8, 9, 11) are long and even; the environmental pillar is shorter and uneven, with a clear trough at SDG 12 and softer bars on SDG 14–15. A smaller dip at SDG 2 and SDG 17 reflects dependencies on food systems and cross-border coordination. In short: strong services and infrastructure; patchier progress on production–consumption, nature, and enablers.</w:t>
      </w:r>
      <w:r w:rsidR="002F172E" w:rsidRPr="00E3132F">
        <w:t xml:space="preserve"> </w:t>
      </w:r>
      <w:r w:rsidR="00172A2B" w:rsidRPr="00E3132F">
        <w:rPr>
          <w:rFonts w:cs="Times New Roman"/>
          <w:szCs w:val="24"/>
        </w:rPr>
        <w:t xml:space="preserve">Barbier and Burgess (2021) confirm similar findings: OECD countries—typically </w:t>
      </w:r>
      <w:r w:rsidR="00172A2B" w:rsidRPr="00E3132F">
        <w:rPr>
          <w:rFonts w:cs="Times New Roman"/>
          <w:szCs w:val="24"/>
        </w:rPr>
        <w:lastRenderedPageBreak/>
        <w:t xml:space="preserve">classified as high-income in SDG assessments—tend to achieve high overall SDG scores, with strengths concentrated in foundational social and economic domains. High-income countries are commonly on track or maintaining achievement across core economic and social objectives (SDGs 1–9), including reducing extreme poverty and improving access to </w:t>
      </w:r>
      <w:r w:rsidR="003056FD" w:rsidRPr="00E3132F">
        <mc:AlternateContent>
          <mc:Choice Requires="wps">
            <w:drawing>
              <wp:anchor distT="0" distB="0" distL="114300" distR="114300" simplePos="0" relativeHeight="251655168" behindDoc="0" locked="0" layoutInCell="1" allowOverlap="1" wp14:anchorId="40252D06" wp14:editId="42A1D033">
                <wp:simplePos x="0" y="0"/>
                <wp:positionH relativeFrom="column">
                  <wp:posOffset>-489585</wp:posOffset>
                </wp:positionH>
                <wp:positionV relativeFrom="paragraph">
                  <wp:posOffset>1401445</wp:posOffset>
                </wp:positionV>
                <wp:extent cx="4157980" cy="4507865"/>
                <wp:effectExtent l="0" t="0" r="13970" b="26035"/>
                <wp:wrapSquare wrapText="bothSides"/>
                <wp:docPr id="2137383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980" cy="4507865"/>
                        </a:xfrm>
                        <a:prstGeom prst="rect">
                          <a:avLst/>
                        </a:prstGeom>
                        <a:solidFill>
                          <a:srgbClr val="FFFFFF"/>
                        </a:solidFill>
                        <a:ln w="9525">
                          <a:solidFill>
                            <a:schemeClr val="bg1">
                              <a:lumMod val="95000"/>
                            </a:schemeClr>
                          </a:solidFill>
                          <a:miter lim="800000"/>
                          <a:headEnd/>
                          <a:tailEnd/>
                        </a:ln>
                      </wps:spPr>
                      <wps:txbx>
                        <w:txbxContent>
                          <w:p w14:paraId="5D05EA0D" w14:textId="77777777" w:rsidR="000B7142" w:rsidRPr="00E3132F" w:rsidRDefault="000B7142" w:rsidP="000B7142">
                            <w:pPr>
                              <w:keepNext/>
                            </w:pPr>
                            <w:r w:rsidRPr="00E3132F">
                              <w:drawing>
                                <wp:inline distT="0" distB="0" distL="0" distR="0" wp14:anchorId="23D74672" wp14:editId="14B64AAD">
                                  <wp:extent cx="3968375" cy="4158532"/>
                                  <wp:effectExtent l="0" t="0" r="0" b="0"/>
                                  <wp:docPr id="1073365678" name="Picture 1" descr="A diagram with numbers and a circular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5678" name="Picture 1" descr="A diagram with numbers and a circular shape&#10;&#10;AI-generated content may be incorrect."/>
                                          <pic:cNvPicPr/>
                                        </pic:nvPicPr>
                                        <pic:blipFill>
                                          <a:blip r:embed="rId28"/>
                                          <a:stretch>
                                            <a:fillRect/>
                                          </a:stretch>
                                        </pic:blipFill>
                                        <pic:spPr>
                                          <a:xfrm>
                                            <a:off x="0" y="0"/>
                                            <a:ext cx="4004026" cy="4195891"/>
                                          </a:xfrm>
                                          <a:prstGeom prst="rect">
                                            <a:avLst/>
                                          </a:prstGeom>
                                        </pic:spPr>
                                      </pic:pic>
                                    </a:graphicData>
                                  </a:graphic>
                                </wp:inline>
                              </w:drawing>
                            </w:r>
                          </w:p>
                          <w:p w14:paraId="46F0ED95" w14:textId="788C1375" w:rsidR="000B7142" w:rsidRPr="00E3132F" w:rsidRDefault="000B7142" w:rsidP="000B7142">
                            <w:pPr>
                              <w:pStyle w:val="Caption"/>
                            </w:pPr>
                            <w:r w:rsidRPr="00E3132F">
                              <w:t>Figure 4: Performance Wheel - OECD</w:t>
                            </w:r>
                            <w:r w:rsidR="0003798F">
                              <w:t>. GoalScope (Seacor, 2025)</w:t>
                            </w:r>
                          </w:p>
                        </w:txbxContent>
                      </wps:txbx>
                      <wps:bodyPr rot="0" vert="horz" wrap="square" lIns="91440" tIns="45720" rIns="91440" bIns="45720" anchor="t" anchorCtr="0">
                        <a:noAutofit/>
                      </wps:bodyPr>
                    </wps:wsp>
                  </a:graphicData>
                </a:graphic>
              </wp:anchor>
            </w:drawing>
          </mc:Choice>
          <mc:Fallback>
            <w:pict>
              <v:shape w14:anchorId="40252D06" id="_x0000_s1030" type="#_x0000_t202" style="position:absolute;left:0;text-align:left;margin-left:-38.55pt;margin-top:110.35pt;width:327.4pt;height:354.9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" strokecolor="#f2f2f2 [3052]">
                <v:textbox>
                  <w:txbxContent>
                    <w:p w14:paraId="5D05EA0D" w14:textId="77777777" w:rsidR="000B7142" w:rsidRPr="00E3132F" w:rsidRDefault="000B7142" w:rsidP="000B7142">
                      <w:pPr>
                        <w:keepNext/>
                      </w:pPr>
                      <w:r w:rsidRPr="00E3132F">
                        <w:drawing>
                          <wp:inline distT="0" distB="0" distL="0" distR="0" wp14:anchorId="23D74672" wp14:editId="14B64AAD">
                            <wp:extent cx="3968375" cy="4158532"/>
                            <wp:effectExtent l="0" t="0" r="0" b="0"/>
                            <wp:docPr id="1073365678" name="Picture 1" descr="A diagram with numbers and a circular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5678" name="Picture 1" descr="A diagram with numbers and a circular shape&#10;&#10;AI-generated content may be incorrect."/>
                                    <pic:cNvPicPr/>
                                  </pic:nvPicPr>
                                  <pic:blipFill>
                                    <a:blip r:embed="rId28"/>
                                    <a:stretch>
                                      <a:fillRect/>
                                    </a:stretch>
                                  </pic:blipFill>
                                  <pic:spPr>
                                    <a:xfrm>
                                      <a:off x="0" y="0"/>
                                      <a:ext cx="4004026" cy="4195891"/>
                                    </a:xfrm>
                                    <a:prstGeom prst="rect">
                                      <a:avLst/>
                                    </a:prstGeom>
                                  </pic:spPr>
                                </pic:pic>
                              </a:graphicData>
                            </a:graphic>
                          </wp:inline>
                        </w:drawing>
                      </w:r>
                    </w:p>
                    <w:p w14:paraId="46F0ED95" w14:textId="788C1375" w:rsidR="000B7142" w:rsidRPr="00E3132F" w:rsidRDefault="000B7142" w:rsidP="000B7142">
                      <w:pPr>
                        <w:pStyle w:val="Caption"/>
                      </w:pPr>
                      <w:r w:rsidRPr="00E3132F">
                        <w:t>Figure 4: Performance Wheel - OECD</w:t>
                      </w:r>
                      <w:r w:rsidR="0003798F">
                        <w:t>. GoalScope (Seacor, 2025)</w:t>
                      </w:r>
                    </w:p>
                  </w:txbxContent>
                </v:textbox>
                <w10:wrap type="square"/>
              </v:shape>
            </w:pict>
          </mc:Fallback>
        </mc:AlternateContent>
      </w:r>
      <w:r w:rsidR="00172A2B" w:rsidRPr="00E3132F">
        <w:rPr>
          <w:rFonts w:cs="Times New Roman"/>
          <w:szCs w:val="24"/>
        </w:rPr>
        <w:t>basic services.</w:t>
      </w:r>
    </w:p>
    <w:p w14:paraId="29B50E34" w14:textId="416EC6B6" w:rsidR="00F05606" w:rsidRPr="00E3132F" w:rsidRDefault="00E416FE" w:rsidP="002F172E">
      <w:r w:rsidRPr="00E3132F">
        <w:t>Implication</w:t>
      </w:r>
      <w:r w:rsidR="002F172E" w:rsidRPr="00E3132F">
        <w:t>:</w:t>
      </w:r>
      <w:r w:rsidRPr="00E3132F">
        <w:t xml:space="preserve"> With many social–economic SDGs near the ceiling (diminishing returns), the headroom—and policy leverage—lies in the sustainability transition: SDG 12, 14–15, and the enablers SDG 2/17. Priorities: resource-efficiency/circular standards, producer responsibility, green procurement and innovation, nature-positive investment, resilient food systems, and international partnerships</w:t>
      </w:r>
      <w:r w:rsidR="00C05D98">
        <w:t xml:space="preserve"> </w:t>
      </w:r>
      <w:r w:rsidRPr="00E3132F">
        <w:t>/</w:t>
      </w:r>
      <w:r w:rsidR="00C05D98">
        <w:t xml:space="preserve"> </w:t>
      </w:r>
      <w:r w:rsidRPr="00E3132F">
        <w:t>finance. The next step-change comes less from expanding services and more from embedding circular, nature-positive production and deeper cooperation into the existing economic base.</w:t>
      </w:r>
    </w:p>
    <w:p w14:paraId="195E7B45" w14:textId="2AE82AFC" w:rsidR="00B6539B" w:rsidRPr="00E3132F" w:rsidRDefault="00557038" w:rsidP="00C06BE7">
      <w:pPr>
        <w:pStyle w:val="Heading4"/>
      </w:pPr>
      <w:r w:rsidRPr="00E3132F">
        <w:t>Africa SDG performance profile, 2025</w:t>
      </w:r>
    </w:p>
    <w:p w14:paraId="73BD6FA2" w14:textId="283A60B3" w:rsidR="00253AD6" w:rsidRDefault="00C44EF2" w:rsidP="00E23C79">
      <w:pPr>
        <w:rPr>
          <w:rFonts w:cs="Times New Roman"/>
          <w:szCs w:val="24"/>
        </w:rPr>
      </w:pPr>
      <w:r w:rsidRPr="00E3132F">
        <w:rPr>
          <w:rFonts w:cs="Times New Roman"/>
          <w:szCs w:val="24"/>
        </w:rPr>
        <w:t>Africa records the lowest regional overall SDG score in 2025</w:t>
      </w:r>
      <w:r w:rsidR="00F2172B" w:rsidRPr="00E3132F">
        <w:rPr>
          <w:rFonts w:cs="Times New Roman"/>
          <w:szCs w:val="24"/>
        </w:rPr>
        <w:t xml:space="preserve"> (Figure 3)</w:t>
      </w:r>
      <w:r w:rsidRPr="00E3132F">
        <w:rPr>
          <w:rFonts w:cs="Times New Roman"/>
          <w:szCs w:val="24"/>
        </w:rPr>
        <w:t>, well below the OECD.</w:t>
      </w:r>
      <w:r w:rsidR="00F11D71" w:rsidRPr="00E3132F">
        <w:rPr>
          <w:rFonts w:cs="Times New Roman"/>
          <w:szCs w:val="24"/>
        </w:rPr>
        <w:t xml:space="preserve"> Many African countries, classified as low-income economies, have generally performed poorly in attaining all SDGs</w:t>
      </w:r>
      <w:r w:rsidR="00C9595E" w:rsidRPr="00E3132F">
        <w:rPr>
          <w:rFonts w:cs="Times New Roman"/>
          <w:szCs w:val="24"/>
        </w:rPr>
        <w:t xml:space="preserve"> (Barbier and Burgess, 2021).</w:t>
      </w:r>
      <w:r w:rsidR="000E39E1" w:rsidRPr="00E3132F">
        <w:rPr>
          <w:rFonts w:cs="Times New Roman"/>
          <w:szCs w:val="24"/>
        </w:rPr>
        <w:t xml:space="preserve"> As shown in </w:t>
      </w:r>
      <w:r w:rsidR="00253AD6" w:rsidRPr="00E3132F">
        <w:rPr>
          <w:rFonts w:cs="Times New Roman"/>
          <w:szCs w:val="24"/>
        </w:rPr>
        <w:t>Figure 5</w:t>
      </w:r>
      <w:r w:rsidR="000E39E1" w:rsidRPr="00E3132F">
        <w:rPr>
          <w:rFonts w:cs="Times New Roman"/>
          <w:szCs w:val="24"/>
        </w:rPr>
        <w:t xml:space="preserve">, the performance wheel is </w:t>
      </w:r>
      <w:r w:rsidR="0090617F" w:rsidRPr="00E3132F">
        <w:rPr>
          <w:rFonts w:cs="Times New Roman"/>
          <w:szCs w:val="24"/>
        </w:rPr>
        <w:t xml:space="preserve">asymmetric: the environmental SDGs form the longest arc—especially SDG 12 (responsible consumption/production) and SDG 13 (climate action)—while several basic-service and inclusion SDGs are short, with clear troughs around SDG 6 (clean water and sanitation) and SDG 10 (reduced inequalities) and softer bars on SDG 1–4. A mid-tier ridge appears at SDG 9 (industry/innovation/infrastructure) and SDG 17 </w:t>
      </w:r>
      <w:r w:rsidR="0090617F" w:rsidRPr="00E3132F">
        <w:rPr>
          <w:rFonts w:cs="Times New Roman"/>
          <w:szCs w:val="24"/>
        </w:rPr>
        <w:lastRenderedPageBreak/>
        <w:t>(partnerships), indicating momentum in infrastructure and cooperation even as household-</w:t>
      </w:r>
      <w:r w:rsidR="000B7142" w:rsidRPr="00E3132F">
        <w:rPr>
          <w:rFonts w:cs="Times New Roman"/>
          <w:szCs w:val="24"/>
        </w:rPr>
        <mc:AlternateContent>
          <mc:Choice Requires="wps">
            <w:drawing>
              <wp:anchor distT="0" distB="0" distL="114300" distR="114300" simplePos="0" relativeHeight="251657216" behindDoc="1" locked="0" layoutInCell="1" allowOverlap="1" wp14:anchorId="47FB22AA" wp14:editId="54BD151C">
                <wp:simplePos x="0" y="0"/>
                <wp:positionH relativeFrom="column">
                  <wp:posOffset>-694944</wp:posOffset>
                </wp:positionH>
                <wp:positionV relativeFrom="paragraph">
                  <wp:posOffset>591160</wp:posOffset>
                </wp:positionV>
                <wp:extent cx="4135120" cy="4496435"/>
                <wp:effectExtent l="0" t="0" r="17780" b="18415"/>
                <wp:wrapSquare wrapText="bothSides"/>
                <wp:docPr id="12214437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5120" cy="4496435"/>
                        </a:xfrm>
                        <a:prstGeom prst="rect">
                          <a:avLst/>
                        </a:prstGeom>
                        <a:solidFill>
                          <a:srgbClr val="FFFFFF"/>
                        </a:solidFill>
                        <a:ln w="9525">
                          <a:solidFill>
                            <a:schemeClr val="bg1">
                              <a:lumMod val="95000"/>
                            </a:schemeClr>
                          </a:solidFill>
                          <a:miter lim="800000"/>
                          <a:headEnd/>
                          <a:tailEnd/>
                        </a:ln>
                      </wps:spPr>
                      <wps:txbx>
                        <w:txbxContent>
                          <w:p w14:paraId="62781B17" w14:textId="77777777" w:rsidR="000B7142" w:rsidRPr="00E3132F" w:rsidRDefault="000B7142" w:rsidP="000B7142">
                            <w:pPr>
                              <w:keepNext/>
                            </w:pPr>
                            <w:r w:rsidRPr="00E3132F">
                              <w:drawing>
                                <wp:inline distT="0" distB="0" distL="0" distR="0" wp14:anchorId="1AC1A860" wp14:editId="12651EF4">
                                  <wp:extent cx="3930556" cy="4145726"/>
                                  <wp:effectExtent l="0" t="0" r="0" b="7620"/>
                                  <wp:docPr id="168585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51833" name=""/>
                                          <pic:cNvPicPr/>
                                        </pic:nvPicPr>
                                        <pic:blipFill>
                                          <a:blip r:embed="rId29"/>
                                          <a:stretch>
                                            <a:fillRect/>
                                          </a:stretch>
                                        </pic:blipFill>
                                        <pic:spPr>
                                          <a:xfrm>
                                            <a:off x="0" y="0"/>
                                            <a:ext cx="3961809" cy="4178690"/>
                                          </a:xfrm>
                                          <a:prstGeom prst="rect">
                                            <a:avLst/>
                                          </a:prstGeom>
                                        </pic:spPr>
                                      </pic:pic>
                                    </a:graphicData>
                                  </a:graphic>
                                </wp:inline>
                              </w:drawing>
                            </w:r>
                          </w:p>
                          <w:p w14:paraId="34B42550" w14:textId="30D3588E" w:rsidR="000B7142" w:rsidRPr="00E3132F" w:rsidRDefault="000B7142" w:rsidP="000B7142">
                            <w:pPr>
                              <w:pStyle w:val="Caption"/>
                              <w:jc w:val="left"/>
                            </w:pPr>
                            <w:r w:rsidRPr="00E3132F">
                              <w:t>Figure 5: Performance Wheel - Africa</w:t>
                            </w:r>
                            <w:r w:rsidR="0003798F">
                              <w:t>. GoalScope (Seacor, 2025)</w:t>
                            </w:r>
                          </w:p>
                          <w:p w14:paraId="7E082D60" w14:textId="77777777" w:rsidR="000B7142" w:rsidRPr="00E3132F" w:rsidRDefault="000B7142" w:rsidP="000B7142"/>
                        </w:txbxContent>
                      </wps:txbx>
                      <wps:bodyPr rot="0" vert="horz" wrap="square" lIns="91440" tIns="45720" rIns="91440" bIns="45720" anchor="t" anchorCtr="0">
                        <a:noAutofit/>
                      </wps:bodyPr>
                    </wps:wsp>
                  </a:graphicData>
                </a:graphic>
              </wp:anchor>
            </w:drawing>
          </mc:Choice>
          <mc:Fallback>
            <w:pict>
              <v:shape w14:anchorId="47FB22AA" id="_x0000_s1031" type="#_x0000_t202" style="position:absolute;left:0;text-align:left;margin-left:-54.7pt;margin-top:46.55pt;width:325.6pt;height:354.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" strokecolor="#f2f2f2 [3052]">
                <v:textbox>
                  <w:txbxContent>
                    <w:p w14:paraId="62781B17" w14:textId="77777777" w:rsidR="000B7142" w:rsidRPr="00E3132F" w:rsidRDefault="000B7142" w:rsidP="000B7142">
                      <w:pPr>
                        <w:keepNext/>
                      </w:pPr>
                      <w:r w:rsidRPr="00E3132F">
                        <w:drawing>
                          <wp:inline distT="0" distB="0" distL="0" distR="0" wp14:anchorId="1AC1A860" wp14:editId="12651EF4">
                            <wp:extent cx="3930556" cy="4145726"/>
                            <wp:effectExtent l="0" t="0" r="0" b="7620"/>
                            <wp:docPr id="168585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51833" name=""/>
                                    <pic:cNvPicPr/>
                                  </pic:nvPicPr>
                                  <pic:blipFill>
                                    <a:blip r:embed="rId29"/>
                                    <a:stretch>
                                      <a:fillRect/>
                                    </a:stretch>
                                  </pic:blipFill>
                                  <pic:spPr>
                                    <a:xfrm>
                                      <a:off x="0" y="0"/>
                                      <a:ext cx="3961809" cy="4178690"/>
                                    </a:xfrm>
                                    <a:prstGeom prst="rect">
                                      <a:avLst/>
                                    </a:prstGeom>
                                  </pic:spPr>
                                </pic:pic>
                              </a:graphicData>
                            </a:graphic>
                          </wp:inline>
                        </w:drawing>
                      </w:r>
                    </w:p>
                    <w:p w14:paraId="34B42550" w14:textId="30D3588E" w:rsidR="000B7142" w:rsidRPr="00E3132F" w:rsidRDefault="000B7142" w:rsidP="000B7142">
                      <w:pPr>
                        <w:pStyle w:val="Caption"/>
                        <w:jc w:val="left"/>
                      </w:pPr>
                      <w:r w:rsidRPr="00E3132F">
                        <w:t>Figure 5: Performance Wheel - Africa</w:t>
                      </w:r>
                      <w:r w:rsidR="0003798F">
                        <w:t>. GoalScope (Seacor, 2025)</w:t>
                      </w:r>
                    </w:p>
                    <w:p w14:paraId="7E082D60" w14:textId="77777777" w:rsidR="000B7142" w:rsidRPr="00E3132F" w:rsidRDefault="000B7142" w:rsidP="000B7142"/>
                  </w:txbxContent>
                </v:textbox>
                <w10:wrap type="square"/>
              </v:shape>
            </w:pict>
          </mc:Fallback>
        </mc:AlternateContent>
      </w:r>
      <w:r w:rsidR="0090617F" w:rsidRPr="00E3132F">
        <w:rPr>
          <w:rFonts w:cs="Times New Roman"/>
          <w:szCs w:val="24"/>
        </w:rPr>
        <w:t>level services lag.</w:t>
      </w:r>
      <w:r w:rsidR="00E331B8">
        <w:rPr>
          <w:rFonts w:cs="Times New Roman"/>
          <w:szCs w:val="24"/>
        </w:rPr>
        <w:t xml:space="preserve"> </w:t>
      </w:r>
      <w:r w:rsidR="0090617F" w:rsidRPr="00E3132F">
        <w:rPr>
          <w:rFonts w:cs="Times New Roman"/>
          <w:szCs w:val="24"/>
        </w:rPr>
        <w:t>Implication</w:t>
      </w:r>
      <w:r w:rsidR="00742247">
        <w:rPr>
          <w:rFonts w:cs="Times New Roman"/>
          <w:szCs w:val="24"/>
        </w:rPr>
        <w:t xml:space="preserve">: </w:t>
      </w:r>
      <w:r w:rsidR="0090617F" w:rsidRPr="00E3132F">
        <w:rPr>
          <w:rFonts w:cs="Times New Roman"/>
          <w:szCs w:val="24"/>
        </w:rPr>
        <w:t>The profile suggests a two-track agenda. First, close foundational gaps—water and sanitation (SDG 6), poverty/health/education (SDG 1–4), and inequality (SDG 10)—because these constrain progress across the system. Second, protect and translate the environmental advantage (high scores on SDG 12–13, and relatively solid SDG 14–15) into growth that remains nature-positive as incomes rise; without policy, catch-up industrialisation can erode today’s strengths. Practically, that points to integrated packages: service delivery + jobs and energy access (SDG 7–8–9) paired with circular-economy standards and nature investment (SDG 12, 14–15), backed by finance and technology partnerships (SDG 17).</w:t>
      </w:r>
    </w:p>
    <w:p w14:paraId="6A83704B" w14:textId="05690D85" w:rsidR="00905EA6" w:rsidRDefault="00905EA6" w:rsidP="0027214A">
      <w:pPr>
        <w:pStyle w:val="Heading2"/>
      </w:pPr>
      <w:bookmarkStart w:id="29" w:name="_Toc211306867"/>
      <w:r w:rsidRPr="00E3132F">
        <w:rPr>
          <w:rFonts w:hint="eastAsia"/>
        </w:rPr>
        <w:t>Change &amp; momentum</w:t>
      </w:r>
      <w:bookmarkEnd w:id="29"/>
    </w:p>
    <w:p w14:paraId="454364D2" w14:textId="5641927B" w:rsidR="005B40A7" w:rsidRDefault="001A21F8" w:rsidP="00247B2A">
      <w:pPr>
        <w:pStyle w:val="Heading3"/>
        <w:rPr>
          <w:rStyle w:val="Strong"/>
          <w:b/>
          <w:bCs/>
        </w:rPr>
      </w:pPr>
      <w:bookmarkStart w:id="30" w:name="_Toc211306868"/>
      <w:r w:rsidRPr="00E3132F">
        <w:t xml:space="preserve">Which SDG goals account for the largest positive change between 2015 and 2025, and which goals show stagnation or decline, based on </w:t>
      </w:r>
      <w:r w:rsidR="00F841DD">
        <w:t>%</w:t>
      </w:r>
      <w:r w:rsidRPr="00E3132F">
        <w:t xml:space="preserve"> change in the goal index</w:t>
      </w:r>
      <w:r w:rsidR="00905EA6" w:rsidRPr="00E3132F">
        <w:rPr>
          <w:rStyle w:val="Strong"/>
          <w:b/>
          <w:bCs/>
        </w:rPr>
        <w:t>?</w:t>
      </w:r>
      <w:bookmarkEnd w:id="30"/>
    </w:p>
    <w:p w14:paraId="322BBB6B" w14:textId="524357EB" w:rsidR="007742D1" w:rsidRPr="007742D1" w:rsidRDefault="007742D1" w:rsidP="000B7142">
      <w:pPr>
        <w:keepNext/>
      </w:pPr>
      <w:r w:rsidRPr="00E3132F">
        <w:t xml:space="preserve">The </w:t>
      </w:r>
      <w:r w:rsidR="00F841DD">
        <w:t>%</w:t>
      </w:r>
      <w:r w:rsidRPr="00E3132F">
        <w:t xml:space="preserve"> change from 2015 to 2025 (Figure 6) shows the largest relative improvement occurs for SDG 9 industry innovation and infrastructure at 25.84</w:t>
      </w:r>
      <w:r w:rsidR="00F841DD">
        <w:t>%</w:t>
      </w:r>
      <w:r w:rsidRPr="00E3132F">
        <w:t>. Meaningful gains follow for SDG 5 gender equality at 9.52</w:t>
      </w:r>
      <w:r w:rsidR="00F841DD">
        <w:t>%</w:t>
      </w:r>
      <w:r w:rsidRPr="00E3132F">
        <w:t xml:space="preserve"> and SDG 10 reduced inequalities at 8.05</w:t>
      </w:r>
      <w:r w:rsidR="00F841DD">
        <w:t>%</w:t>
      </w:r>
      <w:r w:rsidRPr="00E3132F">
        <w:t>. Moderate increases are observed for SDG 7 affordable and clean energy 6.26</w:t>
      </w:r>
      <w:r w:rsidR="00F841DD">
        <w:t>%</w:t>
      </w:r>
      <w:r w:rsidRPr="00E3132F">
        <w:t xml:space="preserve"> SDG 1 no poverty 6.08</w:t>
      </w:r>
      <w:r w:rsidR="00F841DD">
        <w:t>%</w:t>
      </w:r>
      <w:r w:rsidRPr="00E3132F">
        <w:t xml:space="preserve"> SDG 3 good health 5.74</w:t>
      </w:r>
      <w:r w:rsidR="00F841DD">
        <w:t>%</w:t>
      </w:r>
      <w:r w:rsidRPr="00E3132F">
        <w:t xml:space="preserve"> SDG 15 life on land 5.01</w:t>
      </w:r>
      <w:r w:rsidR="00F841DD">
        <w:t>%</w:t>
      </w:r>
      <w:r w:rsidRPr="00E3132F">
        <w:t xml:space="preserve"> and SDG 17 partnerships 4.68</w:t>
      </w:r>
      <w:r w:rsidR="00F841DD">
        <w:t>%</w:t>
      </w:r>
      <w:r w:rsidRPr="00E3132F">
        <w:t>. Smaller but positive movements appear for SDG 8 decent work 3.49</w:t>
      </w:r>
      <w:r w:rsidR="00F841DD">
        <w:t>%</w:t>
      </w:r>
      <w:r w:rsidRPr="00E3132F">
        <w:t xml:space="preserve"> SDG 14 life below water 2.76</w:t>
      </w:r>
      <w:r w:rsidR="00F841DD">
        <w:t>%</w:t>
      </w:r>
      <w:r w:rsidRPr="00E3132F">
        <w:t xml:space="preserve"> SDG 6 clean water and sanitation 2.61</w:t>
      </w:r>
      <w:r w:rsidR="00F841DD">
        <w:t>%</w:t>
      </w:r>
      <w:r w:rsidRPr="00E3132F">
        <w:t xml:space="preserve"> SDG 12 responsible consumption and production 1.04</w:t>
      </w:r>
      <w:r w:rsidR="00F841DD">
        <w:t>%</w:t>
      </w:r>
      <w:r w:rsidRPr="00E3132F">
        <w:t xml:space="preserve"> SDG 2 zero hunger 0.61</w:t>
      </w:r>
      <w:r w:rsidR="00F841DD">
        <w:t>%</w:t>
      </w:r>
      <w:r w:rsidRPr="00E3132F">
        <w:t xml:space="preserve"> and SDG 4 quality education </w:t>
      </w:r>
      <w:r w:rsidRPr="00E3132F">
        <w:lastRenderedPageBreak/>
        <w:t>0.49</w:t>
      </w:r>
      <w:r w:rsidR="00F841DD">
        <w:t>%</w:t>
      </w:r>
      <w:r w:rsidRPr="00E3132F">
        <w:t>. SDG 11 sustainable cities and SDG 13 climate action are essentially unchanged. SDG 16 peace justice and strong institutions decline by minus 4.80</w:t>
      </w:r>
      <w:r w:rsidR="00F841DD">
        <w:t>%</w:t>
      </w:r>
      <w:r w:rsidRPr="00E3132F">
        <w:t xml:space="preserve">. </w:t>
      </w:r>
      <w:r>
        <w:t xml:space="preserve"> </w:t>
      </w:r>
      <w:r w:rsidRPr="00E3132F">
        <w:t xml:space="preserve">The pattern indicates a </w:t>
      </w:r>
      <w:r w:rsidR="000B7142" w:rsidRPr="00E3132F">
        <mc:AlternateContent>
          <mc:Choice Requires="wps">
            <w:drawing>
              <wp:anchor distT="0" distB="0" distL="114300" distR="114300" simplePos="0" relativeHeight="251667456" behindDoc="0" locked="0" layoutInCell="1" allowOverlap="1" wp14:anchorId="7C90A577" wp14:editId="3563AD9B">
                <wp:simplePos x="0" y="0"/>
                <wp:positionH relativeFrom="column">
                  <wp:posOffset>-532765</wp:posOffset>
                </wp:positionH>
                <wp:positionV relativeFrom="paragraph">
                  <wp:posOffset>643641</wp:posOffset>
                </wp:positionV>
                <wp:extent cx="3677920" cy="3220720"/>
                <wp:effectExtent l="0" t="0" r="17780" b="17780"/>
                <wp:wrapSquare wrapText="bothSides"/>
                <wp:docPr id="587957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7920" cy="3220720"/>
                        </a:xfrm>
                        <a:prstGeom prst="rect">
                          <a:avLst/>
                        </a:prstGeom>
                        <a:solidFill>
                          <a:srgbClr val="FFFFFF"/>
                        </a:solidFill>
                        <a:ln w="9525">
                          <a:solidFill>
                            <a:schemeClr val="bg1">
                              <a:lumMod val="95000"/>
                            </a:schemeClr>
                          </a:solidFill>
                          <a:miter lim="800000"/>
                          <a:headEnd/>
                          <a:tailEnd/>
                        </a:ln>
                      </wps:spPr>
                      <wps:txbx>
                        <w:txbxContent>
                          <w:p w14:paraId="6C34FE10" w14:textId="77777777" w:rsidR="000B7142" w:rsidRPr="00E3132F" w:rsidRDefault="000B7142" w:rsidP="000B7142">
                            <w:pPr>
                              <w:keepNext/>
                            </w:pPr>
                            <w:r w:rsidRPr="00E3132F">
                              <w:drawing>
                                <wp:inline distT="0" distB="0" distL="0" distR="0" wp14:anchorId="50F10738" wp14:editId="49AECEE1">
                                  <wp:extent cx="2893326" cy="2864528"/>
                                  <wp:effectExtent l="0" t="0" r="2540" b="0"/>
                                  <wp:docPr id="1478370666"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55067" name="Picture 1" descr="A graph of a bar graph&#10;&#10;AI-generated content may be incorrect."/>
                                          <pic:cNvPicPr/>
                                        </pic:nvPicPr>
                                        <pic:blipFill>
                                          <a:blip r:embed="rId30"/>
                                          <a:stretch>
                                            <a:fillRect/>
                                          </a:stretch>
                                        </pic:blipFill>
                                        <pic:spPr>
                                          <a:xfrm>
                                            <a:off x="0" y="0"/>
                                            <a:ext cx="2899115" cy="2870259"/>
                                          </a:xfrm>
                                          <a:prstGeom prst="rect">
                                            <a:avLst/>
                                          </a:prstGeom>
                                        </pic:spPr>
                                      </pic:pic>
                                    </a:graphicData>
                                  </a:graphic>
                                </wp:inline>
                              </w:drawing>
                            </w:r>
                          </w:p>
                          <w:p w14:paraId="48039948" w14:textId="36F90C8A" w:rsidR="000B7142" w:rsidRPr="00E3132F" w:rsidRDefault="000B7142" w:rsidP="000B7142">
                            <w:pPr>
                              <w:pStyle w:val="Caption"/>
                              <w:jc w:val="left"/>
                            </w:pPr>
                            <w:r w:rsidRPr="00E3132F">
                              <w:t>Figure 6: SDG Percent Change – 2015 to 2025</w:t>
                            </w:r>
                            <w:r w:rsidR="0003798F">
                              <w:t>. GoalScope (Seacor, 2025)</w:t>
                            </w:r>
                          </w:p>
                          <w:p w14:paraId="4D1C4788" w14:textId="77777777" w:rsidR="000B7142" w:rsidRPr="00E3132F" w:rsidRDefault="000B7142" w:rsidP="000B7142"/>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C90A577" id="_x0000_s1032" type="#_x0000_t202" style="position:absolute;left:0;text-align:left;margin-left:-41.95pt;margin-top:50.7pt;width:289.6pt;height:253.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" strokecolor="#f2f2f2 [3052]">
                <v:textbox>
                  <w:txbxContent>
                    <w:p w14:paraId="6C34FE10" w14:textId="77777777" w:rsidR="000B7142" w:rsidRPr="00E3132F" w:rsidRDefault="000B7142" w:rsidP="000B7142">
                      <w:pPr>
                        <w:keepNext/>
                      </w:pPr>
                      <w:r w:rsidRPr="00E3132F">
                        <w:drawing>
                          <wp:inline distT="0" distB="0" distL="0" distR="0" wp14:anchorId="50F10738" wp14:editId="49AECEE1">
                            <wp:extent cx="2893326" cy="2864528"/>
                            <wp:effectExtent l="0" t="0" r="2540" b="0"/>
                            <wp:docPr id="1478370666"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55067" name="Picture 1" descr="A graph of a bar graph&#10;&#10;AI-generated content may be incorrect."/>
                                    <pic:cNvPicPr/>
                                  </pic:nvPicPr>
                                  <pic:blipFill>
                                    <a:blip r:embed="rId30"/>
                                    <a:stretch>
                                      <a:fillRect/>
                                    </a:stretch>
                                  </pic:blipFill>
                                  <pic:spPr>
                                    <a:xfrm>
                                      <a:off x="0" y="0"/>
                                      <a:ext cx="2899115" cy="2870259"/>
                                    </a:xfrm>
                                    <a:prstGeom prst="rect">
                                      <a:avLst/>
                                    </a:prstGeom>
                                  </pic:spPr>
                                </pic:pic>
                              </a:graphicData>
                            </a:graphic>
                          </wp:inline>
                        </w:drawing>
                      </w:r>
                    </w:p>
                    <w:p w14:paraId="48039948" w14:textId="36F90C8A" w:rsidR="000B7142" w:rsidRPr="00E3132F" w:rsidRDefault="000B7142" w:rsidP="000B7142">
                      <w:pPr>
                        <w:pStyle w:val="Caption"/>
                        <w:jc w:val="left"/>
                      </w:pPr>
                      <w:r w:rsidRPr="00E3132F">
                        <w:t>Figure 6: SDG Percent Change – 2015 to 2025</w:t>
                      </w:r>
                      <w:r w:rsidR="0003798F">
                        <w:t>. GoalScope (Seacor, 2025)</w:t>
                      </w:r>
                    </w:p>
                    <w:p w14:paraId="4D1C4788" w14:textId="77777777" w:rsidR="000B7142" w:rsidRPr="00E3132F" w:rsidRDefault="000B7142" w:rsidP="000B7142"/>
                  </w:txbxContent>
                </v:textbox>
                <w10:wrap type="square"/>
              </v:shape>
            </w:pict>
          </mc:Fallback>
        </mc:AlternateContent>
      </w:r>
      <w:r w:rsidRPr="00E3132F">
        <w:t>growth and innovation led improvement concentrated in SDG 9, supported by advances in gender equality and inequality reduction. However, institutional quality weakens and climate action together with sustainable cities shows little momentum. Policy priorities should therefore sustain the innovation gains while instituting corrective measures for institutions and accelerating delivery for climate and urban sustainability to convert the flat lines into measurable progress by 2030.</w:t>
      </w:r>
      <w:r w:rsidR="000B7142">
        <w:t xml:space="preserve"> </w:t>
      </w:r>
      <w:r w:rsidRPr="00E3132F">
        <w:t>These 2015–2025 results are broadly consistent with earlier evidence: Hegre, Petrova, and von Uexkull (2020) found no global improvement for SDG 10, SDG 12, and SDG 16 during 2000–2016. In our data, SDG 10 improves by 8.57</w:t>
      </w:r>
      <w:r w:rsidR="00F841DD">
        <w:t>%</w:t>
      </w:r>
      <w:r w:rsidRPr="00E3132F">
        <w:t>, SDG 12 edges up 1.04</w:t>
      </w:r>
      <w:r w:rsidR="00F841DD">
        <w:t>%</w:t>
      </w:r>
      <w:r w:rsidRPr="00E3132F">
        <w:t>, and SDG 16 declines by 4.74</w:t>
      </w:r>
      <w:r w:rsidR="00F841DD">
        <w:t>%</w:t>
      </w:r>
      <w:r w:rsidRPr="00E3132F">
        <w:t>, indicating a partial break from earlier stagnation on inequalities, only marginal movement on responsible consumption and production, and continued weakness in institutions (see Figures 1 and 6).</w:t>
      </w:r>
    </w:p>
    <w:p w14:paraId="7280E2A8" w14:textId="433D833A" w:rsidR="00C64A3C" w:rsidRPr="00E3132F" w:rsidRDefault="005B6A79" w:rsidP="0027214A">
      <w:pPr>
        <w:pStyle w:val="Heading3"/>
      </w:pPr>
      <w:bookmarkStart w:id="31" w:name="_Toc211306869"/>
      <w:r w:rsidRPr="00E3132F">
        <w:t>Which countries improved the most—and which slipped—on the Overall SDG Index between 2015 and 2025, and what patterns by region and starting level emerge?</w:t>
      </w:r>
      <w:bookmarkEnd w:id="31"/>
    </w:p>
    <w:p w14:paraId="45E04F70" w14:textId="5ABC5CBE" w:rsidR="00CB0DBE" w:rsidRPr="00E3132F" w:rsidRDefault="005B05CD" w:rsidP="00CB0DBE">
      <w:r w:rsidRPr="00E3132F">
        <w:t xml:space="preserve">Figure 7 </w:t>
      </w:r>
      <w:r w:rsidR="007F4DF7">
        <w:t xml:space="preserve">shows </w:t>
      </w:r>
      <w:r w:rsidRPr="00E3132F">
        <w:t>the</w:t>
      </w:r>
      <w:r w:rsidR="00CB0DBE" w:rsidRPr="00E3132F">
        <w:t xml:space="preserve"> fastest improvers on the overall SDG score over 2015–2025 are Côte d’Ivoire, Togo, Benin, Guinea-Bissau, and Djibouti. All five rise across the decade, with the West African cases showing the steepest and most sustained climbs, and Djibouti improving more gradually. By contrast, </w:t>
      </w:r>
      <w:r w:rsidRPr="00E3132F">
        <w:t xml:space="preserve">Figure 8 shows </w:t>
      </w:r>
      <w:r w:rsidR="00CB0DBE" w:rsidRPr="00E3132F">
        <w:t xml:space="preserve">the slowest progress group—Trinidad and Tobago, Lebanon, Algeria, Zimbabwe, and Yemen—is largely flat to slightly negative; several series soften after 2019, indicating stalled momentum rather than catch-up. This pattern—faster gains from lower baselines and slower gains from higher baselines—is consistent with the broader literature: the Sustainable Development Report 2025 notes that high-income/OECD economies advanced more slowly on the SDG index, while lower- and </w:t>
      </w:r>
      <w:r w:rsidR="00CB0DBE" w:rsidRPr="00E3132F">
        <w:lastRenderedPageBreak/>
        <w:t>lower-middle-income groups posted the largest improvements (Sachs, Lafortune, Kroll, Fuller, &amp; Iablonovski, 2025).</w:t>
      </w:r>
    </w:p>
    <w:p w14:paraId="19560E0A" w14:textId="05292A8F" w:rsidR="00B5086C" w:rsidRPr="00E3132F" w:rsidRDefault="00B5086C" w:rsidP="00C24B16">
      <w:r w:rsidRPr="00E3132F">
        <w:rPr>
          <w:rFonts w:cs="Times New Roman"/>
          <w:szCs w:val="24"/>
        </w:rPr>
        <mc:AlternateContent>
          <mc:Choice Requires="wps">
            <w:drawing>
              <wp:inline distT="0" distB="0" distL="0" distR="0" wp14:anchorId="33E647FF" wp14:editId="062448A5">
                <wp:extent cx="2763672" cy="2289976"/>
                <wp:effectExtent l="0" t="0" r="17780" b="15240"/>
                <wp:docPr id="80516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3672" cy="2289976"/>
                        </a:xfrm>
                        <a:prstGeom prst="rect">
                          <a:avLst/>
                        </a:prstGeom>
                        <a:solidFill>
                          <a:srgbClr val="FFFFFF"/>
                        </a:solidFill>
                        <a:ln w="9525">
                          <a:solidFill>
                            <a:schemeClr val="bg1">
                              <a:lumMod val="85000"/>
                            </a:schemeClr>
                          </a:solidFill>
                          <a:miter lim="800000"/>
                          <a:headEnd/>
                          <a:tailEnd/>
                        </a:ln>
                      </wps:spPr>
                      <wps:txbx>
                        <w:txbxContent>
                          <w:p w14:paraId="086FC7F1" w14:textId="399138F3" w:rsidR="00B5086C" w:rsidRPr="00E3132F" w:rsidRDefault="00E66EBC" w:rsidP="00B5086C">
                            <w:pPr>
                              <w:keepNext/>
                            </w:pPr>
                            <w:r w:rsidRPr="00E3132F">
                              <w:drawing>
                                <wp:inline distT="0" distB="0" distL="0" distR="0" wp14:anchorId="13429081" wp14:editId="16C8A24C">
                                  <wp:extent cx="2579427" cy="1801719"/>
                                  <wp:effectExtent l="0" t="0" r="0" b="8255"/>
                                  <wp:docPr id="59938169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1696" name="Picture 1" descr="A graph of different colored lines&#10;&#10;AI-generated content may be incorrect."/>
                                          <pic:cNvPicPr/>
                                        </pic:nvPicPr>
                                        <pic:blipFill>
                                          <a:blip r:embed="rId31"/>
                                          <a:stretch>
                                            <a:fillRect/>
                                          </a:stretch>
                                        </pic:blipFill>
                                        <pic:spPr>
                                          <a:xfrm>
                                            <a:off x="0" y="0"/>
                                            <a:ext cx="2594735" cy="1812411"/>
                                          </a:xfrm>
                                          <a:prstGeom prst="rect">
                                            <a:avLst/>
                                          </a:prstGeom>
                                        </pic:spPr>
                                      </pic:pic>
                                    </a:graphicData>
                                  </a:graphic>
                                </wp:inline>
                              </w:drawing>
                            </w:r>
                          </w:p>
                          <w:p w14:paraId="43562C70" w14:textId="73D1D6AC" w:rsidR="00B5086C" w:rsidRPr="00E3132F" w:rsidRDefault="00B5086C" w:rsidP="00B5086C">
                            <w:pPr>
                              <w:pStyle w:val="Caption"/>
                              <w:jc w:val="left"/>
                            </w:pPr>
                            <w:r w:rsidRPr="00E3132F">
                              <w:t xml:space="preserve">Figure 7: </w:t>
                            </w:r>
                            <w:r w:rsidR="00B72664" w:rsidRPr="00E3132F">
                              <w:t>C</w:t>
                            </w:r>
                            <w:r w:rsidRPr="00E3132F">
                              <w:t>ountries with fastest progress (% change)</w:t>
                            </w:r>
                            <w:r w:rsidR="008F1FC9" w:rsidRPr="008F1FC9">
                              <w:t xml:space="preserve"> </w:t>
                            </w:r>
                            <w:r w:rsidR="008F1FC9">
                              <w:t>. GoalScope (Seacor, 2025)</w:t>
                            </w:r>
                          </w:p>
                          <w:p w14:paraId="5BF38DE4" w14:textId="77777777" w:rsidR="00B5086C" w:rsidRPr="00E3132F" w:rsidRDefault="00B5086C" w:rsidP="00B5086C"/>
                        </w:txbxContent>
                      </wps:txbx>
                      <wps:bodyPr rot="0" vert="horz" wrap="square" lIns="91440" tIns="45720" rIns="91440" bIns="45720" anchor="t" anchorCtr="0">
                        <a:noAutofit/>
                      </wps:bodyPr>
                    </wps:wsp>
                  </a:graphicData>
                </a:graphic>
              </wp:inline>
            </w:drawing>
          </mc:Choice>
          <mc:Fallback>
            <w:pict>
              <v:shape w14:anchorId="33E647FF" id="Text Box 2" o:spid="_x0000_s1033" type="#_x0000_t202" style="width:217.6pt;height:18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" strokecolor="#d8d8d8 [2732]">
                <v:textbox>
                  <w:txbxContent>
                    <w:p w14:paraId="086FC7F1" w14:textId="399138F3" w:rsidR="00B5086C" w:rsidRPr="00E3132F" w:rsidRDefault="00E66EBC" w:rsidP="00B5086C">
                      <w:pPr>
                        <w:keepNext/>
                      </w:pPr>
                      <w:r w:rsidRPr="00E3132F">
                        <w:drawing>
                          <wp:inline distT="0" distB="0" distL="0" distR="0" wp14:anchorId="13429081" wp14:editId="16C8A24C">
                            <wp:extent cx="2579427" cy="1801719"/>
                            <wp:effectExtent l="0" t="0" r="0" b="8255"/>
                            <wp:docPr id="59938169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1696" name="Picture 1" descr="A graph of different colored lines&#10;&#10;AI-generated content may be incorrect."/>
                                    <pic:cNvPicPr/>
                                  </pic:nvPicPr>
                                  <pic:blipFill>
                                    <a:blip r:embed="rId31"/>
                                    <a:stretch>
                                      <a:fillRect/>
                                    </a:stretch>
                                  </pic:blipFill>
                                  <pic:spPr>
                                    <a:xfrm>
                                      <a:off x="0" y="0"/>
                                      <a:ext cx="2594735" cy="1812411"/>
                                    </a:xfrm>
                                    <a:prstGeom prst="rect">
                                      <a:avLst/>
                                    </a:prstGeom>
                                  </pic:spPr>
                                </pic:pic>
                              </a:graphicData>
                            </a:graphic>
                          </wp:inline>
                        </w:drawing>
                      </w:r>
                    </w:p>
                    <w:p w14:paraId="43562C70" w14:textId="73D1D6AC" w:rsidR="00B5086C" w:rsidRPr="00E3132F" w:rsidRDefault="00B5086C" w:rsidP="00B5086C">
                      <w:pPr>
                        <w:pStyle w:val="Caption"/>
                        <w:jc w:val="left"/>
                      </w:pPr>
                      <w:r w:rsidRPr="00E3132F">
                        <w:t xml:space="preserve">Figure 7: </w:t>
                      </w:r>
                      <w:r w:rsidR="00B72664" w:rsidRPr="00E3132F">
                        <w:t>C</w:t>
                      </w:r>
                      <w:r w:rsidRPr="00E3132F">
                        <w:t>ountries with fastest progress (% change)</w:t>
                      </w:r>
                      <w:r w:rsidR="008F1FC9" w:rsidRPr="008F1FC9">
                        <w:t xml:space="preserve"> </w:t>
                      </w:r>
                      <w:r w:rsidR="008F1FC9">
                        <w:t>. GoalScope (Seacor, 2025)</w:t>
                      </w:r>
                    </w:p>
                    <w:p w14:paraId="5BF38DE4" w14:textId="77777777" w:rsidR="00B5086C" w:rsidRPr="00E3132F" w:rsidRDefault="00B5086C" w:rsidP="00B5086C"/>
                  </w:txbxContent>
                </v:textbox>
                <w10:anchorlock/>
              </v:shape>
            </w:pict>
          </mc:Fallback>
        </mc:AlternateContent>
      </w:r>
      <w:r w:rsidR="00332A4C" w:rsidRPr="00E3132F">
        <mc:AlternateContent>
          <mc:Choice Requires="wps">
            <w:drawing>
              <wp:inline distT="0" distB="0" distL="0" distR="0" wp14:anchorId="17526022" wp14:editId="34BC75EE">
                <wp:extent cx="2729553" cy="2282025"/>
                <wp:effectExtent l="0" t="0" r="13970" b="23495"/>
                <wp:docPr id="303904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553" cy="2282025"/>
                        </a:xfrm>
                        <a:prstGeom prst="rect">
                          <a:avLst/>
                        </a:prstGeom>
                        <a:solidFill>
                          <a:srgbClr val="FFFFFF"/>
                        </a:solidFill>
                        <a:ln w="9525">
                          <a:solidFill>
                            <a:schemeClr val="bg1">
                              <a:lumMod val="85000"/>
                            </a:schemeClr>
                          </a:solidFill>
                          <a:miter lim="800000"/>
                          <a:headEnd/>
                          <a:tailEnd/>
                        </a:ln>
                      </wps:spPr>
                      <wps:txbx>
                        <w:txbxContent>
                          <w:p w14:paraId="7EF6671C" w14:textId="77777777" w:rsidR="00332A4C" w:rsidRPr="00E3132F" w:rsidRDefault="00332A4C" w:rsidP="00332A4C">
                            <w:pPr>
                              <w:keepNext/>
                            </w:pPr>
                            <w:r w:rsidRPr="00E3132F">
                              <w:drawing>
                                <wp:inline distT="0" distB="0" distL="0" distR="0" wp14:anchorId="086A2A97" wp14:editId="3B27370E">
                                  <wp:extent cx="2600108" cy="1852654"/>
                                  <wp:effectExtent l="0" t="0" r="0" b="0"/>
                                  <wp:docPr id="308828314" name="Picture 1" descr="A graph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28314" name="Picture 1" descr="A graph of the country&#10;&#10;AI-generated content may be incorrect."/>
                                          <pic:cNvPicPr/>
                                        </pic:nvPicPr>
                                        <pic:blipFill>
                                          <a:blip r:embed="rId32"/>
                                          <a:stretch>
                                            <a:fillRect/>
                                          </a:stretch>
                                        </pic:blipFill>
                                        <pic:spPr>
                                          <a:xfrm>
                                            <a:off x="0" y="0"/>
                                            <a:ext cx="2641000" cy="1881791"/>
                                          </a:xfrm>
                                          <a:prstGeom prst="rect">
                                            <a:avLst/>
                                          </a:prstGeom>
                                        </pic:spPr>
                                      </pic:pic>
                                    </a:graphicData>
                                  </a:graphic>
                                </wp:inline>
                              </w:drawing>
                            </w:r>
                          </w:p>
                          <w:p w14:paraId="4DDEAB89" w14:textId="3AA5D09F" w:rsidR="00332A4C" w:rsidRPr="00E3132F" w:rsidRDefault="00332A4C" w:rsidP="00332A4C">
                            <w:pPr>
                              <w:pStyle w:val="Caption"/>
                              <w:jc w:val="left"/>
                            </w:pPr>
                            <w:r w:rsidRPr="00E3132F">
                              <w:t>Figure 8: Countries with slowest progress (% change)</w:t>
                            </w:r>
                            <w:r w:rsidR="008F1FC9" w:rsidRPr="008F1FC9">
                              <w:t xml:space="preserve"> </w:t>
                            </w:r>
                            <w:r w:rsidR="008F1FC9">
                              <w:t>. GoalScope (Seacor, 2025)</w:t>
                            </w:r>
                          </w:p>
                          <w:p w14:paraId="7267851A" w14:textId="77777777" w:rsidR="00332A4C" w:rsidRPr="00E3132F" w:rsidRDefault="00332A4C" w:rsidP="00332A4C"/>
                        </w:txbxContent>
                      </wps:txbx>
                      <wps:bodyPr rot="0" vert="horz" wrap="square" lIns="91440" tIns="45720" rIns="91440" bIns="45720" anchor="t" anchorCtr="0">
                        <a:noAutofit/>
                      </wps:bodyPr>
                    </wps:wsp>
                  </a:graphicData>
                </a:graphic>
              </wp:inline>
            </w:drawing>
          </mc:Choice>
          <mc:Fallback>
            <w:pict>
              <v:shape w14:anchorId="17526022" id="_x0000_s1034" type="#_x0000_t202" style="width:214.95pt;height:17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" strokecolor="#d8d8d8 [2732]">
                <v:textbox>
                  <w:txbxContent>
                    <w:p w14:paraId="7EF6671C" w14:textId="77777777" w:rsidR="00332A4C" w:rsidRPr="00E3132F" w:rsidRDefault="00332A4C" w:rsidP="00332A4C">
                      <w:pPr>
                        <w:keepNext/>
                      </w:pPr>
                      <w:r w:rsidRPr="00E3132F">
                        <w:drawing>
                          <wp:inline distT="0" distB="0" distL="0" distR="0" wp14:anchorId="086A2A97" wp14:editId="3B27370E">
                            <wp:extent cx="2600108" cy="1852654"/>
                            <wp:effectExtent l="0" t="0" r="0" b="0"/>
                            <wp:docPr id="308828314" name="Picture 1" descr="A graph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28314" name="Picture 1" descr="A graph of the country&#10;&#10;AI-generated content may be incorrect."/>
                                    <pic:cNvPicPr/>
                                  </pic:nvPicPr>
                                  <pic:blipFill>
                                    <a:blip r:embed="rId32"/>
                                    <a:stretch>
                                      <a:fillRect/>
                                    </a:stretch>
                                  </pic:blipFill>
                                  <pic:spPr>
                                    <a:xfrm>
                                      <a:off x="0" y="0"/>
                                      <a:ext cx="2641000" cy="1881791"/>
                                    </a:xfrm>
                                    <a:prstGeom prst="rect">
                                      <a:avLst/>
                                    </a:prstGeom>
                                  </pic:spPr>
                                </pic:pic>
                              </a:graphicData>
                            </a:graphic>
                          </wp:inline>
                        </w:drawing>
                      </w:r>
                    </w:p>
                    <w:p w14:paraId="4DDEAB89" w14:textId="3AA5D09F" w:rsidR="00332A4C" w:rsidRPr="00E3132F" w:rsidRDefault="00332A4C" w:rsidP="00332A4C">
                      <w:pPr>
                        <w:pStyle w:val="Caption"/>
                        <w:jc w:val="left"/>
                      </w:pPr>
                      <w:r w:rsidRPr="00E3132F">
                        <w:t>Figure 8: Countries with slowest progress (% change)</w:t>
                      </w:r>
                      <w:r w:rsidR="008F1FC9" w:rsidRPr="008F1FC9">
                        <w:t xml:space="preserve"> </w:t>
                      </w:r>
                      <w:r w:rsidR="008F1FC9">
                        <w:t>. GoalScope (Seacor, 2025)</w:t>
                      </w:r>
                    </w:p>
                    <w:p w14:paraId="7267851A" w14:textId="77777777" w:rsidR="00332A4C" w:rsidRPr="00E3132F" w:rsidRDefault="00332A4C" w:rsidP="00332A4C"/>
                  </w:txbxContent>
                </v:textbox>
                <w10:anchorlock/>
              </v:shape>
            </w:pict>
          </mc:Fallback>
        </mc:AlternateContent>
      </w:r>
    </w:p>
    <w:p w14:paraId="202D2BE8" w14:textId="1BE96B25" w:rsidR="00CB0DBE" w:rsidRPr="00E3132F" w:rsidRDefault="00CB0DBE" w:rsidP="00CB0DBE">
      <w:r w:rsidRPr="00E3132F">
        <w:t>Implication: The country evidence points to mild convergence on the index scale: late starters are closing distance, but many high-baseline countries are plateauing, suggesting that further gains will require structural shifts rather than incremental policy adjustments.</w:t>
      </w:r>
    </w:p>
    <w:p w14:paraId="75356629" w14:textId="0327CE66" w:rsidR="003744D2" w:rsidRPr="00E3132F" w:rsidRDefault="00CA20BC" w:rsidP="0027214A">
      <w:pPr>
        <w:pStyle w:val="Heading3"/>
      </w:pPr>
      <w:bookmarkStart w:id="32" w:name="_Toc211306870"/>
      <w:r w:rsidRPr="00E3132F">
        <w:t>Within the OECD, do any members show downward trends in specific goals?</w:t>
      </w:r>
      <w:bookmarkEnd w:id="32"/>
    </w:p>
    <w:p w14:paraId="0B5F69BA" w14:textId="5BFEEF4B" w:rsidR="008E5FC2" w:rsidRPr="00E3132F" w:rsidRDefault="008E5FC2" w:rsidP="00247B2A">
      <w:pPr>
        <w:rPr>
          <w:rFonts w:cs="Times New Roman"/>
          <w:szCs w:val="24"/>
          <w:lang w:eastAsia="en-NZ"/>
        </w:rPr>
      </w:pPr>
      <w:r w:rsidRPr="00E3132F">
        <w:rPr>
          <w:rFonts w:cs="Times New Roman"/>
          <w:szCs w:val="24"/>
          <w:lang w:eastAsia="en-NZ"/>
        </w:rPr>
        <w:t>To answer this question, we first run a triage at the OECD level (2015–2025) to identify the goals with the smallest—or negative—</w:t>
      </w:r>
      <w:r w:rsidR="00F841DD">
        <w:rPr>
          <w:rFonts w:cs="Times New Roman"/>
          <w:szCs w:val="24"/>
          <w:lang w:eastAsia="en-NZ"/>
        </w:rPr>
        <w:t>%</w:t>
      </w:r>
      <w:r w:rsidRPr="00E3132F">
        <w:rPr>
          <w:rFonts w:cs="Times New Roman"/>
          <w:szCs w:val="24"/>
          <w:lang w:eastAsia="en-NZ"/>
        </w:rPr>
        <w:t xml:space="preserve"> change on the index scale then perform country drill-downs by goal, ranking OECD members by decade %Δ for each flagged goal to pinpoint which countries drive those declines. </w:t>
      </w:r>
      <w:r w:rsidR="00D03544" w:rsidRPr="00E3132F">
        <w:rPr>
          <w:rFonts w:cs="Times New Roman"/>
          <w:szCs w:val="24"/>
          <w:lang w:eastAsia="en-NZ"/>
        </w:rPr>
        <w:t>Next, we</w:t>
      </w:r>
      <w:r w:rsidRPr="00E3132F">
        <w:rPr>
          <w:rFonts w:cs="Times New Roman"/>
          <w:szCs w:val="24"/>
          <w:lang w:eastAsia="en-NZ"/>
        </w:rPr>
        <w:t xml:space="preserve"> cross-check these goal-level results against each country’s Overall trajectory to confirm that the identified goal slippage is material to overall progress.</w:t>
      </w:r>
    </w:p>
    <w:p w14:paraId="139EE9E0" w14:textId="5F929E71" w:rsidR="00AD6BB8" w:rsidRPr="00E3132F" w:rsidRDefault="00AD6BB8" w:rsidP="00C06BE7">
      <w:pPr>
        <w:pStyle w:val="Heading4"/>
      </w:pPr>
      <w:r w:rsidRPr="00E3132F">
        <w:t>Triage at the OECD level (2015→2025)</w:t>
      </w:r>
    </w:p>
    <w:p w14:paraId="73E8CCBA" w14:textId="527BF83D" w:rsidR="00F575B1" w:rsidRPr="00E3132F" w:rsidRDefault="003744D2" w:rsidP="00F575B1">
      <w:pPr>
        <w:rPr>
          <w:szCs w:val="24"/>
          <w:lang w:eastAsia="en-NZ"/>
        </w:rPr>
      </w:pPr>
      <w:r w:rsidRPr="00E3132F">
        <w:rPr>
          <w:szCs w:val="24"/>
          <w:lang w:eastAsia="en-NZ"/>
        </w:rPr>
        <w:t xml:space="preserve">Before naming specific countries, </w:t>
      </w:r>
      <w:r w:rsidR="00AE6A2D" w:rsidRPr="00E3132F">
        <w:rPr>
          <w:szCs w:val="24"/>
          <w:lang w:eastAsia="en-NZ"/>
        </w:rPr>
        <w:t>we</w:t>
      </w:r>
      <w:r w:rsidRPr="00E3132F">
        <w:rPr>
          <w:szCs w:val="24"/>
          <w:lang w:eastAsia="en-NZ"/>
        </w:rPr>
        <w:t xml:space="preserve"> first check which goals are moving down on average within the OECD. </w:t>
      </w:r>
      <w:r w:rsidR="00F575B1" w:rsidRPr="00E3132F">
        <w:rPr>
          <w:lang w:eastAsia="en-NZ"/>
        </w:rPr>
        <w:t xml:space="preserve">Figure 9 shows the OECD average from 2015 to 2025, two SDGs fall—SDG 16 (−3.16%) and SDG 2 (−2.19%)—while SDG 6 (+0.12%) and SDG 1 (+0.32%) are essentially flat. Gains are modest and concentrated in the socio-economic core, led by SDG 9 (+8.08%), SDG 5 (+7.16%), and SDG 17 (+4.14%); most other goals rise by less than </w:t>
      </w:r>
      <w:r w:rsidR="00134B82">
        <w:rPr>
          <w:lang w:eastAsia="en-NZ"/>
        </w:rPr>
        <w:t>3</w:t>
      </w:r>
      <w:r w:rsidR="00F841DD">
        <w:rPr>
          <w:lang w:eastAsia="en-NZ"/>
        </w:rPr>
        <w:t>%</w:t>
      </w:r>
      <w:r w:rsidR="00F575B1" w:rsidRPr="00E3132F">
        <w:rPr>
          <w:lang w:eastAsia="en-NZ"/>
        </w:rPr>
        <w:t xml:space="preserve">. </w:t>
      </w:r>
      <w:r w:rsidR="00F575B1" w:rsidRPr="00E3132F">
        <w:rPr>
          <w:szCs w:val="24"/>
          <w:lang w:eastAsia="en-NZ"/>
        </w:rPr>
        <w:t>This OECD pattern aligns with Barbier and Burgess (2021): high-income systems tend to maintain strength across foundational social and economic goals, while progress on environmentally linked areas is weaker—consistent with the marginal movement in SDG 12 and the decline in SDG 16 in our results.</w:t>
      </w:r>
    </w:p>
    <w:p w14:paraId="6DDD573D" w14:textId="1740F78B" w:rsidR="00BD6F3B" w:rsidRPr="008D0C8E" w:rsidRDefault="008F1FC9" w:rsidP="00247B2A">
      <w:pPr>
        <w:rPr>
          <w:lang w:eastAsia="en-NZ"/>
        </w:rPr>
      </w:pPr>
      <w:r w:rsidRPr="00E3132F">
        <w:rPr>
          <w:szCs w:val="24"/>
          <w:lang w:eastAsia="en-NZ"/>
        </w:rPr>
        <w:lastRenderedPageBreak/>
        <mc:AlternateContent>
          <mc:Choice Requires="wps">
            <w:drawing>
              <wp:anchor distT="0" distB="0" distL="114300" distR="114300" simplePos="0" relativeHeight="251687936" behindDoc="0" locked="0" layoutInCell="1" allowOverlap="1" wp14:anchorId="20AFCCAE" wp14:editId="65139424">
                <wp:simplePos x="0" y="0"/>
                <wp:positionH relativeFrom="column">
                  <wp:posOffset>-334010</wp:posOffset>
                </wp:positionH>
                <wp:positionV relativeFrom="paragraph">
                  <wp:posOffset>333375</wp:posOffset>
                </wp:positionV>
                <wp:extent cx="3108960" cy="3251835"/>
                <wp:effectExtent l="0" t="0" r="1524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3251835"/>
                        </a:xfrm>
                        <a:prstGeom prst="rect">
                          <a:avLst/>
                        </a:prstGeom>
                        <a:solidFill>
                          <a:srgbClr val="FFFFFF"/>
                        </a:solidFill>
                        <a:ln w="9525">
                          <a:solidFill>
                            <a:schemeClr val="bg1">
                              <a:lumMod val="95000"/>
                            </a:schemeClr>
                          </a:solidFill>
                          <a:miter lim="800000"/>
                          <a:headEnd/>
                          <a:tailEnd/>
                        </a:ln>
                      </wps:spPr>
                      <wps:txbx>
                        <w:txbxContent>
                          <w:p w14:paraId="57613CEA" w14:textId="77777777" w:rsidR="000B7142" w:rsidRPr="00E3132F" w:rsidRDefault="000B7142" w:rsidP="000B7142">
                            <w:pPr>
                              <w:keepNext/>
                            </w:pPr>
                            <w:r w:rsidRPr="00E3132F">
                              <w:drawing>
                                <wp:inline distT="0" distB="0" distL="0" distR="0" wp14:anchorId="41880DE9" wp14:editId="1B8A6AAE">
                                  <wp:extent cx="2751151" cy="2808332"/>
                                  <wp:effectExtent l="0" t="0" r="0" b="0"/>
                                  <wp:docPr id="2082986828"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86828" name="Picture 1" descr="A graph of a bar graph&#10;&#10;AI-generated content may be incorrect."/>
                                          <pic:cNvPicPr/>
                                        </pic:nvPicPr>
                                        <pic:blipFill>
                                          <a:blip r:embed="rId33"/>
                                          <a:stretch>
                                            <a:fillRect/>
                                          </a:stretch>
                                        </pic:blipFill>
                                        <pic:spPr>
                                          <a:xfrm>
                                            <a:off x="0" y="0"/>
                                            <a:ext cx="2756043" cy="2813326"/>
                                          </a:xfrm>
                                          <a:prstGeom prst="rect">
                                            <a:avLst/>
                                          </a:prstGeom>
                                        </pic:spPr>
                                      </pic:pic>
                                    </a:graphicData>
                                  </a:graphic>
                                </wp:inline>
                              </w:drawing>
                            </w:r>
                          </w:p>
                          <w:p w14:paraId="486ABAAB" w14:textId="6A77DC64" w:rsidR="000B7142" w:rsidRPr="00E3132F" w:rsidRDefault="000B7142" w:rsidP="000B7142">
                            <w:pPr>
                              <w:pStyle w:val="Caption"/>
                            </w:pPr>
                            <w:r w:rsidRPr="00E3132F">
                              <w:t>Figure 9: SDG Percent Change – OECD - 2015 to 2025</w:t>
                            </w:r>
                            <w:r w:rsidR="008F1FC9">
                              <w:t>. GoalScope (Seacor,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0AFCCAE" id="_x0000_s1035" type="#_x0000_t202" style="position:absolute;left:0;text-align:left;margin-left:-26.3pt;margin-top:26.25pt;width:244.8pt;height:256.0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" strokecolor="#f2f2f2 [3052]">
                <v:textbox>
                  <w:txbxContent>
                    <w:p w14:paraId="57613CEA" w14:textId="77777777" w:rsidR="000B7142" w:rsidRPr="00E3132F" w:rsidRDefault="000B7142" w:rsidP="000B7142">
                      <w:pPr>
                        <w:keepNext/>
                      </w:pPr>
                      <w:r w:rsidRPr="00E3132F">
                        <w:drawing>
                          <wp:inline distT="0" distB="0" distL="0" distR="0" wp14:anchorId="41880DE9" wp14:editId="1B8A6AAE">
                            <wp:extent cx="2751151" cy="2808332"/>
                            <wp:effectExtent l="0" t="0" r="0" b="0"/>
                            <wp:docPr id="2082986828"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86828" name="Picture 1" descr="A graph of a bar graph&#10;&#10;AI-generated content may be incorrect."/>
                                    <pic:cNvPicPr/>
                                  </pic:nvPicPr>
                                  <pic:blipFill>
                                    <a:blip r:embed="rId33"/>
                                    <a:stretch>
                                      <a:fillRect/>
                                    </a:stretch>
                                  </pic:blipFill>
                                  <pic:spPr>
                                    <a:xfrm>
                                      <a:off x="0" y="0"/>
                                      <a:ext cx="2756043" cy="2813326"/>
                                    </a:xfrm>
                                    <a:prstGeom prst="rect">
                                      <a:avLst/>
                                    </a:prstGeom>
                                  </pic:spPr>
                                </pic:pic>
                              </a:graphicData>
                            </a:graphic>
                          </wp:inline>
                        </w:drawing>
                      </w:r>
                    </w:p>
                    <w:p w14:paraId="486ABAAB" w14:textId="6A77DC64" w:rsidR="000B7142" w:rsidRPr="00E3132F" w:rsidRDefault="000B7142" w:rsidP="000B7142">
                      <w:pPr>
                        <w:pStyle w:val="Caption"/>
                      </w:pPr>
                      <w:r w:rsidRPr="00E3132F">
                        <w:t>Figure 9: SDG Percent Change – OECD - 2015 to 2025</w:t>
                      </w:r>
                      <w:r w:rsidR="008F1FC9">
                        <w:t>. GoalScope (Seacor, 2025)</w:t>
                      </w:r>
                    </w:p>
                  </w:txbxContent>
                </v:textbox>
                <w10:wrap type="square"/>
              </v:shape>
            </w:pict>
          </mc:Fallback>
        </mc:AlternateContent>
      </w:r>
      <w:r w:rsidR="00F575B1" w:rsidRPr="00E3132F">
        <w:rPr>
          <w:lang w:eastAsia="en-NZ"/>
        </w:rPr>
        <w:t>This OECD-mean view is diagnostic, not definitive: a negative average implies several members are trending down (enough to pull the mean below zero), but it does not mean all are. It narrows the search to problem goals (</w:t>
      </w:r>
      <w:r w:rsidR="00F575B1" w:rsidRPr="00E3132F">
        <w:t xml:space="preserve">SDG </w:t>
      </w:r>
      <w:r w:rsidR="00F575B1" w:rsidRPr="00E3132F">
        <w:rPr>
          <w:lang w:eastAsia="en-NZ"/>
        </w:rPr>
        <w:t xml:space="preserve">16, </w:t>
      </w:r>
      <w:r w:rsidR="00F575B1" w:rsidRPr="00E3132F">
        <w:t xml:space="preserve">SDG </w:t>
      </w:r>
      <w:r w:rsidR="00F575B1" w:rsidRPr="00E3132F">
        <w:rPr>
          <w:lang w:eastAsia="en-NZ"/>
        </w:rPr>
        <w:t xml:space="preserve">2; plus near-flat </w:t>
      </w:r>
      <w:r w:rsidR="00F575B1" w:rsidRPr="00E3132F">
        <w:t xml:space="preserve">SDG </w:t>
      </w:r>
      <w:r w:rsidR="00F575B1" w:rsidRPr="00E3132F">
        <w:rPr>
          <w:lang w:eastAsia="en-NZ"/>
        </w:rPr>
        <w:t xml:space="preserve">6, </w:t>
      </w:r>
      <w:r w:rsidR="00F575B1" w:rsidRPr="00E3132F">
        <w:t xml:space="preserve">SDG </w:t>
      </w:r>
      <w:r w:rsidR="00F575B1" w:rsidRPr="00E3132F">
        <w:rPr>
          <w:lang w:eastAsia="en-NZ"/>
        </w:rPr>
        <w:t>1) where country-level declines are most likely. In the next step, we examine country trajectories within these goals to identify which OECD members are driving the downward movement.</w:t>
      </w:r>
      <w:r w:rsidR="008D0C8E">
        <w:rPr>
          <w:lang w:eastAsia="en-NZ"/>
        </w:rPr>
        <w:t xml:space="preserve"> </w:t>
      </w:r>
      <w:r w:rsidR="00F31E93" w:rsidRPr="00E3132F">
        <w:rPr>
          <w:rFonts w:cs="Times New Roman"/>
        </w:rPr>
        <w:t>Next step is we f</w:t>
      </w:r>
      <w:r w:rsidR="009A5157" w:rsidRPr="00E3132F">
        <w:rPr>
          <w:rFonts w:cs="Times New Roman"/>
        </w:rPr>
        <w:t xml:space="preserve">ocus on the four weakest OECD goals </w:t>
      </w:r>
      <w:r w:rsidR="008D774F" w:rsidRPr="00E3132F">
        <w:rPr>
          <w:rFonts w:cs="Times New Roman"/>
        </w:rPr>
        <w:t>(Figure 10)</w:t>
      </w:r>
      <w:r w:rsidR="004C58FD" w:rsidRPr="00E3132F">
        <w:rPr>
          <w:rFonts w:cs="Times New Roman"/>
        </w:rPr>
        <w:t xml:space="preserve">. </w:t>
      </w:r>
      <w:r w:rsidR="009A5157" w:rsidRPr="00E3132F">
        <w:rPr>
          <w:rFonts w:cs="Times New Roman"/>
        </w:rPr>
        <w:t xml:space="preserve">From the OECD-mean triage, the bottom four goals by </w:t>
      </w:r>
      <w:r w:rsidR="00F841DD">
        <w:rPr>
          <w:rFonts w:cs="Times New Roman"/>
        </w:rPr>
        <w:t>%</w:t>
      </w:r>
      <w:r w:rsidR="009A5157" w:rsidRPr="00E3132F">
        <w:rPr>
          <w:rFonts w:cs="Times New Roman"/>
        </w:rPr>
        <w:t xml:space="preserve"> change are </w:t>
      </w:r>
      <w:r w:rsidR="0047362A" w:rsidRPr="00E3132F">
        <w:t xml:space="preserve">SDG </w:t>
      </w:r>
      <w:r w:rsidR="009A5157" w:rsidRPr="00E3132F">
        <w:rPr>
          <w:rFonts w:cs="Times New Roman"/>
        </w:rPr>
        <w:t xml:space="preserve">16, </w:t>
      </w:r>
      <w:r w:rsidR="0047362A" w:rsidRPr="00E3132F">
        <w:t xml:space="preserve">SDG </w:t>
      </w:r>
      <w:r w:rsidR="009A5157" w:rsidRPr="00E3132F">
        <w:rPr>
          <w:rFonts w:cs="Times New Roman"/>
        </w:rPr>
        <w:t>2</w:t>
      </w:r>
      <w:r w:rsidR="00167A0A" w:rsidRPr="00E3132F">
        <w:rPr>
          <w:rFonts w:cs="Times New Roman"/>
        </w:rPr>
        <w:t xml:space="preserve">, </w:t>
      </w:r>
      <w:r w:rsidR="0047362A" w:rsidRPr="00E3132F">
        <w:t xml:space="preserve">SDG </w:t>
      </w:r>
      <w:r w:rsidR="009A5157" w:rsidRPr="00E3132F">
        <w:rPr>
          <w:rFonts w:cs="Times New Roman"/>
        </w:rPr>
        <w:t xml:space="preserve">6, and </w:t>
      </w:r>
      <w:r w:rsidR="0047362A" w:rsidRPr="00E3132F">
        <w:t xml:space="preserve">SDG </w:t>
      </w:r>
      <w:r w:rsidR="009A5157" w:rsidRPr="00E3132F">
        <w:rPr>
          <w:rFonts w:cs="Times New Roman"/>
        </w:rPr>
        <w:t>1. The small multiples below rank countries by decade %Δ for each goal and plot the bottom five trajectories to show where declines (or near-stalls) are concentrated.</w:t>
      </w:r>
    </w:p>
    <w:p w14:paraId="18159899" w14:textId="6F2DE251" w:rsidR="009A5157" w:rsidRPr="00E3132F" w:rsidRDefault="0047362A" w:rsidP="002A55AB">
      <w:pPr>
        <w:pStyle w:val="ListParagraph"/>
        <w:numPr>
          <w:ilvl w:val="0"/>
          <w:numId w:val="9"/>
        </w:numPr>
      </w:pPr>
      <w:r w:rsidRPr="00E3132F">
        <w:t xml:space="preserve">SDG </w:t>
      </w:r>
      <w:r w:rsidR="009A5157" w:rsidRPr="00E3132F">
        <w:t>16</w:t>
      </w:r>
      <w:r w:rsidR="00C66DF1" w:rsidRPr="00E3132F">
        <w:t xml:space="preserve"> - </w:t>
      </w:r>
      <w:r w:rsidR="009A5157" w:rsidRPr="00E3132F">
        <w:t>broad</w:t>
      </w:r>
      <w:r w:rsidR="00C66DF1" w:rsidRPr="00E3132F">
        <w:t xml:space="preserve"> </w:t>
      </w:r>
      <w:r w:rsidR="009A5157" w:rsidRPr="00E3132F">
        <w:t>deterioration from high bases</w:t>
      </w:r>
      <w:r w:rsidR="00C66DF1" w:rsidRPr="00E3132F">
        <w:t xml:space="preserve">. </w:t>
      </w:r>
      <w:r w:rsidR="009A5157" w:rsidRPr="00E3132F">
        <w:t xml:space="preserve">The weakest decadal paths are Mexico, Chile, Canada, Poland, Greece. Mexico shows a persistent slide from the low-50s toward the mid-40s by 2025. Chile and Canada erode from the mid/upper-80s to the low/mid-70s–80s with only partial stabilization late in the period. Poland and Greece drift down a few points. This confirms that the OECD’s negative average on </w:t>
      </w:r>
      <w:r w:rsidRPr="00E3132F">
        <w:t xml:space="preserve">SDG </w:t>
      </w:r>
      <w:r w:rsidR="009A5157" w:rsidRPr="00E3132F">
        <w:t>16 reflects multiple members moving down, not a single outlier.</w:t>
      </w:r>
    </w:p>
    <w:p w14:paraId="0F8BE68C" w14:textId="015AB3D6" w:rsidR="009A5157" w:rsidRPr="00E3132F" w:rsidRDefault="0047362A" w:rsidP="002A55AB">
      <w:pPr>
        <w:pStyle w:val="ListParagraph"/>
        <w:numPr>
          <w:ilvl w:val="0"/>
          <w:numId w:val="9"/>
        </w:numPr>
      </w:pPr>
      <w:r w:rsidRPr="00E3132F">
        <w:t xml:space="preserve">SDG </w:t>
      </w:r>
      <w:r w:rsidR="009A5157" w:rsidRPr="00E3132F">
        <w:t xml:space="preserve">2 </w:t>
      </w:r>
      <w:r w:rsidR="009A1007" w:rsidRPr="00E3132F">
        <w:t>-</w:t>
      </w:r>
      <w:r w:rsidR="009A5157" w:rsidRPr="00E3132F">
        <w:t xml:space="preserve"> food security slippage in several members.</w:t>
      </w:r>
      <w:r w:rsidR="00C66DF1" w:rsidRPr="00E3132F">
        <w:t xml:space="preserve"> </w:t>
      </w:r>
      <w:r w:rsidR="009A5157" w:rsidRPr="00E3132F">
        <w:t>Costa Rica, Israel, Latvia, Estonia, Hungary make up the bottom five. Most display a step-down around 2016–2018 followed by flat or only partial recovery to 2025, leaving the decade change negative. The declines are modest in level but systematic in direction.</w:t>
      </w:r>
    </w:p>
    <w:p w14:paraId="05184ED9" w14:textId="32DA732F" w:rsidR="009A5157" w:rsidRPr="00E3132F" w:rsidRDefault="0047362A" w:rsidP="002A55AB">
      <w:pPr>
        <w:pStyle w:val="ListParagraph"/>
        <w:numPr>
          <w:ilvl w:val="0"/>
          <w:numId w:val="9"/>
        </w:numPr>
      </w:pPr>
      <w:r w:rsidRPr="00E3132F">
        <w:t xml:space="preserve">SDG </w:t>
      </w:r>
      <w:r w:rsidR="009A5157" w:rsidRPr="00E3132F">
        <w:t xml:space="preserve">6 </w:t>
      </w:r>
      <w:r w:rsidR="009A1007" w:rsidRPr="00E3132F">
        <w:t>-</w:t>
      </w:r>
      <w:r w:rsidR="009A5157" w:rsidRPr="00E3132F">
        <w:t xml:space="preserve"> small but clear declines, led by New Zealand.</w:t>
      </w:r>
      <w:r w:rsidR="009A1007" w:rsidRPr="00E3132F">
        <w:t xml:space="preserve"> </w:t>
      </w:r>
      <w:r w:rsidR="009A5157" w:rsidRPr="00E3132F">
        <w:t>The bottom five (New Zealand, Poland, Lithuania, Austria, Greece) mostly show gentle drifts downward from already high scores; New Zealand posts the clearest fall, with others edging down or flatlining just below prior peaks. These are tight bands—signals of stagnation/erosion rather than collapse.</w:t>
      </w:r>
    </w:p>
    <w:p w14:paraId="19E5F8B6" w14:textId="3A59D61B" w:rsidR="008D0C8E" w:rsidRPr="00E3132F" w:rsidRDefault="0047362A" w:rsidP="008D0C8E">
      <w:pPr>
        <w:pStyle w:val="ListParagraph"/>
        <w:numPr>
          <w:ilvl w:val="0"/>
          <w:numId w:val="9"/>
        </w:numPr>
      </w:pPr>
      <w:r w:rsidRPr="00E3132F">
        <w:t xml:space="preserve">SDG </w:t>
      </w:r>
      <w:r w:rsidR="009A5157" w:rsidRPr="00E3132F">
        <w:t xml:space="preserve">1 </w:t>
      </w:r>
      <w:r w:rsidR="009A1007" w:rsidRPr="00E3132F">
        <w:t xml:space="preserve">- </w:t>
      </w:r>
      <w:r w:rsidR="009A5157" w:rsidRPr="00E3132F">
        <w:t>ceiling effects with one volatile case.</w:t>
      </w:r>
      <w:r w:rsidR="009A1007" w:rsidRPr="00E3132F">
        <w:t xml:space="preserve"> </w:t>
      </w:r>
      <w:r w:rsidR="009A5157" w:rsidRPr="00E3132F">
        <w:t xml:space="preserve">In Colombia, Australia, Germany, France, Switzerland, </w:t>
      </w:r>
      <w:r w:rsidR="00013836" w:rsidRPr="00E3132F">
        <w:t>SDG 1</w:t>
      </w:r>
      <w:r w:rsidR="009A5157" w:rsidRPr="00E3132F">
        <w:t xml:space="preserve"> is near the ceiling (98–100) for four countries and flat </w:t>
      </w:r>
      <w:r w:rsidR="009A5157" w:rsidRPr="00E3132F">
        <w:lastRenderedPageBreak/>
        <w:t>over the decade. Colombia is the exception: a mid-period drop with partial recovery by 2025, which is why it appears in the bottom-five ranking even though the group as a whole</w:t>
      </w:r>
      <w:r w:rsidR="00403819" w:rsidRPr="00E3132F">
        <w:t xml:space="preserve"> </w:t>
      </w:r>
      <w:r w:rsidR="009A5157" w:rsidRPr="00E3132F">
        <w:t>is stable.</w:t>
      </w:r>
    </w:p>
    <w:p w14:paraId="52819564" w14:textId="09349216" w:rsidR="009A5157" w:rsidRPr="00E3132F" w:rsidRDefault="009A5157" w:rsidP="00247B2A">
      <w:pPr>
        <w:rPr>
          <w:rFonts w:cs="Times New Roman"/>
          <w:szCs w:val="24"/>
        </w:rPr>
      </w:pPr>
      <w:r w:rsidRPr="00E3132F">
        <w:rPr>
          <w:rFonts w:cs="Times New Roman"/>
          <w:szCs w:val="24"/>
        </w:rPr>
        <w:t>The downward pressures within the OECD are goal-specific and heterogeneous:</w:t>
      </w:r>
    </w:p>
    <w:p w14:paraId="504CFB5D" w14:textId="2BA8ED51" w:rsidR="009A5157" w:rsidRPr="00E3132F" w:rsidRDefault="009A5157" w:rsidP="002A55AB">
      <w:pPr>
        <w:numPr>
          <w:ilvl w:val="0"/>
          <w:numId w:val="8"/>
        </w:numPr>
        <w:rPr>
          <w:rFonts w:cs="Times New Roman"/>
          <w:szCs w:val="24"/>
        </w:rPr>
      </w:pPr>
      <w:r w:rsidRPr="00E3132F">
        <w:rPr>
          <w:rFonts w:cs="Times New Roman"/>
          <w:szCs w:val="24"/>
        </w:rPr>
        <w:t>Institutional quality (</w:t>
      </w:r>
      <w:r w:rsidR="0047362A" w:rsidRPr="00E3132F">
        <w:t xml:space="preserve">SDG </w:t>
      </w:r>
      <w:r w:rsidRPr="00E3132F">
        <w:rPr>
          <w:rFonts w:cs="Times New Roman"/>
          <w:szCs w:val="24"/>
        </w:rPr>
        <w:t>16) shows the widest and clearest deterioration across several members.</w:t>
      </w:r>
    </w:p>
    <w:p w14:paraId="3453F70D" w14:textId="4A356EA7" w:rsidR="009A5157" w:rsidRPr="00E3132F" w:rsidRDefault="009A5157" w:rsidP="002A55AB">
      <w:pPr>
        <w:numPr>
          <w:ilvl w:val="0"/>
          <w:numId w:val="8"/>
        </w:numPr>
        <w:rPr>
          <w:rFonts w:cs="Times New Roman"/>
          <w:szCs w:val="24"/>
        </w:rPr>
      </w:pPr>
      <w:r w:rsidRPr="00E3132F">
        <w:rPr>
          <w:rFonts w:cs="Times New Roman"/>
          <w:szCs w:val="24"/>
        </w:rPr>
        <w:t>Zero Hunger (</w:t>
      </w:r>
      <w:r w:rsidR="0047362A" w:rsidRPr="00E3132F">
        <w:t xml:space="preserve">SDG </w:t>
      </w:r>
      <w:r w:rsidRPr="00E3132F">
        <w:rPr>
          <w:rFonts w:cs="Times New Roman"/>
          <w:szCs w:val="24"/>
        </w:rPr>
        <w:t>2) and Clean Water (</w:t>
      </w:r>
      <w:r w:rsidR="0047362A" w:rsidRPr="00E3132F">
        <w:t xml:space="preserve">SDG </w:t>
      </w:r>
      <w:r w:rsidRPr="00E3132F">
        <w:rPr>
          <w:rFonts w:cs="Times New Roman"/>
          <w:szCs w:val="24"/>
        </w:rPr>
        <w:t>6) exhibit modest but persistent slippage in a handful of countries.</w:t>
      </w:r>
    </w:p>
    <w:p w14:paraId="3F358FD5" w14:textId="031F9447" w:rsidR="000B7142" w:rsidRDefault="000B7142" w:rsidP="000B7142">
      <w:pPr>
        <w:numPr>
          <w:ilvl w:val="0"/>
          <w:numId w:val="8"/>
        </w:numPr>
        <w:rPr>
          <w:rFonts w:cs="Times New Roman"/>
          <w:szCs w:val="24"/>
        </w:rPr>
      </w:pPr>
      <w:r w:rsidRPr="00E3132F">
        <w:rPr>
          <w:rFonts w:cs="Times New Roman"/>
        </w:rPr>
        <mc:AlternateContent>
          <mc:Choice Requires="wps">
            <w:drawing>
              <wp:anchor distT="0" distB="0" distL="114300" distR="114300" simplePos="0" relativeHeight="251659264" behindDoc="0" locked="0" layoutInCell="1" allowOverlap="1" wp14:anchorId="2D8D705F" wp14:editId="74DFB22E">
                <wp:simplePos x="0" y="0"/>
                <wp:positionH relativeFrom="column">
                  <wp:posOffset>-453390</wp:posOffset>
                </wp:positionH>
                <wp:positionV relativeFrom="paragraph">
                  <wp:posOffset>474294</wp:posOffset>
                </wp:positionV>
                <wp:extent cx="6535420" cy="4706620"/>
                <wp:effectExtent l="0" t="0" r="17780" b="17780"/>
                <wp:wrapSquare wrapText="bothSides"/>
                <wp:docPr id="7755468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420" cy="4706620"/>
                        </a:xfrm>
                        <a:prstGeom prst="rect">
                          <a:avLst/>
                        </a:prstGeom>
                        <a:solidFill>
                          <a:srgbClr val="FFFFFF"/>
                        </a:solidFill>
                        <a:ln w="9525">
                          <a:solidFill>
                            <a:schemeClr val="bg1">
                              <a:lumMod val="85000"/>
                            </a:schemeClr>
                          </a:solidFill>
                          <a:miter lim="800000"/>
                          <a:headEnd/>
                          <a:tailEnd/>
                        </a:ln>
                      </wps:spPr>
                      <wps:txbx>
                        <w:txbxContent>
                          <w:tbl>
                            <w:tblPr>
                              <w:tblStyle w:val="TableGrid"/>
                              <w:tblW w:w="0" w:type="auto"/>
                              <w:tblLook w:val="04A0" w:firstRow="1" w:lastRow="0" w:firstColumn="1" w:lastColumn="0" w:noHBand="0" w:noVBand="1"/>
                            </w:tblPr>
                            <w:tblGrid>
                              <w:gridCol w:w="4986"/>
                              <w:gridCol w:w="5076"/>
                            </w:tblGrid>
                            <w:tr w:rsidR="000B7142" w:rsidRPr="00E3132F" w14:paraId="08EDE4B3" w14:textId="77777777" w:rsidTr="00367183">
                              <w:trPr>
                                <w:trHeight w:val="3454"/>
                              </w:trPr>
                              <w:tc>
                                <w:tcPr>
                                  <w:tcW w:w="4976" w:type="dxa"/>
                                </w:tcPr>
                                <w:p w14:paraId="3A359922" w14:textId="77777777" w:rsidR="000B7142" w:rsidRPr="00E3132F" w:rsidRDefault="000B7142" w:rsidP="00DB43FF">
                                  <w:pPr>
                                    <w:rPr>
                                      <w:rFonts w:cs="Times New Roman"/>
                                      <w:szCs w:val="24"/>
                                    </w:rPr>
                                  </w:pPr>
                                  <w:r w:rsidRPr="00E3132F">
                                    <w:rPr>
                                      <w:rFonts w:cs="Times New Roman"/>
                                      <w:b/>
                                      <w:bCs/>
                                      <w:szCs w:val="24"/>
                                    </w:rPr>
                                    <w:drawing>
                                      <wp:inline distT="0" distB="0" distL="0" distR="0" wp14:anchorId="3D509EE0" wp14:editId="58EBCC0B">
                                        <wp:extent cx="3021496" cy="2085582"/>
                                        <wp:effectExtent l="0" t="0" r="7620" b="0"/>
                                        <wp:docPr id="44619256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56011" name="Picture 1" descr="A graph of a number of people&#10;&#10;AI-generated content may be incorrect."/>
                                                <pic:cNvPicPr/>
                                              </pic:nvPicPr>
                                              <pic:blipFill>
                                                <a:blip r:embed="rId34"/>
                                                <a:stretch>
                                                  <a:fillRect/>
                                                </a:stretch>
                                              </pic:blipFill>
                                              <pic:spPr>
                                                <a:xfrm>
                                                  <a:off x="0" y="0"/>
                                                  <a:ext cx="3040084" cy="2098412"/>
                                                </a:xfrm>
                                                <a:prstGeom prst="rect">
                                                  <a:avLst/>
                                                </a:prstGeom>
                                              </pic:spPr>
                                            </pic:pic>
                                          </a:graphicData>
                                        </a:graphic>
                                      </wp:inline>
                                    </w:drawing>
                                  </w:r>
                                </w:p>
                              </w:tc>
                              <w:tc>
                                <w:tcPr>
                                  <w:tcW w:w="5008" w:type="dxa"/>
                                </w:tcPr>
                                <w:p w14:paraId="35409055" w14:textId="77777777" w:rsidR="000B7142" w:rsidRPr="00E3132F" w:rsidRDefault="000B7142" w:rsidP="00DB43FF">
                                  <w:pPr>
                                    <w:rPr>
                                      <w:rFonts w:cs="Times New Roman"/>
                                      <w:szCs w:val="24"/>
                                    </w:rPr>
                                  </w:pPr>
                                  <w:r w:rsidRPr="00E3132F">
                                    <w:rPr>
                                      <w:rFonts w:cs="Times New Roman"/>
                                      <w:b/>
                                      <w:bCs/>
                                      <w:szCs w:val="24"/>
                                    </w:rPr>
                                    <w:drawing>
                                      <wp:inline distT="0" distB="0" distL="0" distR="0" wp14:anchorId="68FFA593" wp14:editId="327FE19A">
                                        <wp:extent cx="3078344" cy="2122998"/>
                                        <wp:effectExtent l="0" t="0" r="8255" b="0"/>
                                        <wp:docPr id="36990271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40597" name="Picture 1" descr="A graph of a number of people&#10;&#10;AI-generated content may be incorrect."/>
                                                <pic:cNvPicPr/>
                                              </pic:nvPicPr>
                                              <pic:blipFill>
                                                <a:blip r:embed="rId35"/>
                                                <a:stretch>
                                                  <a:fillRect/>
                                                </a:stretch>
                                              </pic:blipFill>
                                              <pic:spPr>
                                                <a:xfrm>
                                                  <a:off x="0" y="0"/>
                                                  <a:ext cx="3120534" cy="2152094"/>
                                                </a:xfrm>
                                                <a:prstGeom prst="rect">
                                                  <a:avLst/>
                                                </a:prstGeom>
                                              </pic:spPr>
                                            </pic:pic>
                                          </a:graphicData>
                                        </a:graphic>
                                      </wp:inline>
                                    </w:drawing>
                                  </w:r>
                                </w:p>
                              </w:tc>
                            </w:tr>
                            <w:tr w:rsidR="000B7142" w:rsidRPr="00E3132F" w14:paraId="4FAE07B8" w14:textId="77777777" w:rsidTr="00367183">
                              <w:trPr>
                                <w:trHeight w:val="3441"/>
                              </w:trPr>
                              <w:tc>
                                <w:tcPr>
                                  <w:tcW w:w="4976" w:type="dxa"/>
                                </w:tcPr>
                                <w:p w14:paraId="296B5602" w14:textId="77777777" w:rsidR="000B7142" w:rsidRPr="00E3132F" w:rsidRDefault="000B7142" w:rsidP="00DB43FF">
                                  <w:pPr>
                                    <w:rPr>
                                      <w:rFonts w:cs="Times New Roman"/>
                                      <w:szCs w:val="24"/>
                                    </w:rPr>
                                  </w:pPr>
                                  <w:r w:rsidRPr="00E3132F">
                                    <w:rPr>
                                      <w:rFonts w:cs="Times New Roman"/>
                                      <w:b/>
                                      <w:bCs/>
                                      <w:szCs w:val="24"/>
                                    </w:rPr>
                                    <w:drawing>
                                      <wp:inline distT="0" distB="0" distL="0" distR="0" wp14:anchorId="6EFEABAE" wp14:editId="3B0D3124">
                                        <wp:extent cx="2973788" cy="2115737"/>
                                        <wp:effectExtent l="0" t="0" r="0" b="0"/>
                                        <wp:docPr id="696718167" name="Picture 1" descr="A graph of the number of the world's health organ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71908" name="Picture 1" descr="A graph of the number of the world's health organization&#10;&#10;AI-generated content may be incorrect."/>
                                                <pic:cNvPicPr/>
                                              </pic:nvPicPr>
                                              <pic:blipFill>
                                                <a:blip r:embed="rId36"/>
                                                <a:stretch>
                                                  <a:fillRect/>
                                                </a:stretch>
                                              </pic:blipFill>
                                              <pic:spPr>
                                                <a:xfrm>
                                                  <a:off x="0" y="0"/>
                                                  <a:ext cx="3012307" cy="2143142"/>
                                                </a:xfrm>
                                                <a:prstGeom prst="rect">
                                                  <a:avLst/>
                                                </a:prstGeom>
                                              </pic:spPr>
                                            </pic:pic>
                                          </a:graphicData>
                                        </a:graphic>
                                      </wp:inline>
                                    </w:drawing>
                                  </w:r>
                                </w:p>
                              </w:tc>
                              <w:tc>
                                <w:tcPr>
                                  <w:tcW w:w="5008" w:type="dxa"/>
                                </w:tcPr>
                                <w:p w14:paraId="15CF604C" w14:textId="77777777" w:rsidR="000B7142" w:rsidRPr="00E3132F" w:rsidRDefault="000B7142" w:rsidP="00DB43FF">
                                  <w:pPr>
                                    <w:rPr>
                                      <w:rFonts w:cs="Times New Roman"/>
                                      <w:szCs w:val="24"/>
                                    </w:rPr>
                                  </w:pPr>
                                  <w:r w:rsidRPr="00E3132F">
                                    <w:rPr>
                                      <w:rFonts w:cs="Times New Roman"/>
                                      <w:b/>
                                      <w:bCs/>
                                      <w:szCs w:val="24"/>
                                    </w:rPr>
                                    <w:drawing>
                                      <wp:inline distT="0" distB="0" distL="0" distR="0" wp14:anchorId="04230088" wp14:editId="4DD81BB3">
                                        <wp:extent cx="3055913" cy="2115185"/>
                                        <wp:effectExtent l="0" t="0" r="0" b="0"/>
                                        <wp:docPr id="1417588790" name="Picture 1"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12790" name="Picture 1" descr="A graph of a graph with numbers and lines&#10;&#10;AI-generated content may be incorrect."/>
                                                <pic:cNvPicPr/>
                                              </pic:nvPicPr>
                                              <pic:blipFill>
                                                <a:blip r:embed="rId37"/>
                                                <a:stretch>
                                                  <a:fillRect/>
                                                </a:stretch>
                                              </pic:blipFill>
                                              <pic:spPr>
                                                <a:xfrm>
                                                  <a:off x="0" y="0"/>
                                                  <a:ext cx="3096276" cy="2143123"/>
                                                </a:xfrm>
                                                <a:prstGeom prst="rect">
                                                  <a:avLst/>
                                                </a:prstGeom>
                                              </pic:spPr>
                                            </pic:pic>
                                          </a:graphicData>
                                        </a:graphic>
                                      </wp:inline>
                                    </w:drawing>
                                  </w:r>
                                </w:p>
                              </w:tc>
                            </w:tr>
                          </w:tbl>
                          <w:p w14:paraId="626AFBF4" w14:textId="4726A452" w:rsidR="000B7142" w:rsidRPr="00E3132F" w:rsidRDefault="000B7142" w:rsidP="000B7142">
                            <w:pPr>
                              <w:pStyle w:val="Caption"/>
                            </w:pPr>
                            <w:r w:rsidRPr="00E3132F">
                              <w:t>Figure 10: Countries under the lagging SDGs for OECD - 2015 to 2025</w:t>
                            </w:r>
                            <w:r w:rsidR="008F1FC9">
                              <w:t>. GoalScope (Seacor,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D705F" id="_x0000_s1036" type="#_x0000_t202" style="position:absolute;left:0;text-align:left;margin-left:-35.7pt;margin-top:37.35pt;width:514.6pt;height:37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" strokecolor="#d8d8d8 [2732]">
                <v:textbox>
                  <w:txbxContent>
                    <w:tbl>
                      <w:tblPr>
                        <w:tblStyle w:val="TableGrid"/>
                        <w:tblW w:w="0" w:type="auto"/>
                        <w:tblLook w:val="04A0" w:firstRow="1" w:lastRow="0" w:firstColumn="1" w:lastColumn="0" w:noHBand="0" w:noVBand="1"/>
                      </w:tblPr>
                      <w:tblGrid>
                        <w:gridCol w:w="4986"/>
                        <w:gridCol w:w="5076"/>
                      </w:tblGrid>
                      <w:tr w:rsidR="000B7142" w:rsidRPr="00E3132F" w14:paraId="08EDE4B3" w14:textId="77777777" w:rsidTr="00367183">
                        <w:trPr>
                          <w:trHeight w:val="3454"/>
                        </w:trPr>
                        <w:tc>
                          <w:tcPr>
                            <w:tcW w:w="4976" w:type="dxa"/>
                          </w:tcPr>
                          <w:p w14:paraId="3A359922" w14:textId="77777777" w:rsidR="000B7142" w:rsidRPr="00E3132F" w:rsidRDefault="000B7142" w:rsidP="00DB43FF">
                            <w:pPr>
                              <w:rPr>
                                <w:rFonts w:cs="Times New Roman"/>
                                <w:szCs w:val="24"/>
                              </w:rPr>
                            </w:pPr>
                            <w:r w:rsidRPr="00E3132F">
                              <w:rPr>
                                <w:rFonts w:cs="Times New Roman"/>
                                <w:b/>
                                <w:bCs/>
                                <w:szCs w:val="24"/>
                              </w:rPr>
                              <w:drawing>
                                <wp:inline distT="0" distB="0" distL="0" distR="0" wp14:anchorId="3D509EE0" wp14:editId="58EBCC0B">
                                  <wp:extent cx="3021496" cy="2085582"/>
                                  <wp:effectExtent l="0" t="0" r="7620" b="0"/>
                                  <wp:docPr id="44619256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56011" name="Picture 1" descr="A graph of a number of people&#10;&#10;AI-generated content may be incorrect."/>
                                          <pic:cNvPicPr/>
                                        </pic:nvPicPr>
                                        <pic:blipFill>
                                          <a:blip r:embed="rId34"/>
                                          <a:stretch>
                                            <a:fillRect/>
                                          </a:stretch>
                                        </pic:blipFill>
                                        <pic:spPr>
                                          <a:xfrm>
                                            <a:off x="0" y="0"/>
                                            <a:ext cx="3040084" cy="2098412"/>
                                          </a:xfrm>
                                          <a:prstGeom prst="rect">
                                            <a:avLst/>
                                          </a:prstGeom>
                                        </pic:spPr>
                                      </pic:pic>
                                    </a:graphicData>
                                  </a:graphic>
                                </wp:inline>
                              </w:drawing>
                            </w:r>
                          </w:p>
                        </w:tc>
                        <w:tc>
                          <w:tcPr>
                            <w:tcW w:w="5008" w:type="dxa"/>
                          </w:tcPr>
                          <w:p w14:paraId="35409055" w14:textId="77777777" w:rsidR="000B7142" w:rsidRPr="00E3132F" w:rsidRDefault="000B7142" w:rsidP="00DB43FF">
                            <w:pPr>
                              <w:rPr>
                                <w:rFonts w:cs="Times New Roman"/>
                                <w:szCs w:val="24"/>
                              </w:rPr>
                            </w:pPr>
                            <w:r w:rsidRPr="00E3132F">
                              <w:rPr>
                                <w:rFonts w:cs="Times New Roman"/>
                                <w:b/>
                                <w:bCs/>
                                <w:szCs w:val="24"/>
                              </w:rPr>
                              <w:drawing>
                                <wp:inline distT="0" distB="0" distL="0" distR="0" wp14:anchorId="68FFA593" wp14:editId="327FE19A">
                                  <wp:extent cx="3078344" cy="2122998"/>
                                  <wp:effectExtent l="0" t="0" r="8255" b="0"/>
                                  <wp:docPr id="36990271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40597" name="Picture 1" descr="A graph of a number of people&#10;&#10;AI-generated content may be incorrect."/>
                                          <pic:cNvPicPr/>
                                        </pic:nvPicPr>
                                        <pic:blipFill>
                                          <a:blip r:embed="rId35"/>
                                          <a:stretch>
                                            <a:fillRect/>
                                          </a:stretch>
                                        </pic:blipFill>
                                        <pic:spPr>
                                          <a:xfrm>
                                            <a:off x="0" y="0"/>
                                            <a:ext cx="3120534" cy="2152094"/>
                                          </a:xfrm>
                                          <a:prstGeom prst="rect">
                                            <a:avLst/>
                                          </a:prstGeom>
                                        </pic:spPr>
                                      </pic:pic>
                                    </a:graphicData>
                                  </a:graphic>
                                </wp:inline>
                              </w:drawing>
                            </w:r>
                          </w:p>
                        </w:tc>
                      </w:tr>
                      <w:tr w:rsidR="000B7142" w:rsidRPr="00E3132F" w14:paraId="4FAE07B8" w14:textId="77777777" w:rsidTr="00367183">
                        <w:trPr>
                          <w:trHeight w:val="3441"/>
                        </w:trPr>
                        <w:tc>
                          <w:tcPr>
                            <w:tcW w:w="4976" w:type="dxa"/>
                          </w:tcPr>
                          <w:p w14:paraId="296B5602" w14:textId="77777777" w:rsidR="000B7142" w:rsidRPr="00E3132F" w:rsidRDefault="000B7142" w:rsidP="00DB43FF">
                            <w:pPr>
                              <w:rPr>
                                <w:rFonts w:cs="Times New Roman"/>
                                <w:szCs w:val="24"/>
                              </w:rPr>
                            </w:pPr>
                            <w:r w:rsidRPr="00E3132F">
                              <w:rPr>
                                <w:rFonts w:cs="Times New Roman"/>
                                <w:b/>
                                <w:bCs/>
                                <w:szCs w:val="24"/>
                              </w:rPr>
                              <w:drawing>
                                <wp:inline distT="0" distB="0" distL="0" distR="0" wp14:anchorId="6EFEABAE" wp14:editId="3B0D3124">
                                  <wp:extent cx="2973788" cy="2115737"/>
                                  <wp:effectExtent l="0" t="0" r="0" b="0"/>
                                  <wp:docPr id="696718167" name="Picture 1" descr="A graph of the number of the world's health organ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71908" name="Picture 1" descr="A graph of the number of the world's health organization&#10;&#10;AI-generated content may be incorrect."/>
                                          <pic:cNvPicPr/>
                                        </pic:nvPicPr>
                                        <pic:blipFill>
                                          <a:blip r:embed="rId36"/>
                                          <a:stretch>
                                            <a:fillRect/>
                                          </a:stretch>
                                        </pic:blipFill>
                                        <pic:spPr>
                                          <a:xfrm>
                                            <a:off x="0" y="0"/>
                                            <a:ext cx="3012307" cy="2143142"/>
                                          </a:xfrm>
                                          <a:prstGeom prst="rect">
                                            <a:avLst/>
                                          </a:prstGeom>
                                        </pic:spPr>
                                      </pic:pic>
                                    </a:graphicData>
                                  </a:graphic>
                                </wp:inline>
                              </w:drawing>
                            </w:r>
                          </w:p>
                        </w:tc>
                        <w:tc>
                          <w:tcPr>
                            <w:tcW w:w="5008" w:type="dxa"/>
                          </w:tcPr>
                          <w:p w14:paraId="15CF604C" w14:textId="77777777" w:rsidR="000B7142" w:rsidRPr="00E3132F" w:rsidRDefault="000B7142" w:rsidP="00DB43FF">
                            <w:pPr>
                              <w:rPr>
                                <w:rFonts w:cs="Times New Roman"/>
                                <w:szCs w:val="24"/>
                              </w:rPr>
                            </w:pPr>
                            <w:r w:rsidRPr="00E3132F">
                              <w:rPr>
                                <w:rFonts w:cs="Times New Roman"/>
                                <w:b/>
                                <w:bCs/>
                                <w:szCs w:val="24"/>
                              </w:rPr>
                              <w:drawing>
                                <wp:inline distT="0" distB="0" distL="0" distR="0" wp14:anchorId="04230088" wp14:editId="4DD81BB3">
                                  <wp:extent cx="3055913" cy="2115185"/>
                                  <wp:effectExtent l="0" t="0" r="0" b="0"/>
                                  <wp:docPr id="1417588790" name="Picture 1"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12790" name="Picture 1" descr="A graph of a graph with numbers and lines&#10;&#10;AI-generated content may be incorrect."/>
                                          <pic:cNvPicPr/>
                                        </pic:nvPicPr>
                                        <pic:blipFill>
                                          <a:blip r:embed="rId37"/>
                                          <a:stretch>
                                            <a:fillRect/>
                                          </a:stretch>
                                        </pic:blipFill>
                                        <pic:spPr>
                                          <a:xfrm>
                                            <a:off x="0" y="0"/>
                                            <a:ext cx="3096276" cy="2143123"/>
                                          </a:xfrm>
                                          <a:prstGeom prst="rect">
                                            <a:avLst/>
                                          </a:prstGeom>
                                        </pic:spPr>
                                      </pic:pic>
                                    </a:graphicData>
                                  </a:graphic>
                                </wp:inline>
                              </w:drawing>
                            </w:r>
                          </w:p>
                        </w:tc>
                      </w:tr>
                    </w:tbl>
                    <w:p w14:paraId="626AFBF4" w14:textId="4726A452" w:rsidR="000B7142" w:rsidRPr="00E3132F" w:rsidRDefault="000B7142" w:rsidP="000B7142">
                      <w:pPr>
                        <w:pStyle w:val="Caption"/>
                      </w:pPr>
                      <w:r w:rsidRPr="00E3132F">
                        <w:t>Figure 10: Countries under the lagging SDGs for OECD - 2015 to 2025</w:t>
                      </w:r>
                      <w:r w:rsidR="008F1FC9">
                        <w:t>. GoalScope (Seacor, 2025)</w:t>
                      </w:r>
                    </w:p>
                  </w:txbxContent>
                </v:textbox>
                <w10:wrap type="square"/>
              </v:shape>
            </w:pict>
          </mc:Fallback>
        </mc:AlternateContent>
      </w:r>
      <w:r w:rsidR="009A5157" w:rsidRPr="00E3132F">
        <w:rPr>
          <w:rFonts w:cs="Times New Roman"/>
          <w:szCs w:val="24"/>
        </w:rPr>
        <w:t>No Poverty (</w:t>
      </w:r>
      <w:r w:rsidR="0047362A" w:rsidRPr="00E3132F">
        <w:t xml:space="preserve">SDG </w:t>
      </w:r>
      <w:r w:rsidR="009A5157" w:rsidRPr="00E3132F">
        <w:rPr>
          <w:rFonts w:cs="Times New Roman"/>
          <w:szCs w:val="24"/>
        </w:rPr>
        <w:t>1) is largely flat at high levels, with one volatile outlier.</w:t>
      </w:r>
    </w:p>
    <w:p w14:paraId="2BE6396B" w14:textId="4E6B3D68" w:rsidR="000B7142" w:rsidRPr="000B7142" w:rsidRDefault="000B7142" w:rsidP="000B7142">
      <w:pPr>
        <w:rPr>
          <w:rFonts w:cs="Times New Roman"/>
          <w:szCs w:val="24"/>
        </w:rPr>
      </w:pPr>
    </w:p>
    <w:p w14:paraId="47B568C2" w14:textId="76C36C66" w:rsidR="00B63AAD" w:rsidRDefault="009A5157" w:rsidP="00247B2A">
      <w:pPr>
        <w:rPr>
          <w:rFonts w:cs="Times New Roman"/>
          <w:szCs w:val="24"/>
        </w:rPr>
      </w:pPr>
      <w:r w:rsidRPr="00E3132F">
        <w:rPr>
          <w:rFonts w:cs="Times New Roman"/>
          <w:szCs w:val="24"/>
        </w:rPr>
        <w:t>These four goal lenses narrow the subsequent analysis to which countries are actually driving the OECD’s weak decade outcomes, and which sub-components within those goals require targeted policy attention.</w:t>
      </w:r>
    </w:p>
    <w:p w14:paraId="1375DC32" w14:textId="77777777" w:rsidR="000B7142" w:rsidRPr="00E3132F" w:rsidRDefault="000B7142" w:rsidP="00247B2A">
      <w:pPr>
        <w:rPr>
          <w:rFonts w:cs="Times New Roman"/>
          <w:szCs w:val="24"/>
        </w:rPr>
      </w:pPr>
    </w:p>
    <w:p w14:paraId="61D7F398" w14:textId="6F50D187" w:rsidR="00814BE6" w:rsidRPr="00E3132F" w:rsidRDefault="00753C82" w:rsidP="00C06BE7">
      <w:pPr>
        <w:pStyle w:val="Heading4"/>
      </w:pPr>
      <w:r w:rsidRPr="00E3132F">
        <w:lastRenderedPageBreak/>
        <w:t>Cross-check at Overall level</w:t>
      </w:r>
    </w:p>
    <w:p w14:paraId="1D4BC761" w14:textId="40B9D293" w:rsidR="00DD28AE" w:rsidRPr="00E3132F" w:rsidRDefault="00271EE4" w:rsidP="007D434F">
      <w:r w:rsidRPr="00E3132F">
        <w:rPr>
          <w:rFonts w:cs="Times New Roman"/>
          <w:szCs w:val="24"/>
        </w:rPr>
        <mc:AlternateContent>
          <mc:Choice Requires="wps">
            <w:drawing>
              <wp:anchor distT="0" distB="0" distL="114300" distR="114300" simplePos="0" relativeHeight="251630592" behindDoc="0" locked="0" layoutInCell="1" allowOverlap="1" wp14:anchorId="7F8BC5C5" wp14:editId="1BA66792">
                <wp:simplePos x="0" y="0"/>
                <wp:positionH relativeFrom="column">
                  <wp:posOffset>31750</wp:posOffset>
                </wp:positionH>
                <wp:positionV relativeFrom="paragraph">
                  <wp:posOffset>643255</wp:posOffset>
                </wp:positionV>
                <wp:extent cx="3743325" cy="2941955"/>
                <wp:effectExtent l="0" t="0" r="28575" b="10795"/>
                <wp:wrapSquare wrapText="bothSides"/>
                <wp:docPr id="24585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3325" cy="2941955"/>
                        </a:xfrm>
                        <a:prstGeom prst="rect">
                          <a:avLst/>
                        </a:prstGeom>
                        <a:solidFill>
                          <a:srgbClr val="FFFFFF"/>
                        </a:solidFill>
                        <a:ln w="9525">
                          <a:solidFill>
                            <a:schemeClr val="bg1">
                              <a:lumMod val="85000"/>
                            </a:schemeClr>
                          </a:solidFill>
                          <a:miter lim="800000"/>
                          <a:headEnd/>
                          <a:tailEnd/>
                        </a:ln>
                      </wps:spPr>
                      <wps:txbx>
                        <w:txbxContent>
                          <w:p w14:paraId="756AADE1" w14:textId="77777777" w:rsidR="00DB57D1" w:rsidRPr="00E3132F" w:rsidRDefault="00DB57D1" w:rsidP="00DB57D1">
                            <w:pPr>
                              <w:keepNext/>
                            </w:pPr>
                            <w:r w:rsidRPr="00E3132F">
                              <w:drawing>
                                <wp:inline distT="0" distB="0" distL="0" distR="0" wp14:anchorId="001FB10C" wp14:editId="5AD7BC0D">
                                  <wp:extent cx="3578087" cy="2489787"/>
                                  <wp:effectExtent l="0" t="0" r="3810" b="6350"/>
                                  <wp:docPr id="96513876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29138" name="Picture 1" descr="A graph of different colored lines&#10;&#10;AI-generated content may be incorrect."/>
                                          <pic:cNvPicPr/>
                                        </pic:nvPicPr>
                                        <pic:blipFill>
                                          <a:blip r:embed="rId38"/>
                                          <a:stretch>
                                            <a:fillRect/>
                                          </a:stretch>
                                        </pic:blipFill>
                                        <pic:spPr>
                                          <a:xfrm>
                                            <a:off x="0" y="0"/>
                                            <a:ext cx="3588166" cy="2496801"/>
                                          </a:xfrm>
                                          <a:prstGeom prst="rect">
                                            <a:avLst/>
                                          </a:prstGeom>
                                        </pic:spPr>
                                      </pic:pic>
                                    </a:graphicData>
                                  </a:graphic>
                                </wp:inline>
                              </w:drawing>
                            </w:r>
                          </w:p>
                          <w:p w14:paraId="189D8089" w14:textId="6F9E44C0" w:rsidR="00DB57D1" w:rsidRPr="00E3132F" w:rsidRDefault="00DB57D1" w:rsidP="00DB57D1">
                            <w:pPr>
                              <w:pStyle w:val="Caption"/>
                            </w:pPr>
                            <w:r w:rsidRPr="00E3132F">
                              <w:t>Figure 11: OECD Countries with slowest progress (% change)</w:t>
                            </w:r>
                            <w:r w:rsidR="008F1FC9" w:rsidRPr="008F1FC9">
                              <w:t xml:space="preserve"> </w:t>
                            </w:r>
                            <w:r w:rsidR="008F1FC9">
                              <w:t>. GoalScope (Seacor, 2025)</w:t>
                            </w:r>
                          </w:p>
                          <w:p w14:paraId="6D58BB8B" w14:textId="77777777" w:rsidR="00DB57D1" w:rsidRPr="00E3132F" w:rsidRDefault="00DB57D1" w:rsidP="00DB57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BC5C5" id="_x0000_s1037" type="#_x0000_t202" style="position:absolute;left:0;text-align:left;margin-left:2.5pt;margin-top:50.65pt;width:294.75pt;height:23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" strokecolor="#d8d8d8 [2732]">
                <v:textbox>
                  <w:txbxContent>
                    <w:p w14:paraId="756AADE1" w14:textId="77777777" w:rsidR="00DB57D1" w:rsidRPr="00E3132F" w:rsidRDefault="00DB57D1" w:rsidP="00DB57D1">
                      <w:pPr>
                        <w:keepNext/>
                      </w:pPr>
                      <w:r w:rsidRPr="00E3132F">
                        <w:drawing>
                          <wp:inline distT="0" distB="0" distL="0" distR="0" wp14:anchorId="001FB10C" wp14:editId="5AD7BC0D">
                            <wp:extent cx="3578087" cy="2489787"/>
                            <wp:effectExtent l="0" t="0" r="3810" b="6350"/>
                            <wp:docPr id="96513876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29138" name="Picture 1" descr="A graph of different colored lines&#10;&#10;AI-generated content may be incorrect."/>
                                    <pic:cNvPicPr/>
                                  </pic:nvPicPr>
                                  <pic:blipFill>
                                    <a:blip r:embed="rId38"/>
                                    <a:stretch>
                                      <a:fillRect/>
                                    </a:stretch>
                                  </pic:blipFill>
                                  <pic:spPr>
                                    <a:xfrm>
                                      <a:off x="0" y="0"/>
                                      <a:ext cx="3588166" cy="2496801"/>
                                    </a:xfrm>
                                    <a:prstGeom prst="rect">
                                      <a:avLst/>
                                    </a:prstGeom>
                                  </pic:spPr>
                                </pic:pic>
                              </a:graphicData>
                            </a:graphic>
                          </wp:inline>
                        </w:drawing>
                      </w:r>
                    </w:p>
                    <w:p w14:paraId="189D8089" w14:textId="6F9E44C0" w:rsidR="00DB57D1" w:rsidRPr="00E3132F" w:rsidRDefault="00DB57D1" w:rsidP="00DB57D1">
                      <w:pPr>
                        <w:pStyle w:val="Caption"/>
                      </w:pPr>
                      <w:r w:rsidRPr="00E3132F">
                        <w:t>Figure 11: OECD Countries with slowest progress (% change)</w:t>
                      </w:r>
                      <w:r w:rsidR="008F1FC9" w:rsidRPr="008F1FC9">
                        <w:t xml:space="preserve"> </w:t>
                      </w:r>
                      <w:r w:rsidR="008F1FC9">
                        <w:t>. GoalScope (Seacor, 2025)</w:t>
                      </w:r>
                    </w:p>
                    <w:p w14:paraId="6D58BB8B" w14:textId="77777777" w:rsidR="00DB57D1" w:rsidRPr="00E3132F" w:rsidRDefault="00DB57D1" w:rsidP="00DB57D1"/>
                  </w:txbxContent>
                </v:textbox>
                <w10:wrap type="square"/>
              </v:shape>
            </w:pict>
          </mc:Fallback>
        </mc:AlternateContent>
      </w:r>
      <w:r w:rsidR="00EE0246" w:rsidRPr="00E3132F">
        <w:rPr>
          <w:lang w:eastAsia="en-NZ"/>
        </w:rPr>
        <w:t xml:space="preserve">The </w:t>
      </w:r>
      <w:r w:rsidR="0074733B" w:rsidRPr="00E3132F">
        <w:rPr>
          <w:lang w:eastAsia="en-NZ"/>
        </w:rPr>
        <w:t xml:space="preserve">OECD </w:t>
      </w:r>
      <w:r w:rsidR="0074733B" w:rsidRPr="00E3132F">
        <w:t xml:space="preserve">Countries with lowest </w:t>
      </w:r>
      <w:r w:rsidR="00F841DD">
        <w:t>%</w:t>
      </w:r>
      <w:r w:rsidR="0074733B" w:rsidRPr="00E3132F">
        <w:t xml:space="preserve"> change </w:t>
      </w:r>
      <w:r w:rsidR="00EE0246" w:rsidRPr="00E3132F">
        <w:t xml:space="preserve">are shown in </w:t>
      </w:r>
      <w:r w:rsidR="00CB03D0" w:rsidRPr="00E3132F">
        <w:t>Figure 11</w:t>
      </w:r>
      <w:r w:rsidR="00EE0246" w:rsidRPr="00E3132F">
        <w:t xml:space="preserve">. Here we can see </w:t>
      </w:r>
      <w:r w:rsidR="00CB03D0" w:rsidRPr="00E3132F">
        <w:t xml:space="preserve">that </w:t>
      </w:r>
      <w:r w:rsidR="00EE1E67" w:rsidRPr="00E3132F">
        <w:t>Sweden sits on a stable high plateau, retaining the lead throughout; Austria tracks just below it with similarly low volatility. Iceland holds a steady mid-80s band, showing little drift. The movement is mainly in the lower pair: Ireland dips early and then catches up gradually, while New Zealand bottoms mid-decade and edges upward but remains the laggard by 2025. Overall, the spread between the top (Sweden/Austria) and the bottom (New Zealand) narrows only slightly—a mild convergence without any leadership change.</w:t>
      </w:r>
      <w:r w:rsidR="00674CA3">
        <w:t xml:space="preserve"> </w:t>
      </w:r>
      <w:r w:rsidR="00EE1E67" w:rsidRPr="00E3132F">
        <w:rPr>
          <w:lang w:eastAsia="en-NZ"/>
        </w:rPr>
        <w:t>With the leaders already near the ceiling of the index, gains are incremental; the scope for bigger improvements sits with the trailing countries, which will need targeted, goal-specific lift rather than broad, across-the-board changes to close the remaining gap.</w:t>
      </w:r>
    </w:p>
    <w:p w14:paraId="08C10AC0" w14:textId="015674B4" w:rsidR="00905EA6" w:rsidRPr="00E3132F" w:rsidRDefault="00905EA6" w:rsidP="002115A7">
      <w:pPr>
        <w:pStyle w:val="Heading2"/>
      </w:pPr>
      <w:bookmarkStart w:id="33" w:name="_Toc211306871"/>
      <w:r w:rsidRPr="00E3132F">
        <w:t>Regional gaps &amp; dispersion</w:t>
      </w:r>
      <w:bookmarkEnd w:id="33"/>
    </w:p>
    <w:p w14:paraId="7E148EF3" w14:textId="3C7A7B10" w:rsidR="00905EA6" w:rsidRPr="00E3132F" w:rsidRDefault="00A21F9D" w:rsidP="0027214A">
      <w:pPr>
        <w:pStyle w:val="Heading3"/>
        <w:rPr>
          <w:rStyle w:val="Strong"/>
          <w:b/>
          <w:bCs/>
        </w:rPr>
      </w:pPr>
      <w:bookmarkStart w:id="34" w:name="_Toc211306872"/>
      <w:r w:rsidRPr="00E3132F">
        <w:t xml:space="preserve">Across </w:t>
      </w:r>
      <w:r w:rsidR="008467E8" w:rsidRPr="00E3132F">
        <w:t>Africa</w:t>
      </w:r>
      <w:r w:rsidRPr="00E3132F">
        <w:t xml:space="preserve">, </w:t>
      </w:r>
      <w:r w:rsidR="008467E8" w:rsidRPr="00E3132F">
        <w:t xml:space="preserve">which countries </w:t>
      </w:r>
      <w:r w:rsidRPr="00E3132F">
        <w:t>are the SDG “leaders”, “emerging improvers”, “stable/slipping” and “laggards” when we consider both level (end-year score) and momentum (% change over 2015→2025)?</w:t>
      </w:r>
      <w:bookmarkEnd w:id="34"/>
    </w:p>
    <w:p w14:paraId="075BD730" w14:textId="17DA334F" w:rsidR="00F4006D" w:rsidRDefault="00E651BC" w:rsidP="00F4006D">
      <w:pPr>
        <w:rPr>
          <w:rFonts w:cs="Times New Roman"/>
          <w:szCs w:val="24"/>
        </w:rPr>
      </w:pPr>
      <w:r w:rsidRPr="00E3132F">
        <w:rPr>
          <w:rFonts w:cs="Times New Roman"/>
          <w:szCs w:val="24"/>
        </w:rPr>
        <w:t xml:space="preserve">As we saw </w:t>
      </w:r>
      <w:r w:rsidR="00815FBC" w:rsidRPr="00E3132F">
        <w:rPr>
          <w:rFonts w:cs="Times New Roman"/>
          <w:szCs w:val="24"/>
        </w:rPr>
        <w:t>in</w:t>
      </w:r>
      <w:r w:rsidRPr="00E3132F">
        <w:rPr>
          <w:rFonts w:cs="Times New Roman"/>
          <w:szCs w:val="24"/>
        </w:rPr>
        <w:t xml:space="preserve"> Figure </w:t>
      </w:r>
      <w:r w:rsidR="00935A10" w:rsidRPr="00E3132F">
        <w:rPr>
          <w:rFonts w:cs="Times New Roman"/>
          <w:szCs w:val="24"/>
        </w:rPr>
        <w:t>3</w:t>
      </w:r>
      <w:r w:rsidR="00D33ED6" w:rsidRPr="00E3132F">
        <w:rPr>
          <w:rFonts w:cs="Times New Roman"/>
          <w:szCs w:val="24"/>
        </w:rPr>
        <w:t xml:space="preserve"> that</w:t>
      </w:r>
      <w:r w:rsidR="008467E8" w:rsidRPr="00E3132F">
        <w:rPr>
          <w:rFonts w:cs="Times New Roman"/>
          <w:szCs w:val="24"/>
        </w:rPr>
        <w:t xml:space="preserve"> Africa posts the lowest regional Overall Score in 2025 (56.4), we focus the level-by-momentum quadrant on this region. Using Africa-specific medians to split the field, the picture is two-speed: a small leader tier sits above the regional level median and continues to improve; a broad emerging band is climbing quickly from below the median.</w:t>
      </w:r>
      <w:r w:rsidR="008F715F">
        <w:rPr>
          <w:rFonts w:cs="Times New Roman"/>
          <w:szCs w:val="24"/>
        </w:rPr>
        <w:t xml:space="preserve"> </w:t>
      </w:r>
      <w:r w:rsidR="008467E8" w:rsidRPr="00E3132F">
        <w:rPr>
          <w:rFonts w:cs="Times New Roman"/>
          <w:szCs w:val="24"/>
        </w:rPr>
        <w:t xml:space="preserve">Notably, </w:t>
      </w:r>
      <w:r w:rsidR="008467E8" w:rsidRPr="00E3132F">
        <w:t xml:space="preserve">Benin (+17.6%), Guinea-Bissau (+15.5%), and Togo (+14.5%) are among the fastest improvers over 2015→2025, </w:t>
      </w:r>
      <w:r w:rsidR="004178B9" w:rsidRPr="00E3132F">
        <w:t>signaling</w:t>
      </w:r>
      <w:r w:rsidR="008467E8" w:rsidRPr="00E3132F">
        <w:t xml:space="preserve"> reform traction despite lower starting points. By contrast, several countries remain stable/slipping (highish levels but weak recent gains) and a tail of laggards combines low levels with low momentum, indicating priority need for </w:t>
      </w:r>
      <w:r w:rsidR="008467E8" w:rsidRPr="00E3132F">
        <w:lastRenderedPageBreak/>
        <w:t>targeted support. In short, Africa’s regional average is lowest, but the quadrant shows clear pockets of momentum that can be scaled</w:t>
      </w:r>
      <w:r w:rsidR="008467E8" w:rsidRPr="00E3132F">
        <w:rPr>
          <w:rFonts w:cs="Times New Roman"/>
          <w:szCs w:val="24"/>
        </w:rPr>
        <w:t>, while highlighting where progress is stalling.</w:t>
      </w:r>
      <w:r w:rsidR="001B45EE" w:rsidRPr="00E3132F">
        <w:rPr>
          <w:rFonts w:cs="Times New Roman"/>
          <w:szCs w:val="24"/>
        </w:rPr>
        <w:t xml:space="preserve"> This pattern aligns with the literature: the Sustainable Development Report 2025 identifies Benin and Togo as the top global improvers despite low overall ranks, confirming the momentum seen in </w:t>
      </w:r>
      <w:r w:rsidR="007371DA">
        <w:rPr>
          <w:rFonts w:cs="Times New Roman"/>
          <w:szCs w:val="24"/>
        </w:rPr>
        <w:t>the</w:t>
      </w:r>
      <w:r w:rsidR="001B45EE" w:rsidRPr="00E3132F">
        <w:rPr>
          <w:rFonts w:cs="Times New Roman"/>
          <w:szCs w:val="24"/>
        </w:rPr>
        <w:t xml:space="preserve"> data (Sachs et al., 2025).</w:t>
      </w:r>
    </w:p>
    <w:p w14:paraId="4DA77EE1" w14:textId="6E63CEBB" w:rsidR="008F715F" w:rsidRDefault="008F715F" w:rsidP="00F4006D">
      <w:pPr>
        <w:rPr>
          <w:rFonts w:cs="Times New Roman"/>
          <w:szCs w:val="24"/>
        </w:rPr>
      </w:pPr>
      <w:r w:rsidRPr="00E3132F">
        <w:rPr>
          <w:rFonts w:cs="Times New Roman"/>
          <w:szCs w:val="24"/>
        </w:rPr>
        <mc:AlternateContent>
          <mc:Choice Requires="wps">
            <w:drawing>
              <wp:inline distT="0" distB="0" distL="0" distR="0" wp14:anchorId="05FEDA1E" wp14:editId="171C1329">
                <wp:extent cx="5731510" cy="3145425"/>
                <wp:effectExtent l="0" t="0" r="21590" b="17145"/>
                <wp:docPr id="42790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145425"/>
                        </a:xfrm>
                        <a:prstGeom prst="rect">
                          <a:avLst/>
                        </a:prstGeom>
                        <a:solidFill>
                          <a:srgbClr val="FFFFFF"/>
                        </a:solidFill>
                        <a:ln w="9525">
                          <a:solidFill>
                            <a:schemeClr val="bg1">
                              <a:lumMod val="85000"/>
                            </a:schemeClr>
                          </a:solidFill>
                          <a:miter lim="800000"/>
                          <a:headEnd/>
                          <a:tailEnd/>
                        </a:ln>
                      </wps:spPr>
                      <wps:txbx>
                        <w:txbxContent>
                          <w:p w14:paraId="1D4E2BE9" w14:textId="77777777" w:rsidR="008F715F" w:rsidRPr="00E3132F" w:rsidRDefault="008F715F" w:rsidP="008F715F">
                            <w:pPr>
                              <w:keepNext/>
                              <w:jc w:val="left"/>
                            </w:pPr>
                            <w:r w:rsidRPr="00E3132F">
                              <w:drawing>
                                <wp:inline distT="0" distB="0" distL="0" distR="0" wp14:anchorId="6F61BB2A" wp14:editId="13563CB6">
                                  <wp:extent cx="5601676" cy="2809037"/>
                                  <wp:effectExtent l="0" t="0" r="0" b="0"/>
                                  <wp:docPr id="1541967077"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67077" name="Picture 1" descr="A graph with red and blue dots&#10;&#10;AI-generated content may be incorrect."/>
                                          <pic:cNvPicPr/>
                                        </pic:nvPicPr>
                                        <pic:blipFill>
                                          <a:blip r:embed="rId39"/>
                                          <a:stretch>
                                            <a:fillRect/>
                                          </a:stretch>
                                        </pic:blipFill>
                                        <pic:spPr>
                                          <a:xfrm>
                                            <a:off x="0" y="0"/>
                                            <a:ext cx="5638602" cy="2827554"/>
                                          </a:xfrm>
                                          <a:prstGeom prst="rect">
                                            <a:avLst/>
                                          </a:prstGeom>
                                        </pic:spPr>
                                      </pic:pic>
                                    </a:graphicData>
                                  </a:graphic>
                                </wp:inline>
                              </w:drawing>
                            </w:r>
                          </w:p>
                          <w:p w14:paraId="5AF73FE4" w14:textId="0FD56A4F" w:rsidR="008F715F" w:rsidRPr="00E3132F" w:rsidRDefault="008F715F" w:rsidP="008F715F">
                            <w:pPr>
                              <w:pStyle w:val="Caption"/>
                              <w:jc w:val="left"/>
                            </w:pPr>
                            <w:r w:rsidRPr="00E3132F">
                              <w:t>Figure 12: Quadrant Scatter – Africa – 2015 to 2025</w:t>
                            </w:r>
                            <w:r w:rsidR="008F1FC9">
                              <w:t>. GoalScope (Seacor, 2025)</w:t>
                            </w:r>
                          </w:p>
                          <w:p w14:paraId="5A5AFB26" w14:textId="77777777" w:rsidR="008F715F" w:rsidRPr="00E3132F" w:rsidRDefault="008F715F" w:rsidP="008F715F">
                            <w:pPr>
                              <w:jc w:val="left"/>
                            </w:pPr>
                          </w:p>
                        </w:txbxContent>
                      </wps:txbx>
                      <wps:bodyPr rot="0" vert="horz" wrap="square" lIns="91440" tIns="45720" rIns="91440" bIns="45720" anchor="t" anchorCtr="0">
                        <a:noAutofit/>
                      </wps:bodyPr>
                    </wps:wsp>
                  </a:graphicData>
                </a:graphic>
              </wp:inline>
            </w:drawing>
          </mc:Choice>
          <mc:Fallback>
            <w:pict>
              <v:shape w14:anchorId="05FEDA1E" id="_x0000_s1038" type="#_x0000_t202" style="width:451.3pt;height:2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" strokecolor="#d8d8d8 [2732]">
                <v:textbox>
                  <w:txbxContent>
                    <w:p w14:paraId="1D4E2BE9" w14:textId="77777777" w:rsidR="008F715F" w:rsidRPr="00E3132F" w:rsidRDefault="008F715F" w:rsidP="008F715F">
                      <w:pPr>
                        <w:keepNext/>
                        <w:jc w:val="left"/>
                      </w:pPr>
                      <w:r w:rsidRPr="00E3132F">
                        <w:drawing>
                          <wp:inline distT="0" distB="0" distL="0" distR="0" wp14:anchorId="6F61BB2A" wp14:editId="13563CB6">
                            <wp:extent cx="5601676" cy="2809037"/>
                            <wp:effectExtent l="0" t="0" r="0" b="0"/>
                            <wp:docPr id="1541967077"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67077" name="Picture 1" descr="A graph with red and blue dots&#10;&#10;AI-generated content may be incorrect."/>
                                    <pic:cNvPicPr/>
                                  </pic:nvPicPr>
                                  <pic:blipFill>
                                    <a:blip r:embed="rId39"/>
                                    <a:stretch>
                                      <a:fillRect/>
                                    </a:stretch>
                                  </pic:blipFill>
                                  <pic:spPr>
                                    <a:xfrm>
                                      <a:off x="0" y="0"/>
                                      <a:ext cx="5638602" cy="2827554"/>
                                    </a:xfrm>
                                    <a:prstGeom prst="rect">
                                      <a:avLst/>
                                    </a:prstGeom>
                                  </pic:spPr>
                                </pic:pic>
                              </a:graphicData>
                            </a:graphic>
                          </wp:inline>
                        </w:drawing>
                      </w:r>
                    </w:p>
                    <w:p w14:paraId="5AF73FE4" w14:textId="0FD56A4F" w:rsidR="008F715F" w:rsidRPr="00E3132F" w:rsidRDefault="008F715F" w:rsidP="008F715F">
                      <w:pPr>
                        <w:pStyle w:val="Caption"/>
                        <w:jc w:val="left"/>
                      </w:pPr>
                      <w:r w:rsidRPr="00E3132F">
                        <w:t>Figure 12: Quadrant Scatter – Africa – 2015 to 2025</w:t>
                      </w:r>
                      <w:r w:rsidR="008F1FC9">
                        <w:t>. GoalScope (Seacor, 2025)</w:t>
                      </w:r>
                    </w:p>
                    <w:p w14:paraId="5A5AFB26" w14:textId="77777777" w:rsidR="008F715F" w:rsidRPr="00E3132F" w:rsidRDefault="008F715F" w:rsidP="008F715F">
                      <w:pPr>
                        <w:jc w:val="left"/>
                      </w:pPr>
                    </w:p>
                  </w:txbxContent>
                </v:textbox>
                <w10:anchorlock/>
              </v:shape>
            </w:pict>
          </mc:Fallback>
        </mc:AlternateContent>
      </w:r>
    </w:p>
    <w:p w14:paraId="15D90C87" w14:textId="548DDBB0" w:rsidR="005176A2" w:rsidRPr="00AC6614" w:rsidRDefault="002C6E6A" w:rsidP="00247B2A">
      <w:pPr>
        <w:pStyle w:val="Heading2"/>
      </w:pPr>
      <w:bookmarkStart w:id="35" w:name="_Toc211306873"/>
      <w:r w:rsidRPr="00E3132F">
        <w:t>Inter-goal links &amp; trade-offs</w:t>
      </w:r>
      <w:bookmarkEnd w:id="35"/>
    </w:p>
    <w:p w14:paraId="40CD9E33" w14:textId="51757F7E" w:rsidR="007E70D2" w:rsidRPr="00E3132F" w:rsidRDefault="00B26882" w:rsidP="0027214A">
      <w:pPr>
        <w:pStyle w:val="Heading3"/>
        <w:rPr>
          <w:rStyle w:val="Strong"/>
          <w:b/>
          <w:bCs/>
        </w:rPr>
      </w:pPr>
      <w:bookmarkStart w:id="36" w:name="_Toc211306874"/>
      <w:r w:rsidRPr="00E3132F">
        <w:t>In the 2025 global network of SDG goal scores, which goals are central “synergy hubs,” which are peripheral, and where are the main trade-offs?</w:t>
      </w:r>
      <w:bookmarkEnd w:id="36"/>
    </w:p>
    <w:p w14:paraId="0910E56B" w14:textId="7CD65003" w:rsidR="005C3636" w:rsidRDefault="00661675" w:rsidP="00247B2A">
      <w:pPr>
        <w:rPr>
          <w:rFonts w:cs="Times New Roman"/>
          <w:szCs w:val="24"/>
        </w:rPr>
      </w:pPr>
      <w:r w:rsidRPr="00E3132F">
        <w:rPr>
          <w:rFonts w:cs="Times New Roman"/>
          <w:szCs w:val="24"/>
        </w:rPr>
        <w:t xml:space="preserve">The correlation network </w:t>
      </w:r>
      <w:r w:rsidR="00305BB9" w:rsidRPr="00E3132F">
        <w:rPr>
          <w:rFonts w:cs="Times New Roman"/>
          <w:szCs w:val="24"/>
        </w:rPr>
        <w:t>Figure 13</w:t>
      </w:r>
      <w:r w:rsidR="004A6A62" w:rsidRPr="00E3132F">
        <w:rPr>
          <w:rFonts w:cs="Times New Roman"/>
          <w:szCs w:val="24"/>
        </w:rPr>
        <w:t xml:space="preserve"> (</w:t>
      </w:r>
      <w:r w:rsidRPr="00E3132F">
        <w:rPr>
          <w:rFonts w:cs="Times New Roman"/>
          <w:szCs w:val="24"/>
        </w:rPr>
        <w:t xml:space="preserve">nodes = SDG goals; red = positive ties; blue = negative) </w:t>
      </w:r>
      <w:r w:rsidR="004A6A62" w:rsidRPr="00E3132F">
        <w:rPr>
          <w:rFonts w:cs="Times New Roman"/>
          <w:szCs w:val="24"/>
        </w:rPr>
        <w:t xml:space="preserve">and Figure 14 </w:t>
      </w:r>
      <w:r w:rsidRPr="00E3132F">
        <w:rPr>
          <w:rFonts w:cs="Times New Roman"/>
          <w:szCs w:val="24"/>
        </w:rPr>
        <w:t>shows a dense socio-economic core and a thin environmental periphery</w:t>
      </w:r>
      <w:r w:rsidR="008C2921" w:rsidRPr="00E3132F">
        <w:rPr>
          <w:rFonts w:cs="Times New Roman"/>
          <w:szCs w:val="24"/>
        </w:rPr>
        <w:t xml:space="preserve"> (Figure 13)</w:t>
      </w:r>
      <w:r w:rsidRPr="00E3132F">
        <w:rPr>
          <w:rFonts w:cs="Times New Roman"/>
          <w:szCs w:val="24"/>
        </w:rPr>
        <w:t>.</w:t>
      </w:r>
      <w:r w:rsidR="004A6A62" w:rsidRPr="00E3132F">
        <w:rPr>
          <w:rFonts w:cs="Times New Roman"/>
          <w:szCs w:val="24"/>
        </w:rPr>
        <w:t xml:space="preserve"> </w:t>
      </w:r>
      <w:r w:rsidR="00BC7A3A" w:rsidRPr="00E3132F">
        <w:rPr>
          <w:rFonts w:cs="Times New Roman"/>
          <w:szCs w:val="24"/>
        </w:rPr>
        <w:t xml:space="preserve">Central synergy hubs—goals whose progress propagates system-wide—are SDG 3, SDG 9, SDG 4, SDG 6, and SDG 1, consistent with the view that effective governance can act as an SDG accelerator (Organisation for Economic Co-operation and Development [OECD], 2019). These hubs also form the strongest positive pairs in our data: SDG 3–SDG 9 (r = 0.86), SDG 3–SDG 7 (r = 0.84), SDG 1–SDG 3 (r = 0.82), and SDG 3–SDG 4 (r = 0.82). At the trade-off pole, SDG 12 is most negative—SDG 12–SDG 9 (r = −0.85), SDG 12–SDG 3 (r = −0.80), SDG 12–SDG 16 (r = −0.80)—with SDG 13 showing additional moderate negatives against several core goals. Implication: </w:t>
      </w:r>
      <w:r w:rsidR="00EA6796" w:rsidRPr="00E3132F">
        <w:rPr>
          <w:rFonts w:cs="Times New Roman"/>
          <w:szCs w:val="24"/>
        </w:rPr>
        <w:t>prioritize</w:t>
      </w:r>
      <w:r w:rsidR="00BC7A3A" w:rsidRPr="00E3132F">
        <w:rPr>
          <w:rFonts w:cs="Times New Roman"/>
          <w:szCs w:val="24"/>
        </w:rPr>
        <w:t xml:space="preserve"> circular-economy and clean-tech packages to decouple growth from resource use and convert these trade-offs into </w:t>
      </w:r>
      <w:r w:rsidR="00BC7A3A" w:rsidRPr="00E3132F">
        <w:rPr>
          <w:rFonts w:cs="Times New Roman"/>
          <w:szCs w:val="24"/>
        </w:rPr>
        <w:lastRenderedPageBreak/>
        <w:t>complements.</w:t>
      </w:r>
      <w:r w:rsidR="005C3636">
        <w:rPr>
          <w:rFonts w:cs="Times New Roman"/>
          <w:szCs w:val="24"/>
        </w:rPr>
        <w:t xml:space="preserve"> </w:t>
      </w:r>
      <w:r w:rsidRPr="00E3132F">
        <w:rPr>
          <w:rFonts w:cs="Times New Roman"/>
          <w:szCs w:val="24"/>
        </w:rPr>
        <w:t xml:space="preserve">Peripheral environmental goals: </w:t>
      </w:r>
      <w:r w:rsidR="00DD450D" w:rsidRPr="00E3132F">
        <w:t xml:space="preserve">SDG </w:t>
      </w:r>
      <w:r w:rsidRPr="00E3132F">
        <w:rPr>
          <w:rFonts w:cs="Times New Roman"/>
          <w:szCs w:val="24"/>
        </w:rPr>
        <w:t xml:space="preserve">14 Life Below Water and </w:t>
      </w:r>
      <w:r w:rsidR="00DD450D" w:rsidRPr="00E3132F">
        <w:t xml:space="preserve">SDG </w:t>
      </w:r>
      <w:r w:rsidRPr="00E3132F">
        <w:rPr>
          <w:rFonts w:cs="Times New Roman"/>
          <w:szCs w:val="24"/>
        </w:rPr>
        <w:t xml:space="preserve">15 Life </w:t>
      </w:r>
      <w:r w:rsidR="008F1FC9" w:rsidRPr="00E3132F">
        <w:rPr>
          <w:rFonts w:cs="Times New Roman"/>
          <w:szCs w:val="24"/>
        </w:rPr>
        <mc:AlternateContent>
          <mc:Choice Requires="wps">
            <w:drawing>
              <wp:anchor distT="0" distB="0" distL="114300" distR="114300" simplePos="0" relativeHeight="251632640" behindDoc="0" locked="0" layoutInCell="1" allowOverlap="1" wp14:anchorId="6F220448" wp14:editId="59E00E20">
                <wp:simplePos x="0" y="0"/>
                <wp:positionH relativeFrom="column">
                  <wp:posOffset>-103505</wp:posOffset>
                </wp:positionH>
                <wp:positionV relativeFrom="paragraph">
                  <wp:posOffset>309880</wp:posOffset>
                </wp:positionV>
                <wp:extent cx="3227705" cy="3569970"/>
                <wp:effectExtent l="0" t="0" r="10795" b="11430"/>
                <wp:wrapSquare wrapText="bothSides"/>
                <wp:docPr id="943571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3569970"/>
                        </a:xfrm>
                        <a:prstGeom prst="rect">
                          <a:avLst/>
                        </a:prstGeom>
                        <a:solidFill>
                          <a:srgbClr val="FFFFFF"/>
                        </a:solidFill>
                        <a:ln w="9525">
                          <a:solidFill>
                            <a:schemeClr val="bg1">
                              <a:lumMod val="95000"/>
                            </a:schemeClr>
                          </a:solidFill>
                          <a:miter lim="800000"/>
                          <a:headEnd/>
                          <a:tailEnd/>
                        </a:ln>
                      </wps:spPr>
                      <wps:txbx>
                        <w:txbxContent>
                          <w:p w14:paraId="15DAB774" w14:textId="77777777" w:rsidR="00C8446A" w:rsidRPr="00E3132F" w:rsidRDefault="00C8446A" w:rsidP="00C8446A">
                            <w:pPr>
                              <w:keepNext/>
                            </w:pPr>
                            <w:r w:rsidRPr="00E3132F">
                              <w:drawing>
                                <wp:inline distT="0" distB="0" distL="0" distR="0" wp14:anchorId="2A7CBC97" wp14:editId="2AF06580">
                                  <wp:extent cx="3061252" cy="3097098"/>
                                  <wp:effectExtent l="0" t="0" r="6350" b="8255"/>
                                  <wp:docPr id="1583184358" name="Picture 1" descr="A circular network with red and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84358" name="Picture 1" descr="A circular network with red and blue lines and dots&#10;&#10;AI-generated content may be incorrect."/>
                                          <pic:cNvPicPr>
                                            <a:picLocks noChangeAspect="1"/>
                                          </pic:cNvPicPr>
                                        </pic:nvPicPr>
                                        <pic:blipFill>
                                          <a:blip r:embed="rId40"/>
                                          <a:stretch>
                                            <a:fillRect/>
                                          </a:stretch>
                                        </pic:blipFill>
                                        <pic:spPr>
                                          <a:xfrm>
                                            <a:off x="0" y="0"/>
                                            <a:ext cx="3127745" cy="3164370"/>
                                          </a:xfrm>
                                          <a:prstGeom prst="rect">
                                            <a:avLst/>
                                          </a:prstGeom>
                                        </pic:spPr>
                                      </pic:pic>
                                    </a:graphicData>
                                  </a:graphic>
                                </wp:inline>
                              </w:drawing>
                            </w:r>
                          </w:p>
                          <w:p w14:paraId="02BC94F7" w14:textId="095C13BF" w:rsidR="00C8446A" w:rsidRPr="00E3132F" w:rsidRDefault="00C8446A" w:rsidP="00C8446A">
                            <w:pPr>
                              <w:pStyle w:val="Caption"/>
                            </w:pPr>
                            <w:r w:rsidRPr="00E3132F">
                              <w:t>Figure 13: Network Graph of Goal Correlations - 2025</w:t>
                            </w:r>
                            <w:r w:rsidR="008F1FC9">
                              <w:t>. GoalScope (Seacor, 2025)</w:t>
                            </w:r>
                          </w:p>
                          <w:p w14:paraId="17AB8792" w14:textId="77777777" w:rsidR="00C8446A" w:rsidRPr="00E3132F" w:rsidRDefault="00C8446A" w:rsidP="00C844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220448" id="_x0000_s1039" type="#_x0000_t202" style="position:absolute;left:0;text-align:left;margin-left:-8.15pt;margin-top:24.4pt;width:254.15pt;height:281.1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" strokecolor="#f2f2f2 [3052]">
                <v:textbox>
                  <w:txbxContent>
                    <w:p w14:paraId="15DAB774" w14:textId="77777777" w:rsidR="00C8446A" w:rsidRPr="00E3132F" w:rsidRDefault="00C8446A" w:rsidP="00C8446A">
                      <w:pPr>
                        <w:keepNext/>
                      </w:pPr>
                      <w:r w:rsidRPr="00E3132F">
                        <w:drawing>
                          <wp:inline distT="0" distB="0" distL="0" distR="0" wp14:anchorId="2A7CBC97" wp14:editId="2AF06580">
                            <wp:extent cx="3061252" cy="3097098"/>
                            <wp:effectExtent l="0" t="0" r="6350" b="8255"/>
                            <wp:docPr id="1583184358" name="Picture 1" descr="A circular network with red and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84358" name="Picture 1" descr="A circular network with red and blue lines and dots&#10;&#10;AI-generated content may be incorrect."/>
                                    <pic:cNvPicPr>
                                      <a:picLocks noChangeAspect="1"/>
                                    </pic:cNvPicPr>
                                  </pic:nvPicPr>
                                  <pic:blipFill>
                                    <a:blip r:embed="rId40"/>
                                    <a:stretch>
                                      <a:fillRect/>
                                    </a:stretch>
                                  </pic:blipFill>
                                  <pic:spPr>
                                    <a:xfrm>
                                      <a:off x="0" y="0"/>
                                      <a:ext cx="3127745" cy="3164370"/>
                                    </a:xfrm>
                                    <a:prstGeom prst="rect">
                                      <a:avLst/>
                                    </a:prstGeom>
                                  </pic:spPr>
                                </pic:pic>
                              </a:graphicData>
                            </a:graphic>
                          </wp:inline>
                        </w:drawing>
                      </w:r>
                    </w:p>
                    <w:p w14:paraId="02BC94F7" w14:textId="095C13BF" w:rsidR="00C8446A" w:rsidRPr="00E3132F" w:rsidRDefault="00C8446A" w:rsidP="00C8446A">
                      <w:pPr>
                        <w:pStyle w:val="Caption"/>
                      </w:pPr>
                      <w:r w:rsidRPr="00E3132F">
                        <w:t>Figure 13: Network Graph of Goal Correlations - 2025</w:t>
                      </w:r>
                      <w:r w:rsidR="008F1FC9">
                        <w:t>. GoalScope (Seacor, 2025)</w:t>
                      </w:r>
                    </w:p>
                    <w:p w14:paraId="17AB8792" w14:textId="77777777" w:rsidR="00C8446A" w:rsidRPr="00E3132F" w:rsidRDefault="00C8446A" w:rsidP="00C8446A"/>
                  </w:txbxContent>
                </v:textbox>
                <w10:wrap type="square"/>
              </v:shape>
            </w:pict>
          </mc:Fallback>
        </mc:AlternateContent>
      </w:r>
      <w:r w:rsidRPr="00E3132F">
        <w:rPr>
          <w:rFonts w:cs="Times New Roman"/>
          <w:szCs w:val="24"/>
        </w:rPr>
        <w:t xml:space="preserve">on Land appear as small, sparsely connected nodes with mostly weak links—consistent with their low average association with the core block. </w:t>
      </w:r>
      <w:r w:rsidR="00DD450D" w:rsidRPr="00E3132F">
        <w:t xml:space="preserve">SDG </w:t>
      </w:r>
      <w:r w:rsidRPr="00E3132F">
        <w:rPr>
          <w:rFonts w:cs="Times New Roman"/>
          <w:szCs w:val="24"/>
        </w:rPr>
        <w:t>13 Climate shows modest positive links to some social goals but remains off the main axis.</w:t>
      </w:r>
      <w:r w:rsidR="008F715F">
        <w:rPr>
          <w:rFonts w:cs="Times New Roman"/>
          <w:szCs w:val="24"/>
        </w:rPr>
        <w:t xml:space="preserve"> </w:t>
      </w:r>
      <w:r w:rsidRPr="00E3132F">
        <w:rPr>
          <w:rFonts w:cs="Times New Roman"/>
          <w:szCs w:val="24"/>
        </w:rPr>
        <w:t>The 2025 SDG system is core–periphery: a tightly integrated health–education–</w:t>
      </w:r>
      <w:r w:rsidR="00767766" w:rsidRPr="00E3132F">
        <w:rPr>
          <w:rFonts w:cs="Times New Roman"/>
          <w:szCs w:val="24"/>
        </w:rPr>
        <w:t>I</w:t>
      </w:r>
      <w:r w:rsidRPr="00E3132F">
        <w:rPr>
          <w:rFonts w:cs="Times New Roman"/>
          <w:szCs w:val="24"/>
        </w:rPr>
        <w:t>nfrastructure–water–poverty cluster drives overall</w:t>
      </w:r>
      <w:r w:rsidR="00227433" w:rsidRPr="00E3132F">
        <w:rPr>
          <w:rFonts w:cs="Times New Roman"/>
          <w:szCs w:val="24"/>
        </w:rPr>
        <w:t xml:space="preserve"> </w:t>
      </w:r>
      <w:r w:rsidRPr="00E3132F">
        <w:rPr>
          <w:rFonts w:cs="Times New Roman"/>
          <w:szCs w:val="24"/>
        </w:rPr>
        <w:t>performance,</w:t>
      </w:r>
      <w:r w:rsidR="00227433" w:rsidRPr="00E3132F">
        <w:rPr>
          <w:rFonts w:cs="Times New Roman"/>
          <w:szCs w:val="24"/>
        </w:rPr>
        <w:t xml:space="preserve"> </w:t>
      </w:r>
      <w:r w:rsidRPr="00E3132F">
        <w:rPr>
          <w:rFonts w:cs="Times New Roman"/>
          <w:szCs w:val="24"/>
        </w:rPr>
        <w:t xml:space="preserve">while environmental goals—especially </w:t>
      </w:r>
      <w:r w:rsidR="00DD450D" w:rsidRPr="00E3132F">
        <w:t xml:space="preserve">SDG </w:t>
      </w:r>
      <w:r w:rsidRPr="00E3132F">
        <w:rPr>
          <w:rFonts w:cs="Times New Roman"/>
          <w:szCs w:val="24"/>
        </w:rPr>
        <w:t>12</w:t>
      </w:r>
      <w:r w:rsidR="00DD2505" w:rsidRPr="00E3132F">
        <w:rPr>
          <w:rFonts w:cs="Times New Roman"/>
          <w:szCs w:val="24"/>
        </w:rPr>
        <w:t xml:space="preserve"> and </w:t>
      </w:r>
      <w:r w:rsidR="00DD450D" w:rsidRPr="00E3132F">
        <w:t xml:space="preserve">SDG </w:t>
      </w:r>
      <w:r w:rsidR="00DD2505" w:rsidRPr="00E3132F">
        <w:rPr>
          <w:rFonts w:cs="Times New Roman"/>
          <w:szCs w:val="24"/>
        </w:rPr>
        <w:t>13</w:t>
      </w:r>
      <w:r w:rsidRPr="00E3132F">
        <w:rPr>
          <w:rFonts w:cs="Times New Roman"/>
          <w:szCs w:val="24"/>
        </w:rPr>
        <w:t xml:space="preserve">—do not co-move with that core and often move in the opposite direction. Policy leverage thus lies in (i) protecting and compounding the socio-economic synergies, and (ii) targeted instruments (circular-economy standards, clean-tech diffusion, resource-efficiency regulation) to reduce the observed </w:t>
      </w:r>
      <w:r w:rsidR="00DD450D" w:rsidRPr="00E3132F">
        <w:t xml:space="preserve">SDG </w:t>
      </w:r>
      <w:r w:rsidRPr="00E3132F">
        <w:rPr>
          <w:rFonts w:cs="Times New Roman"/>
          <w:szCs w:val="24"/>
        </w:rPr>
        <w:t>12</w:t>
      </w:r>
      <w:r w:rsidR="00DD2505" w:rsidRPr="00E3132F">
        <w:rPr>
          <w:rFonts w:cs="Times New Roman"/>
          <w:szCs w:val="24"/>
        </w:rPr>
        <w:t xml:space="preserve"> and </w:t>
      </w:r>
      <w:r w:rsidR="00DD450D" w:rsidRPr="00E3132F">
        <w:t xml:space="preserve">SDG </w:t>
      </w:r>
      <w:r w:rsidR="00DD2505" w:rsidRPr="00E3132F">
        <w:rPr>
          <w:rFonts w:cs="Times New Roman"/>
          <w:szCs w:val="24"/>
        </w:rPr>
        <w:t>13</w:t>
      </w:r>
      <w:r w:rsidRPr="00E3132F">
        <w:rPr>
          <w:rFonts w:cs="Times New Roman"/>
          <w:szCs w:val="24"/>
        </w:rPr>
        <w:t>-center trade-offs and bring environmental outcomes into the core of progress.</w:t>
      </w:r>
    </w:p>
    <w:p w14:paraId="2B239093" w14:textId="59796BB8" w:rsidR="005C3636" w:rsidRDefault="005C3636" w:rsidP="00247B2A">
      <w:pPr>
        <w:rPr>
          <w:rFonts w:cs="Times New Roman"/>
          <w:szCs w:val="24"/>
        </w:rPr>
      </w:pPr>
      <w:r w:rsidRPr="00E3132F">
        <w:rPr>
          <w:rFonts w:cs="Times New Roman"/>
          <w:szCs w:val="24"/>
        </w:rPr>
        <mc:AlternateContent>
          <mc:Choice Requires="wps">
            <w:drawing>
              <wp:inline distT="0" distB="0" distL="0" distR="0" wp14:anchorId="22265EA4" wp14:editId="6DA164D9">
                <wp:extent cx="5390984" cy="3824578"/>
                <wp:effectExtent l="0" t="0" r="19685" b="24130"/>
                <wp:docPr id="135595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0984" cy="3824578"/>
                        </a:xfrm>
                        <a:prstGeom prst="rect">
                          <a:avLst/>
                        </a:prstGeom>
                        <a:solidFill>
                          <a:srgbClr val="FFFFFF"/>
                        </a:solidFill>
                        <a:ln w="9525">
                          <a:solidFill>
                            <a:schemeClr val="bg1">
                              <a:lumMod val="95000"/>
                            </a:schemeClr>
                          </a:solidFill>
                          <a:miter lim="800000"/>
                          <a:headEnd/>
                          <a:tailEnd/>
                        </a:ln>
                      </wps:spPr>
                      <wps:txbx>
                        <w:txbxContent>
                          <w:p w14:paraId="0E6E15D2" w14:textId="77777777" w:rsidR="005C3636" w:rsidRPr="00E3132F" w:rsidRDefault="005C3636" w:rsidP="005C3636">
                            <w:pPr>
                              <w:keepNext/>
                            </w:pPr>
                            <w:r w:rsidRPr="00E3132F">
                              <w:drawing>
                                <wp:inline distT="0" distB="0" distL="0" distR="0" wp14:anchorId="7BCBF798" wp14:editId="40AF70A7">
                                  <wp:extent cx="5152445" cy="3513988"/>
                                  <wp:effectExtent l="0" t="0" r="0" b="0"/>
                                  <wp:docPr id="19334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8894" name=""/>
                                          <pic:cNvPicPr/>
                                        </pic:nvPicPr>
                                        <pic:blipFill>
                                          <a:blip r:embed="rId41"/>
                                          <a:stretch>
                                            <a:fillRect/>
                                          </a:stretch>
                                        </pic:blipFill>
                                        <pic:spPr>
                                          <a:xfrm>
                                            <a:off x="0" y="0"/>
                                            <a:ext cx="5251584" cy="3581601"/>
                                          </a:xfrm>
                                          <a:prstGeom prst="rect">
                                            <a:avLst/>
                                          </a:prstGeom>
                                        </pic:spPr>
                                      </pic:pic>
                                    </a:graphicData>
                                  </a:graphic>
                                </wp:inline>
                              </w:drawing>
                            </w:r>
                          </w:p>
                          <w:p w14:paraId="3047D888" w14:textId="5A8339F4" w:rsidR="005C3636" w:rsidRPr="00E3132F" w:rsidRDefault="005C3636" w:rsidP="005C3636">
                            <w:pPr>
                              <w:pStyle w:val="Caption"/>
                            </w:pPr>
                            <w:r w:rsidRPr="00E3132F">
                              <w:t>Figure 14: SDG Correlation Matrix – All Regions - 2025</w:t>
                            </w:r>
                            <w:r w:rsidR="00096145">
                              <w:t>. GoalScope (Seacor, 2025)</w:t>
                            </w:r>
                          </w:p>
                          <w:p w14:paraId="4F4A9892" w14:textId="77777777" w:rsidR="005C3636" w:rsidRPr="00E3132F" w:rsidRDefault="005C3636" w:rsidP="005C3636"/>
                        </w:txbxContent>
                      </wps:txbx>
                      <wps:bodyPr rot="0" vert="horz" wrap="square" lIns="91440" tIns="45720" rIns="91440" bIns="45720" anchor="t" anchorCtr="0">
                        <a:noAutofit/>
                      </wps:bodyPr>
                    </wps:wsp>
                  </a:graphicData>
                </a:graphic>
              </wp:inline>
            </w:drawing>
          </mc:Choice>
          <mc:Fallback>
            <w:pict>
              <v:shape w14:anchorId="22265EA4" id="_x0000_s1040" type="#_x0000_t202" style="width:424.5pt;height:30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" strokecolor="#f2f2f2 [3052]">
                <v:textbox>
                  <w:txbxContent>
                    <w:p w14:paraId="0E6E15D2" w14:textId="77777777" w:rsidR="005C3636" w:rsidRPr="00E3132F" w:rsidRDefault="005C3636" w:rsidP="005C3636">
                      <w:pPr>
                        <w:keepNext/>
                      </w:pPr>
                      <w:r w:rsidRPr="00E3132F">
                        <w:drawing>
                          <wp:inline distT="0" distB="0" distL="0" distR="0" wp14:anchorId="7BCBF798" wp14:editId="40AF70A7">
                            <wp:extent cx="5152445" cy="3513988"/>
                            <wp:effectExtent l="0" t="0" r="0" b="0"/>
                            <wp:docPr id="19334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8894" name=""/>
                                    <pic:cNvPicPr/>
                                  </pic:nvPicPr>
                                  <pic:blipFill>
                                    <a:blip r:embed="rId41"/>
                                    <a:stretch>
                                      <a:fillRect/>
                                    </a:stretch>
                                  </pic:blipFill>
                                  <pic:spPr>
                                    <a:xfrm>
                                      <a:off x="0" y="0"/>
                                      <a:ext cx="5251584" cy="3581601"/>
                                    </a:xfrm>
                                    <a:prstGeom prst="rect">
                                      <a:avLst/>
                                    </a:prstGeom>
                                  </pic:spPr>
                                </pic:pic>
                              </a:graphicData>
                            </a:graphic>
                          </wp:inline>
                        </w:drawing>
                      </w:r>
                    </w:p>
                    <w:p w14:paraId="3047D888" w14:textId="5A8339F4" w:rsidR="005C3636" w:rsidRPr="00E3132F" w:rsidRDefault="005C3636" w:rsidP="005C3636">
                      <w:pPr>
                        <w:pStyle w:val="Caption"/>
                      </w:pPr>
                      <w:r w:rsidRPr="00E3132F">
                        <w:t>Figure 14: SDG Correlation Matrix – All Regions - 2025</w:t>
                      </w:r>
                      <w:r w:rsidR="00096145">
                        <w:t>. GoalScope (Seacor, 2025)</w:t>
                      </w:r>
                    </w:p>
                    <w:p w14:paraId="4F4A9892" w14:textId="77777777" w:rsidR="005C3636" w:rsidRPr="00E3132F" w:rsidRDefault="005C3636" w:rsidP="005C3636"/>
                  </w:txbxContent>
                </v:textbox>
                <w10:anchorlock/>
              </v:shape>
            </w:pict>
          </mc:Fallback>
        </mc:AlternateContent>
      </w:r>
    </w:p>
    <w:p w14:paraId="76E46E4F" w14:textId="0E272BF5" w:rsidR="004B1B30" w:rsidRPr="00E3132F" w:rsidRDefault="004B1B30" w:rsidP="0027214A">
      <w:pPr>
        <w:pStyle w:val="Heading3"/>
      </w:pPr>
      <w:bookmarkStart w:id="37" w:name="_Toc211306875"/>
      <w:r w:rsidRPr="00E3132F">
        <w:lastRenderedPageBreak/>
        <w:t>What latent structure organizes cross-country SDG performance in 2025, and which goals align with—or run counter to—the dominant development axis?</w:t>
      </w:r>
      <w:bookmarkEnd w:id="37"/>
    </w:p>
    <w:p w14:paraId="3BDCD5A0" w14:textId="33635C70" w:rsidR="00E17A12" w:rsidRPr="00E3132F" w:rsidRDefault="004B1B30" w:rsidP="00247B2A">
      <w:r w:rsidRPr="00E3132F">
        <w:rPr>
          <w:rFonts w:cs="Times New Roman"/>
          <w:szCs w:val="24"/>
        </w:rPr>
        <w:t xml:space="preserve">A PCA on country-level goal scores reveals </w:t>
      </w:r>
      <w:r w:rsidRPr="00E3132F">
        <w:t>two principal dimensions</w:t>
      </w:r>
      <w:r w:rsidR="002C6379" w:rsidRPr="00E3132F">
        <w:t xml:space="preserve"> (Figure 15)</w:t>
      </w:r>
      <w:r w:rsidRPr="00E3132F">
        <w:t>. PC1 (53.6% of variance) is a broad “socio-economic capacity” axis. Goals that load strongly and positively on PC1 cluster to the right of the circle: SDG</w:t>
      </w:r>
      <w:r w:rsidR="002E02DE" w:rsidRPr="00E3132F">
        <w:t>s</w:t>
      </w:r>
      <w:r w:rsidRPr="00E3132F">
        <w:t xml:space="preserve"> 9, 8, 7, 3, 4, 5, 6 and SDG 17. Countries scoring well on one of these tend to score well on the others—these arrows are long and tightly aligned. In contrast, the environmental production/consumption and biosphere goals—SDG 12, 13, 14, 15—load to the left, i.e., negatively on PC1, marking a structural contrast with the socio-economic cluster.</w:t>
      </w:r>
    </w:p>
    <w:p w14:paraId="42F95E2C" w14:textId="4C0313E3" w:rsidR="00C05306" w:rsidRDefault="003B5468" w:rsidP="00247B2A">
      <w:r w:rsidRPr="00E3132F">
        <mc:AlternateContent>
          <mc:Choice Requires="wps">
            <w:drawing>
              <wp:anchor distT="0" distB="0" distL="114300" distR="114300" simplePos="0" relativeHeight="251640832" behindDoc="0" locked="0" layoutInCell="1" allowOverlap="1" wp14:anchorId="20323440" wp14:editId="641970B7">
                <wp:simplePos x="0" y="0"/>
                <wp:positionH relativeFrom="column">
                  <wp:posOffset>-16510</wp:posOffset>
                </wp:positionH>
                <wp:positionV relativeFrom="paragraph">
                  <wp:posOffset>376555</wp:posOffset>
                </wp:positionV>
                <wp:extent cx="4094480" cy="3888105"/>
                <wp:effectExtent l="0" t="0" r="20320" b="17145"/>
                <wp:wrapSquare wrapText="bothSides"/>
                <wp:docPr id="1934481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4480" cy="3888105"/>
                        </a:xfrm>
                        <a:prstGeom prst="rect">
                          <a:avLst/>
                        </a:prstGeom>
                        <a:solidFill>
                          <a:srgbClr val="FFFFFF"/>
                        </a:solidFill>
                        <a:ln w="9525">
                          <a:solidFill>
                            <a:schemeClr val="bg1">
                              <a:lumMod val="85000"/>
                            </a:schemeClr>
                          </a:solidFill>
                          <a:miter lim="800000"/>
                          <a:headEnd/>
                          <a:tailEnd/>
                        </a:ln>
                      </wps:spPr>
                      <wps:txbx>
                        <w:txbxContent>
                          <w:p w14:paraId="2D936299" w14:textId="77777777" w:rsidR="00271EE4" w:rsidRPr="00E3132F" w:rsidRDefault="00271EE4" w:rsidP="00271EE4">
                            <w:pPr>
                              <w:keepNext/>
                            </w:pPr>
                            <w:r w:rsidRPr="00E3132F">
                              <w:drawing>
                                <wp:inline distT="0" distB="0" distL="0" distR="0" wp14:anchorId="4BDF5CE3" wp14:editId="40BBBF58">
                                  <wp:extent cx="4024945" cy="3570136"/>
                                  <wp:effectExtent l="0" t="0" r="0" b="0"/>
                                  <wp:docPr id="2031825098" name="Picture 1" descr="A graph with arrow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5098" name="Picture 1" descr="A graph with arrows and numbers&#10;&#10;AI-generated content may be incorrect."/>
                                          <pic:cNvPicPr/>
                                        </pic:nvPicPr>
                                        <pic:blipFill>
                                          <a:blip r:embed="rId42"/>
                                          <a:stretch>
                                            <a:fillRect/>
                                          </a:stretch>
                                        </pic:blipFill>
                                        <pic:spPr>
                                          <a:xfrm>
                                            <a:off x="0" y="0"/>
                                            <a:ext cx="4057405" cy="3598928"/>
                                          </a:xfrm>
                                          <a:prstGeom prst="rect">
                                            <a:avLst/>
                                          </a:prstGeom>
                                        </pic:spPr>
                                      </pic:pic>
                                    </a:graphicData>
                                  </a:graphic>
                                </wp:inline>
                              </w:drawing>
                            </w:r>
                          </w:p>
                          <w:p w14:paraId="0A3A4062" w14:textId="775323E6" w:rsidR="00271EE4" w:rsidRPr="00E3132F" w:rsidRDefault="00271EE4" w:rsidP="00271EE4">
                            <w:pPr>
                              <w:pStyle w:val="Caption"/>
                            </w:pPr>
                            <w:r w:rsidRPr="00E3132F">
                              <w:t>Figure 15: PCA Correlation Circle</w:t>
                            </w:r>
                            <w:r w:rsidR="00096145">
                              <w:t>. GoalScope (Seacor, 2025)</w:t>
                            </w:r>
                          </w:p>
                          <w:p w14:paraId="77C496F0" w14:textId="77777777" w:rsidR="00271EE4" w:rsidRPr="00E3132F" w:rsidRDefault="00271EE4" w:rsidP="00271E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23440" id="_x0000_s1041" type="#_x0000_t202" style="position:absolute;left:0;text-align:left;margin-left:-1.3pt;margin-top:29.65pt;width:322.4pt;height:306.1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" strokecolor="#d8d8d8 [2732]">
                <v:textbox>
                  <w:txbxContent>
                    <w:p w14:paraId="2D936299" w14:textId="77777777" w:rsidR="00271EE4" w:rsidRPr="00E3132F" w:rsidRDefault="00271EE4" w:rsidP="00271EE4">
                      <w:pPr>
                        <w:keepNext/>
                      </w:pPr>
                      <w:r w:rsidRPr="00E3132F">
                        <w:drawing>
                          <wp:inline distT="0" distB="0" distL="0" distR="0" wp14:anchorId="4BDF5CE3" wp14:editId="40BBBF58">
                            <wp:extent cx="4024945" cy="3570136"/>
                            <wp:effectExtent l="0" t="0" r="0" b="0"/>
                            <wp:docPr id="2031825098" name="Picture 1" descr="A graph with arrow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5098" name="Picture 1" descr="A graph with arrows and numbers&#10;&#10;AI-generated content may be incorrect."/>
                                    <pic:cNvPicPr/>
                                  </pic:nvPicPr>
                                  <pic:blipFill>
                                    <a:blip r:embed="rId42"/>
                                    <a:stretch>
                                      <a:fillRect/>
                                    </a:stretch>
                                  </pic:blipFill>
                                  <pic:spPr>
                                    <a:xfrm>
                                      <a:off x="0" y="0"/>
                                      <a:ext cx="4057405" cy="3598928"/>
                                    </a:xfrm>
                                    <a:prstGeom prst="rect">
                                      <a:avLst/>
                                    </a:prstGeom>
                                  </pic:spPr>
                                </pic:pic>
                              </a:graphicData>
                            </a:graphic>
                          </wp:inline>
                        </w:drawing>
                      </w:r>
                    </w:p>
                    <w:p w14:paraId="0A3A4062" w14:textId="775323E6" w:rsidR="00271EE4" w:rsidRPr="00E3132F" w:rsidRDefault="00271EE4" w:rsidP="00271EE4">
                      <w:pPr>
                        <w:pStyle w:val="Caption"/>
                      </w:pPr>
                      <w:r w:rsidRPr="00E3132F">
                        <w:t>Figure 15: PCA Correlation Circle</w:t>
                      </w:r>
                      <w:r w:rsidR="00096145">
                        <w:t>. GoalScope (Seacor, 2025)</w:t>
                      </w:r>
                    </w:p>
                    <w:p w14:paraId="77C496F0" w14:textId="77777777" w:rsidR="00271EE4" w:rsidRPr="00E3132F" w:rsidRDefault="00271EE4" w:rsidP="00271EE4"/>
                  </w:txbxContent>
                </v:textbox>
                <w10:wrap type="square"/>
              </v:shape>
            </w:pict>
          </mc:Fallback>
        </mc:AlternateContent>
      </w:r>
      <w:r w:rsidR="004B1B30" w:rsidRPr="00E3132F">
        <w:t>PC2 (9.</w:t>
      </w:r>
      <w:r w:rsidR="005F0C4F">
        <w:t>0</w:t>
      </w:r>
      <w:r w:rsidR="004B1B30" w:rsidRPr="00E3132F">
        <w:t>%) separates SDG 10 (Reduced Inequalities)—which points downward with a large projection—from the rest, indicating a distinct inequality axis that is only weakly aligned with the main development gradient.</w:t>
      </w:r>
      <w:r w:rsidR="002E02DE" w:rsidRPr="00E3132F">
        <w:t xml:space="preserve"> </w:t>
      </w:r>
      <w:r w:rsidR="004B1B30" w:rsidRPr="00E3132F">
        <w:t>Geometrically, the small angles within the economic–social set indicate strong positive intercorrelations,</w:t>
      </w:r>
      <w:r w:rsidR="002E02DE" w:rsidRPr="00E3132F">
        <w:t xml:space="preserve"> </w:t>
      </w:r>
      <w:r w:rsidR="004B1B30" w:rsidRPr="00E3132F">
        <w:t>while the near-opposite directions</w:t>
      </w:r>
      <w:r w:rsidR="002E02DE" w:rsidRPr="00E3132F">
        <w:t xml:space="preserve"> </w:t>
      </w:r>
      <w:r w:rsidR="004B1B30" w:rsidRPr="00E3132F">
        <w:t>between</w:t>
      </w:r>
      <w:r w:rsidR="002E02DE" w:rsidRPr="00E3132F">
        <w:t xml:space="preserve"> </w:t>
      </w:r>
      <w:r w:rsidR="004B1B30" w:rsidRPr="00E3132F">
        <w:t>environmental goals and the socio-economic set reflect weak or negative links.</w:t>
      </w:r>
      <w:r w:rsidR="002E4332">
        <w:t xml:space="preserve"> </w:t>
      </w:r>
      <w:r w:rsidR="004B1B30" w:rsidRPr="00E3132F">
        <w:t xml:space="preserve">This pattern is consistent with </w:t>
      </w:r>
      <w:r w:rsidR="002855E2" w:rsidRPr="00E3132F">
        <w:t>Figure 16</w:t>
      </w:r>
      <w:r w:rsidR="004B1B30" w:rsidRPr="00E3132F">
        <w:t xml:space="preserve"> cross-group correlation summary (economic↔social  +0.53; economic↔environmental  −0.08; environmental↔social  −0.05): environmental performance does not automatically rise with socio-economic gains. Policy implication: progress on SDG 12–15 likely requires targeted instruments (e.g., circular economy and clean-tech diffusion) to align environmental outcomes with the development core rather than relying on spillovers from health/education/infrastructure improvements.</w:t>
      </w:r>
    </w:p>
    <w:p w14:paraId="0F6991F3" w14:textId="1D9C5175" w:rsidR="00BB2B7E" w:rsidRDefault="00BB2B7E" w:rsidP="00247B2A">
      <w:r w:rsidRPr="00E3132F">
        <w:rPr>
          <w:rFonts w:cs="Times New Roman"/>
          <w:szCs w:val="24"/>
        </w:rPr>
        <w:lastRenderedPageBreak/>
        <mc:AlternateContent>
          <mc:Choice Requires="wps">
            <w:drawing>
              <wp:inline distT="0" distB="0" distL="0" distR="0" wp14:anchorId="10EDC7DA" wp14:editId="2C4526F6">
                <wp:extent cx="5702060" cy="1478943"/>
                <wp:effectExtent l="0" t="0" r="13335" b="26035"/>
                <wp:docPr id="99158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060" cy="1478943"/>
                        </a:xfrm>
                        <a:prstGeom prst="rect">
                          <a:avLst/>
                        </a:prstGeom>
                        <a:solidFill>
                          <a:srgbClr val="FFFFFF"/>
                        </a:solidFill>
                        <a:ln w="9525">
                          <a:solidFill>
                            <a:schemeClr val="bg1">
                              <a:lumMod val="85000"/>
                            </a:schemeClr>
                          </a:solidFill>
                          <a:miter lim="800000"/>
                          <a:headEnd/>
                          <a:tailEnd/>
                        </a:ln>
                      </wps:spPr>
                      <wps:txbx>
                        <w:txbxContent>
                          <w:p w14:paraId="6010D71D" w14:textId="77777777" w:rsidR="00BB2B7E" w:rsidRPr="00E3132F" w:rsidRDefault="00BB2B7E" w:rsidP="00BB2B7E">
                            <w:pPr>
                              <w:keepNext/>
                            </w:pPr>
                            <w:r w:rsidRPr="00E3132F">
                              <w:rPr>
                                <w:rFonts w:cs="Times New Roman"/>
                                <w:szCs w:val="24"/>
                              </w:rPr>
                              <w:drawing>
                                <wp:inline distT="0" distB="0" distL="0" distR="0" wp14:anchorId="1E2AAAD4" wp14:editId="63257811">
                                  <wp:extent cx="5444609" cy="1147313"/>
                                  <wp:effectExtent l="0" t="0" r="3810" b="0"/>
                                  <wp:docPr id="1558038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8934" name="Picture 1" descr="A screenshot of a computer&#10;&#10;AI-generated content may be incorrect."/>
                                          <pic:cNvPicPr/>
                                        </pic:nvPicPr>
                                        <pic:blipFill>
                                          <a:blip r:embed="rId43"/>
                                          <a:stretch>
                                            <a:fillRect/>
                                          </a:stretch>
                                        </pic:blipFill>
                                        <pic:spPr>
                                          <a:xfrm>
                                            <a:off x="0" y="0"/>
                                            <a:ext cx="5616496" cy="1183534"/>
                                          </a:xfrm>
                                          <a:prstGeom prst="rect">
                                            <a:avLst/>
                                          </a:prstGeom>
                                        </pic:spPr>
                                      </pic:pic>
                                    </a:graphicData>
                                  </a:graphic>
                                </wp:inline>
                              </w:drawing>
                            </w:r>
                          </w:p>
                          <w:p w14:paraId="01196A73" w14:textId="77777777" w:rsidR="00BB2B7E" w:rsidRPr="00E3132F" w:rsidRDefault="00BB2B7E" w:rsidP="00BB2B7E">
                            <w:pPr>
                              <w:pStyle w:val="Caption"/>
                            </w:pPr>
                            <w:r w:rsidRPr="00E3132F">
                              <w:t>Figure 16: Cross-Group Correlation Summary</w:t>
                            </w:r>
                          </w:p>
                          <w:p w14:paraId="47157B5E" w14:textId="77777777" w:rsidR="00BB2B7E" w:rsidRPr="00E3132F" w:rsidRDefault="00BB2B7E" w:rsidP="00BB2B7E"/>
                        </w:txbxContent>
                      </wps:txbx>
                      <wps:bodyPr rot="0" vert="horz" wrap="square" lIns="91440" tIns="45720" rIns="91440" bIns="45720" anchor="t" anchorCtr="0">
                        <a:noAutofit/>
                      </wps:bodyPr>
                    </wps:wsp>
                  </a:graphicData>
                </a:graphic>
              </wp:inline>
            </w:drawing>
          </mc:Choice>
          <mc:Fallback>
            <w:pict>
              <v:shape w14:anchorId="10EDC7DA" id="_x0000_s1042" type="#_x0000_t202" style="width:449pt;height:11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" strokecolor="#d8d8d8 [2732]">
                <v:textbox>
                  <w:txbxContent>
                    <w:p w14:paraId="6010D71D" w14:textId="77777777" w:rsidR="00BB2B7E" w:rsidRPr="00E3132F" w:rsidRDefault="00BB2B7E" w:rsidP="00BB2B7E">
                      <w:pPr>
                        <w:keepNext/>
                      </w:pPr>
                      <w:r w:rsidRPr="00E3132F">
                        <w:rPr>
                          <w:rFonts w:cs="Times New Roman"/>
                          <w:szCs w:val="24"/>
                        </w:rPr>
                        <w:drawing>
                          <wp:inline distT="0" distB="0" distL="0" distR="0" wp14:anchorId="1E2AAAD4" wp14:editId="63257811">
                            <wp:extent cx="5444609" cy="1147313"/>
                            <wp:effectExtent l="0" t="0" r="3810" b="0"/>
                            <wp:docPr id="1558038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8934" name="Picture 1" descr="A screenshot of a computer&#10;&#10;AI-generated content may be incorrect."/>
                                    <pic:cNvPicPr/>
                                  </pic:nvPicPr>
                                  <pic:blipFill>
                                    <a:blip r:embed="rId43"/>
                                    <a:stretch>
                                      <a:fillRect/>
                                    </a:stretch>
                                  </pic:blipFill>
                                  <pic:spPr>
                                    <a:xfrm>
                                      <a:off x="0" y="0"/>
                                      <a:ext cx="5616496" cy="1183534"/>
                                    </a:xfrm>
                                    <a:prstGeom prst="rect">
                                      <a:avLst/>
                                    </a:prstGeom>
                                  </pic:spPr>
                                </pic:pic>
                              </a:graphicData>
                            </a:graphic>
                          </wp:inline>
                        </w:drawing>
                      </w:r>
                    </w:p>
                    <w:p w14:paraId="01196A73" w14:textId="77777777" w:rsidR="00BB2B7E" w:rsidRPr="00E3132F" w:rsidRDefault="00BB2B7E" w:rsidP="00BB2B7E">
                      <w:pPr>
                        <w:pStyle w:val="Caption"/>
                      </w:pPr>
                      <w:r w:rsidRPr="00E3132F">
                        <w:t>Figure 16: Cross-Group Correlation Summary</w:t>
                      </w:r>
                    </w:p>
                    <w:p w14:paraId="47157B5E" w14:textId="77777777" w:rsidR="00BB2B7E" w:rsidRPr="00E3132F" w:rsidRDefault="00BB2B7E" w:rsidP="00BB2B7E"/>
                  </w:txbxContent>
                </v:textbox>
                <w10:anchorlock/>
              </v:shape>
            </w:pict>
          </mc:Fallback>
        </mc:AlternateContent>
      </w:r>
    </w:p>
    <w:p w14:paraId="388D3174" w14:textId="5DB42243" w:rsidR="00905EA6" w:rsidRPr="00E3132F" w:rsidRDefault="00905EA6" w:rsidP="0027214A">
      <w:pPr>
        <w:pStyle w:val="Heading3"/>
        <w:rPr>
          <w:rStyle w:val="Strong"/>
          <w:b/>
          <w:bCs/>
        </w:rPr>
      </w:pPr>
      <w:bookmarkStart w:id="38" w:name="_Toc211306876"/>
      <w:r w:rsidRPr="00E3132F">
        <w:rPr>
          <w:rStyle w:val="Strong"/>
          <w:b/>
          <w:bCs/>
        </w:rPr>
        <w:t>Which goals are most strongly linked with the Overall score in 2025?</w:t>
      </w:r>
      <w:bookmarkEnd w:id="38"/>
    </w:p>
    <w:p w14:paraId="16D12D06" w14:textId="263B22A6" w:rsidR="00F66E71" w:rsidRPr="00E3132F" w:rsidRDefault="00F66E71" w:rsidP="00247B2A">
      <w:pPr>
        <w:rPr>
          <w:rFonts w:cs="Times New Roman"/>
          <w:szCs w:val="24"/>
        </w:rPr>
      </w:pPr>
      <w:r w:rsidRPr="00E3132F">
        <w:t xml:space="preserve">From </w:t>
      </w:r>
      <w:r w:rsidR="007769F7" w:rsidRPr="00E3132F">
        <w:t>the</w:t>
      </w:r>
      <w:r w:rsidRPr="00E3132F">
        <w:t xml:space="preserve"> 2025 country-level analysis, the goals that track the Overall SDG score most closely are those at the heart of the economic–social block. In particular, </w:t>
      </w:r>
      <w:r w:rsidR="00F45E3C" w:rsidRPr="00E3132F">
        <w:t xml:space="preserve">SDG </w:t>
      </w:r>
      <w:r w:rsidRPr="00E3132F">
        <w:t xml:space="preserve">3 is the single best proxy for Overall, followed by </w:t>
      </w:r>
      <w:r w:rsidR="00F45E3C" w:rsidRPr="00E3132F">
        <w:t xml:space="preserve">SDG </w:t>
      </w:r>
      <w:r w:rsidRPr="00E3132F">
        <w:t xml:space="preserve">9, 4, 1, and 6. </w:t>
      </w:r>
      <w:r w:rsidR="005E1008" w:rsidRPr="00E3132F">
        <w:t>Figure 17 shows that t</w:t>
      </w:r>
      <w:r w:rsidRPr="00E3132F">
        <w:t>hese goals co-move strongly with one another (</w:t>
      </w:r>
      <w:r w:rsidR="00283683" w:rsidRPr="00E3132F">
        <w:t>the</w:t>
      </w:r>
      <w:r w:rsidRPr="00E3132F">
        <w:rPr>
          <w:rFonts w:cs="Times New Roman"/>
          <w:szCs w:val="24"/>
        </w:rPr>
        <w:t xml:space="preserve"> matrix shows uniformly warm tones within economic↔social) and with the overall index, so countries that score high on them almost always have high Overall scores as well.</w:t>
      </w:r>
    </w:p>
    <w:p w14:paraId="1F3CF118" w14:textId="39AC65B3" w:rsidR="007417F9" w:rsidRDefault="00F66E71" w:rsidP="00247B2A">
      <w:pPr>
        <w:rPr>
          <w:rFonts w:cs="Times New Roman"/>
          <w:szCs w:val="24"/>
        </w:rPr>
      </w:pPr>
      <w:r w:rsidRPr="00E3132F">
        <w:rPr>
          <w:rFonts w:cs="Times New Roman"/>
          <w:szCs w:val="24"/>
        </w:rPr>
        <w:t xml:space="preserve">By </w:t>
      </w:r>
      <w:r w:rsidRPr="00E3132F">
        <w:t>contrast, the environmental goals (</w:t>
      </w:r>
      <w:r w:rsidR="00F45E3C" w:rsidRPr="00E3132F">
        <w:t xml:space="preserve">SDG </w:t>
      </w:r>
      <w:r w:rsidRPr="00E3132F">
        <w:t>11</w:t>
      </w:r>
      <w:r w:rsidR="00F45E3C" w:rsidRPr="00E3132F">
        <w:t xml:space="preserve"> </w:t>
      </w:r>
      <w:r w:rsidRPr="00E3132F">
        <w:t>–</w:t>
      </w:r>
      <w:r w:rsidR="00F45E3C" w:rsidRPr="00E3132F">
        <w:t xml:space="preserve"> SDG </w:t>
      </w:r>
      <w:r w:rsidRPr="00E3132F">
        <w:t xml:space="preserve">15) show weak or mixed associations with Overall: several are near zero and </w:t>
      </w:r>
      <w:r w:rsidR="00F45E3C" w:rsidRPr="00E3132F">
        <w:t xml:space="preserve">SDG </w:t>
      </w:r>
      <w:r w:rsidRPr="00E3132F">
        <w:t xml:space="preserve">12 tends to tilt negative against high-performing economic/social systems. In short, </w:t>
      </w:r>
      <w:r w:rsidR="009B68D1" w:rsidRPr="00E3132F">
        <w:t>Overall,</w:t>
      </w:r>
      <w:r w:rsidRPr="00E3132F">
        <w:t xml:space="preserve"> in 2025 is driven chiefly by the health/education/infrastructure/poverty-reduction cluster, while</w:t>
      </w:r>
      <w:r w:rsidRPr="00E3132F">
        <w:rPr>
          <w:rFonts w:cs="Times New Roman"/>
          <w:szCs w:val="24"/>
        </w:rPr>
        <w:t xml:space="preserve"> environmental performance </w:t>
      </w:r>
      <w:r w:rsidR="00271EE4" w:rsidRPr="00E3132F">
        <w:rPr>
          <w:rFonts w:cs="Times New Roman"/>
          <w:szCs w:val="24"/>
        </w:rPr>
        <mc:AlternateContent>
          <mc:Choice Requires="wps">
            <w:drawing>
              <wp:anchor distT="0" distB="0" distL="114300" distR="114300" simplePos="0" relativeHeight="251649024" behindDoc="0" locked="0" layoutInCell="1" allowOverlap="1" wp14:anchorId="2565BC88" wp14:editId="6F66E770">
                <wp:simplePos x="0" y="0"/>
                <wp:positionH relativeFrom="column">
                  <wp:posOffset>-409652</wp:posOffset>
                </wp:positionH>
                <wp:positionV relativeFrom="paragraph">
                  <wp:posOffset>846735</wp:posOffset>
                </wp:positionV>
                <wp:extent cx="6577965" cy="2476500"/>
                <wp:effectExtent l="0" t="0" r="13335" b="19050"/>
                <wp:wrapSquare wrapText="bothSides"/>
                <wp:docPr id="1019404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7965" cy="2476500"/>
                        </a:xfrm>
                        <a:prstGeom prst="rect">
                          <a:avLst/>
                        </a:prstGeom>
                        <a:solidFill>
                          <a:srgbClr val="FFFFFF"/>
                        </a:solidFill>
                        <a:ln w="9525">
                          <a:solidFill>
                            <a:schemeClr val="bg1">
                              <a:lumMod val="85000"/>
                            </a:schemeClr>
                          </a:solidFill>
                          <a:miter lim="800000"/>
                          <a:headEnd/>
                          <a:tailEnd/>
                        </a:ln>
                      </wps:spPr>
                      <wps:txbx>
                        <w:txbxContent>
                          <w:p w14:paraId="3343453C" w14:textId="77777777" w:rsidR="00271EE4" w:rsidRPr="00E3132F" w:rsidRDefault="00271EE4" w:rsidP="00271EE4">
                            <w:pPr>
                              <w:keepNext/>
                            </w:pPr>
                            <w:r w:rsidRPr="00E3132F">
                              <w:drawing>
                                <wp:inline distT="0" distB="0" distL="0" distR="0" wp14:anchorId="11C29783" wp14:editId="713B3096">
                                  <wp:extent cx="6380329" cy="2136737"/>
                                  <wp:effectExtent l="0" t="0" r="1905" b="0"/>
                                  <wp:docPr id="139555214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48216" name="Picture 1" descr="A screen shot of a graph&#10;&#10;AI-generated content may be incorrect."/>
                                          <pic:cNvPicPr/>
                                        </pic:nvPicPr>
                                        <pic:blipFill>
                                          <a:blip r:embed="rId44"/>
                                          <a:stretch>
                                            <a:fillRect/>
                                          </a:stretch>
                                        </pic:blipFill>
                                        <pic:spPr>
                                          <a:xfrm>
                                            <a:off x="0" y="0"/>
                                            <a:ext cx="6469098" cy="2166465"/>
                                          </a:xfrm>
                                          <a:prstGeom prst="rect">
                                            <a:avLst/>
                                          </a:prstGeom>
                                        </pic:spPr>
                                      </pic:pic>
                                    </a:graphicData>
                                  </a:graphic>
                                </wp:inline>
                              </w:drawing>
                            </w:r>
                          </w:p>
                          <w:p w14:paraId="36C3E364" w14:textId="4B951BBA" w:rsidR="00271EE4" w:rsidRPr="00E3132F" w:rsidRDefault="00271EE4" w:rsidP="00271EE4">
                            <w:pPr>
                              <w:pStyle w:val="Caption"/>
                            </w:pPr>
                            <w:r w:rsidRPr="00E3132F">
                              <w:t>Figure 17: Cross-Group Correlation Matrix</w:t>
                            </w:r>
                            <w:r w:rsidR="00096145">
                              <w:t>. GoalScope (Seacor, 2025)</w:t>
                            </w:r>
                          </w:p>
                          <w:p w14:paraId="13F74FF1" w14:textId="77777777" w:rsidR="00271EE4" w:rsidRPr="00E3132F" w:rsidRDefault="00271EE4" w:rsidP="00271E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5BC88" id="_x0000_s1043" type="#_x0000_t202" style="position:absolute;left:0;text-align:left;margin-left:-32.25pt;margin-top:66.65pt;width:517.95pt;height:19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" strokecolor="#d8d8d8 [2732]">
                <v:textbox>
                  <w:txbxContent>
                    <w:p w14:paraId="3343453C" w14:textId="77777777" w:rsidR="00271EE4" w:rsidRPr="00E3132F" w:rsidRDefault="00271EE4" w:rsidP="00271EE4">
                      <w:pPr>
                        <w:keepNext/>
                      </w:pPr>
                      <w:r w:rsidRPr="00E3132F">
                        <w:drawing>
                          <wp:inline distT="0" distB="0" distL="0" distR="0" wp14:anchorId="11C29783" wp14:editId="713B3096">
                            <wp:extent cx="6380329" cy="2136737"/>
                            <wp:effectExtent l="0" t="0" r="1905" b="0"/>
                            <wp:docPr id="139555214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48216" name="Picture 1" descr="A screen shot of a graph&#10;&#10;AI-generated content may be incorrect."/>
                                    <pic:cNvPicPr/>
                                  </pic:nvPicPr>
                                  <pic:blipFill>
                                    <a:blip r:embed="rId44"/>
                                    <a:stretch>
                                      <a:fillRect/>
                                    </a:stretch>
                                  </pic:blipFill>
                                  <pic:spPr>
                                    <a:xfrm>
                                      <a:off x="0" y="0"/>
                                      <a:ext cx="6469098" cy="2166465"/>
                                    </a:xfrm>
                                    <a:prstGeom prst="rect">
                                      <a:avLst/>
                                    </a:prstGeom>
                                  </pic:spPr>
                                </pic:pic>
                              </a:graphicData>
                            </a:graphic>
                          </wp:inline>
                        </w:drawing>
                      </w:r>
                    </w:p>
                    <w:p w14:paraId="36C3E364" w14:textId="4B951BBA" w:rsidR="00271EE4" w:rsidRPr="00E3132F" w:rsidRDefault="00271EE4" w:rsidP="00271EE4">
                      <w:pPr>
                        <w:pStyle w:val="Caption"/>
                      </w:pPr>
                      <w:r w:rsidRPr="00E3132F">
                        <w:t>Figure 17: Cross-Group Correlation Matrix</w:t>
                      </w:r>
                      <w:r w:rsidR="00096145">
                        <w:t>. GoalScope (Seacor, 2025)</w:t>
                      </w:r>
                    </w:p>
                    <w:p w14:paraId="13F74FF1" w14:textId="77777777" w:rsidR="00271EE4" w:rsidRPr="00E3132F" w:rsidRDefault="00271EE4" w:rsidP="00271EE4"/>
                  </w:txbxContent>
                </v:textbox>
                <w10:wrap type="square"/>
              </v:shape>
            </w:pict>
          </mc:Fallback>
        </mc:AlternateContent>
      </w:r>
      <w:r w:rsidRPr="00E3132F">
        <w:rPr>
          <w:rFonts w:cs="Times New Roman"/>
          <w:szCs w:val="24"/>
        </w:rPr>
        <w:t>does not systematically rise with it across countries.</w:t>
      </w:r>
    </w:p>
    <w:p w14:paraId="2595D65E" w14:textId="0E696512" w:rsidR="00905EA6" w:rsidRPr="00E3132F" w:rsidRDefault="00905EA6" w:rsidP="0027214A">
      <w:pPr>
        <w:pStyle w:val="Heading3"/>
        <w:rPr>
          <w:rStyle w:val="Strong"/>
          <w:b/>
          <w:bCs/>
        </w:rPr>
      </w:pPr>
      <w:bookmarkStart w:id="39" w:name="_Toc211306877"/>
      <w:r w:rsidRPr="00E3132F">
        <w:rPr>
          <w:rStyle w:val="Strong"/>
          <w:b/>
          <w:bCs/>
        </w:rPr>
        <w:t>Which goal pairs move together the most and which show trade-offs in 2025?</w:t>
      </w:r>
      <w:bookmarkEnd w:id="39"/>
    </w:p>
    <w:p w14:paraId="5A56D4EF" w14:textId="5442F859" w:rsidR="00A92DC8" w:rsidRPr="001076A9" w:rsidRDefault="00DB3047" w:rsidP="00247B2A">
      <w:r>
        <w:t>Figure 18 shows us that u</w:t>
      </w:r>
      <w:r w:rsidR="00A92DC8" w:rsidRPr="00E3132F">
        <w:t xml:space="preserve">sing country-level SDG goal scores for 2025 (Pearson r across countries), </w:t>
      </w:r>
      <w:r w:rsidR="00937649" w:rsidRPr="00E3132F">
        <w:t xml:space="preserve">we identified </w:t>
      </w:r>
      <w:r w:rsidR="00A92DC8" w:rsidRPr="00E3132F">
        <w:t>the strongest co-movements (positive correlations)</w:t>
      </w:r>
      <w:r w:rsidR="001076A9">
        <w:t xml:space="preserve">. </w:t>
      </w:r>
      <w:r w:rsidR="00A92DC8" w:rsidRPr="00E3132F">
        <w:rPr>
          <w:rFonts w:cs="Times New Roman"/>
          <w:szCs w:val="24"/>
        </w:rPr>
        <w:t xml:space="preserve">Countries that score highly on health tend also to score highly on infrastructure, energy access, poverty </w:t>
      </w:r>
      <w:r w:rsidR="00A92DC8" w:rsidRPr="00E3132F">
        <w:rPr>
          <w:rFonts w:cs="Times New Roman"/>
          <w:szCs w:val="24"/>
        </w:rPr>
        <w:lastRenderedPageBreak/>
        <w:t>reduction, education, institutions, and water—a broad package of public-goods capacity moving together.</w:t>
      </w:r>
    </w:p>
    <w:p w14:paraId="5033C464" w14:textId="47BA0E00" w:rsidR="00A92DC8" w:rsidRPr="00E3132F" w:rsidRDefault="00A92DC8" w:rsidP="00247B2A">
      <w:pPr>
        <w:rPr>
          <w:rFonts w:cs="Times New Roman"/>
          <w:szCs w:val="24"/>
        </w:rPr>
      </w:pPr>
      <w:r w:rsidRPr="00E3132F">
        <w:rPr>
          <w:rFonts w:cs="Times New Roman"/>
          <w:szCs w:val="24"/>
        </w:rPr>
        <w:t>The clearest trade-offs (negative correlations) are:</w:t>
      </w:r>
    </w:p>
    <w:p w14:paraId="6D021BEC" w14:textId="77E86DBF" w:rsidR="00A92DC8" w:rsidRPr="00E3132F" w:rsidRDefault="008B517D" w:rsidP="002A55AB">
      <w:pPr>
        <w:numPr>
          <w:ilvl w:val="0"/>
          <w:numId w:val="7"/>
        </w:numPr>
        <w:rPr>
          <w:rFonts w:cs="Times New Roman"/>
          <w:szCs w:val="24"/>
        </w:rPr>
      </w:pPr>
      <w:r w:rsidRPr="00E3132F">
        <w:t xml:space="preserve">SDG </w:t>
      </w:r>
      <w:r w:rsidR="00A92DC8" w:rsidRPr="00E3132F">
        <w:rPr>
          <w:rFonts w:cs="Times New Roman"/>
          <w:szCs w:val="24"/>
        </w:rPr>
        <w:t xml:space="preserve">9 “Industry, Innovation &amp; Infrastructure” ↔ </w:t>
      </w:r>
      <w:r w:rsidRPr="00E3132F">
        <w:t xml:space="preserve">SDG </w:t>
      </w:r>
      <w:r w:rsidR="00A92DC8" w:rsidRPr="00E3132F">
        <w:rPr>
          <w:rFonts w:cs="Times New Roman"/>
          <w:szCs w:val="24"/>
        </w:rPr>
        <w:t>12 “Responsible Consumption &amp; Production”: r = −0.85</w:t>
      </w:r>
    </w:p>
    <w:p w14:paraId="04F626A6" w14:textId="71ABA588" w:rsidR="00A92DC8" w:rsidRPr="00E3132F" w:rsidRDefault="008B517D" w:rsidP="002A55AB">
      <w:pPr>
        <w:numPr>
          <w:ilvl w:val="0"/>
          <w:numId w:val="7"/>
        </w:numPr>
        <w:rPr>
          <w:rFonts w:cs="Times New Roman"/>
          <w:szCs w:val="24"/>
        </w:rPr>
      </w:pPr>
      <w:r w:rsidRPr="00E3132F">
        <w:t xml:space="preserve">SDG </w:t>
      </w:r>
      <w:r w:rsidR="00A92DC8" w:rsidRPr="00E3132F">
        <w:rPr>
          <w:rFonts w:cs="Times New Roman"/>
          <w:szCs w:val="24"/>
        </w:rPr>
        <w:t xml:space="preserve">3 “Good Health &amp; Well-being” ↔ </w:t>
      </w:r>
      <w:r w:rsidRPr="00E3132F">
        <w:t xml:space="preserve">SDG </w:t>
      </w:r>
      <w:r w:rsidR="00A92DC8" w:rsidRPr="00E3132F">
        <w:rPr>
          <w:rFonts w:cs="Times New Roman"/>
          <w:szCs w:val="24"/>
        </w:rPr>
        <w:t>12: r = −0.80</w:t>
      </w:r>
    </w:p>
    <w:p w14:paraId="72354FCB" w14:textId="2ECF0C15" w:rsidR="00A92DC8" w:rsidRPr="00E3132F" w:rsidRDefault="008B517D" w:rsidP="002A55AB">
      <w:pPr>
        <w:numPr>
          <w:ilvl w:val="0"/>
          <w:numId w:val="7"/>
        </w:numPr>
        <w:rPr>
          <w:rFonts w:cs="Times New Roman"/>
          <w:szCs w:val="24"/>
        </w:rPr>
      </w:pPr>
      <w:r w:rsidRPr="00E3132F">
        <w:t xml:space="preserve">SDG </w:t>
      </w:r>
      <w:r w:rsidR="00A92DC8" w:rsidRPr="00E3132F">
        <w:rPr>
          <w:rFonts w:cs="Times New Roman"/>
          <w:szCs w:val="24"/>
        </w:rPr>
        <w:t xml:space="preserve">12 ↔ </w:t>
      </w:r>
      <w:r w:rsidRPr="00E3132F">
        <w:t xml:space="preserve">SDG </w:t>
      </w:r>
      <w:r w:rsidR="00A92DC8" w:rsidRPr="00E3132F">
        <w:rPr>
          <w:rFonts w:cs="Times New Roman"/>
          <w:szCs w:val="24"/>
        </w:rPr>
        <w:t>16 “Peace, Justice &amp; Strong Institutions”: r = −0.80</w:t>
      </w:r>
    </w:p>
    <w:p w14:paraId="32B32DFE" w14:textId="46480BFD" w:rsidR="001076A9" w:rsidRPr="00E3132F" w:rsidRDefault="00A92DC8" w:rsidP="00247B2A">
      <w:pPr>
        <w:rPr>
          <w:rFonts w:cs="Times New Roman"/>
          <w:szCs w:val="24"/>
        </w:rPr>
      </w:pPr>
      <w:r w:rsidRPr="00E3132F">
        <w:rPr>
          <w:rFonts w:cs="Times New Roman"/>
          <w:szCs w:val="24"/>
        </w:rPr>
        <w:t>Interpretation: Performance on responsible consumption &amp; production (</w:t>
      </w:r>
      <w:r w:rsidR="008B517D" w:rsidRPr="00E3132F">
        <w:t xml:space="preserve">SDG </w:t>
      </w:r>
      <w:r w:rsidRPr="00E3132F">
        <w:rPr>
          <w:rFonts w:cs="Times New Roman"/>
          <w:szCs w:val="24"/>
        </w:rPr>
        <w:t>12) tends to move opposite to several economic/social goals (notably innovation/infrastructure and health, and also institutions)—consistent with production/consumption pressures that are not yet fully decoupled from resource use and social externalities in many countries.</w:t>
      </w:r>
      <w:r w:rsidR="008308EE" w:rsidRPr="00E3132F">
        <w:rPr>
          <w:rFonts w:cs="Times New Roman"/>
          <w:szCs w:val="24"/>
        </w:rPr>
        <w:t xml:space="preserve"> </w:t>
      </w:r>
    </w:p>
    <w:p w14:paraId="6523B54B" w14:textId="5AE02049" w:rsidR="00A92DC8" w:rsidRDefault="00A92DC8" w:rsidP="00247B2A">
      <w:pPr>
        <w:rPr>
          <w:rFonts w:cs="Times New Roman"/>
          <w:szCs w:val="24"/>
        </w:rPr>
      </w:pPr>
      <w:r w:rsidRPr="00E3132F">
        <w:rPr>
          <w:rFonts w:cs="Times New Roman"/>
          <w:szCs w:val="24"/>
        </w:rPr>
        <w:t xml:space="preserve">Big picture: Economic ↔ social pairs are generally complementary (cross-group mean  +0.53), whereas economic ↔ environmental and environmental ↔ social show near-zero to negative averages—so environmental progress often does not “ride along” with social/economic gains and needs targeted policy to align incentives (e.g., circular economy and clean-tech diffusion to turn the </w:t>
      </w:r>
      <w:r w:rsidR="008B517D" w:rsidRPr="00E3132F">
        <w:t xml:space="preserve">SDG </w:t>
      </w:r>
      <w:r w:rsidRPr="00E3132F">
        <w:rPr>
          <w:rFonts w:cs="Times New Roman"/>
          <w:szCs w:val="24"/>
        </w:rPr>
        <w:t>9</w:t>
      </w:r>
      <w:r w:rsidR="008B517D" w:rsidRPr="00E3132F">
        <w:rPr>
          <w:rFonts w:cs="Times New Roman"/>
          <w:szCs w:val="24"/>
        </w:rPr>
        <w:t xml:space="preserve"> </w:t>
      </w:r>
      <w:r w:rsidRPr="00E3132F">
        <w:rPr>
          <w:rFonts w:cs="Times New Roman"/>
          <w:szCs w:val="24"/>
        </w:rPr>
        <w:t>–</w:t>
      </w:r>
      <w:r w:rsidR="008B517D" w:rsidRPr="00E3132F">
        <w:rPr>
          <w:rFonts w:cs="Times New Roman"/>
          <w:szCs w:val="24"/>
        </w:rPr>
        <w:t xml:space="preserve"> </w:t>
      </w:r>
      <w:r w:rsidR="008B517D" w:rsidRPr="00E3132F">
        <w:t xml:space="preserve">SDG </w:t>
      </w:r>
      <w:r w:rsidRPr="00E3132F">
        <w:rPr>
          <w:rFonts w:cs="Times New Roman"/>
          <w:szCs w:val="24"/>
        </w:rPr>
        <w:t>12 tension into a synergy).</w:t>
      </w:r>
    </w:p>
    <w:p w14:paraId="1B7257F2" w14:textId="72297928" w:rsidR="00271EE4" w:rsidRPr="00E3132F" w:rsidRDefault="00271EE4" w:rsidP="00247B2A">
      <w:pPr>
        <w:rPr>
          <w:rFonts w:cs="Times New Roman"/>
          <w:szCs w:val="24"/>
        </w:rPr>
      </w:pPr>
      <w:r w:rsidRPr="00E3132F">
        <mc:AlternateContent>
          <mc:Choice Requires="wps">
            <w:drawing>
              <wp:inline distT="0" distB="0" distL="0" distR="0" wp14:anchorId="3C19D52A" wp14:editId="19D1BF77">
                <wp:extent cx="5731510" cy="2440305"/>
                <wp:effectExtent l="0" t="0" r="21590" b="17145"/>
                <wp:docPr id="943858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440305"/>
                        </a:xfrm>
                        <a:prstGeom prst="rect">
                          <a:avLst/>
                        </a:prstGeom>
                        <a:solidFill>
                          <a:srgbClr val="FFFFFF"/>
                        </a:solidFill>
                        <a:ln w="9525">
                          <a:solidFill>
                            <a:schemeClr val="bg1">
                              <a:lumMod val="85000"/>
                            </a:schemeClr>
                          </a:solidFill>
                          <a:miter lim="800000"/>
                          <a:headEnd/>
                          <a:tailEnd/>
                        </a:ln>
                      </wps:spPr>
                      <wps:txbx>
                        <w:txbxContent>
                          <w:p w14:paraId="0CA4B217" w14:textId="77777777" w:rsidR="00271EE4" w:rsidRPr="00E3132F" w:rsidRDefault="00271EE4" w:rsidP="00271EE4">
                            <w:pPr>
                              <w:keepNext/>
                            </w:pPr>
                            <w:r w:rsidRPr="00E3132F">
                              <w:rPr>
                                <w:rFonts w:cs="Times New Roman"/>
                                <w:szCs w:val="24"/>
                              </w:rPr>
                              <w:drawing>
                                <wp:inline distT="0" distB="0" distL="0" distR="0" wp14:anchorId="7346BD52" wp14:editId="7BD9EB6C">
                                  <wp:extent cx="5636552" cy="2121408"/>
                                  <wp:effectExtent l="0" t="0" r="2540" b="0"/>
                                  <wp:docPr id="1000690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17037" name="Picture 1" descr="A screenshot of a computer&#10;&#10;AI-generated content may be incorrect."/>
                                          <pic:cNvPicPr/>
                                        </pic:nvPicPr>
                                        <pic:blipFill>
                                          <a:blip r:embed="rId45"/>
                                          <a:stretch>
                                            <a:fillRect/>
                                          </a:stretch>
                                        </pic:blipFill>
                                        <pic:spPr>
                                          <a:xfrm>
                                            <a:off x="0" y="0"/>
                                            <a:ext cx="5644509" cy="2124403"/>
                                          </a:xfrm>
                                          <a:prstGeom prst="rect">
                                            <a:avLst/>
                                          </a:prstGeom>
                                        </pic:spPr>
                                      </pic:pic>
                                    </a:graphicData>
                                  </a:graphic>
                                </wp:inline>
                              </w:drawing>
                            </w:r>
                          </w:p>
                          <w:p w14:paraId="2550C14C" w14:textId="32557B13" w:rsidR="00271EE4" w:rsidRPr="00E3132F" w:rsidRDefault="00271EE4" w:rsidP="00271EE4">
                            <w:pPr>
                              <w:pStyle w:val="Caption"/>
                            </w:pPr>
                            <w:r w:rsidRPr="00E3132F">
                              <w:t>Figure 18: Group-Pair Correlations</w:t>
                            </w:r>
                            <w:r w:rsidR="00096145">
                              <w:t>. GoalScope (Seacor, 2025)</w:t>
                            </w:r>
                          </w:p>
                          <w:p w14:paraId="26144924" w14:textId="77777777" w:rsidR="00271EE4" w:rsidRPr="00E3132F" w:rsidRDefault="00271EE4" w:rsidP="00271EE4"/>
                        </w:txbxContent>
                      </wps:txbx>
                      <wps:bodyPr rot="0" vert="horz" wrap="square" lIns="91440" tIns="45720" rIns="91440" bIns="45720" anchor="t" anchorCtr="0">
                        <a:noAutofit/>
                      </wps:bodyPr>
                    </wps:wsp>
                  </a:graphicData>
                </a:graphic>
              </wp:inline>
            </w:drawing>
          </mc:Choice>
          <mc:Fallback>
            <w:pict>
              <v:shape w14:anchorId="3C19D52A" id="_x0000_s1044" type="#_x0000_t202" style="width:451.3pt;height:19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" strokecolor="#d8d8d8 [2732]">
                <v:textbox>
                  <w:txbxContent>
                    <w:p w14:paraId="0CA4B217" w14:textId="77777777" w:rsidR="00271EE4" w:rsidRPr="00E3132F" w:rsidRDefault="00271EE4" w:rsidP="00271EE4">
                      <w:pPr>
                        <w:keepNext/>
                      </w:pPr>
                      <w:r w:rsidRPr="00E3132F">
                        <w:rPr>
                          <w:rFonts w:cs="Times New Roman"/>
                          <w:szCs w:val="24"/>
                        </w:rPr>
                        <w:drawing>
                          <wp:inline distT="0" distB="0" distL="0" distR="0" wp14:anchorId="7346BD52" wp14:editId="7BD9EB6C">
                            <wp:extent cx="5636552" cy="2121408"/>
                            <wp:effectExtent l="0" t="0" r="2540" b="0"/>
                            <wp:docPr id="1000690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17037" name="Picture 1" descr="A screenshot of a computer&#10;&#10;AI-generated content may be incorrect."/>
                                    <pic:cNvPicPr/>
                                  </pic:nvPicPr>
                                  <pic:blipFill>
                                    <a:blip r:embed="rId45"/>
                                    <a:stretch>
                                      <a:fillRect/>
                                    </a:stretch>
                                  </pic:blipFill>
                                  <pic:spPr>
                                    <a:xfrm>
                                      <a:off x="0" y="0"/>
                                      <a:ext cx="5644509" cy="2124403"/>
                                    </a:xfrm>
                                    <a:prstGeom prst="rect">
                                      <a:avLst/>
                                    </a:prstGeom>
                                  </pic:spPr>
                                </pic:pic>
                              </a:graphicData>
                            </a:graphic>
                          </wp:inline>
                        </w:drawing>
                      </w:r>
                    </w:p>
                    <w:p w14:paraId="2550C14C" w14:textId="32557B13" w:rsidR="00271EE4" w:rsidRPr="00E3132F" w:rsidRDefault="00271EE4" w:rsidP="00271EE4">
                      <w:pPr>
                        <w:pStyle w:val="Caption"/>
                      </w:pPr>
                      <w:r w:rsidRPr="00E3132F">
                        <w:t>Figure 18: Group-Pair Correlations</w:t>
                      </w:r>
                      <w:r w:rsidR="00096145">
                        <w:t>. GoalScope (Seacor, 2025)</w:t>
                      </w:r>
                    </w:p>
                    <w:p w14:paraId="26144924" w14:textId="77777777" w:rsidR="00271EE4" w:rsidRPr="00E3132F" w:rsidRDefault="00271EE4" w:rsidP="00271EE4"/>
                  </w:txbxContent>
                </v:textbox>
                <w10:anchorlock/>
              </v:shape>
            </w:pict>
          </mc:Fallback>
        </mc:AlternateContent>
      </w:r>
    </w:p>
    <w:p w14:paraId="06ACF758" w14:textId="471D7B6D" w:rsidR="00A52BF5" w:rsidRPr="00E3132F" w:rsidRDefault="007B55BD" w:rsidP="0027214A">
      <w:pPr>
        <w:pStyle w:val="Heading2"/>
      </w:pPr>
      <w:bookmarkStart w:id="40" w:name="_Toc211306878"/>
      <w:r w:rsidRPr="00E3132F">
        <w:t>Where does New Zealand stand on the SDGs in 2025, which goals are lagging, and what cross-goal linkages (synergies/trade-offs) explain those gaps—so where should policy focus to accelerate progress to 2030?</w:t>
      </w:r>
      <w:bookmarkEnd w:id="40"/>
    </w:p>
    <w:p w14:paraId="2CB8B892" w14:textId="1E01F470" w:rsidR="009520CC" w:rsidRPr="00E3132F" w:rsidRDefault="00A52BF5" w:rsidP="00247B2A">
      <w:r w:rsidRPr="00E3132F">
        <w:t xml:space="preserve">This section takes stock of New Zealand’s SDG position in 2025 and the momentum since 2015, then turns that picture into a policy shortlist. First, we show overall score and rank with goal trend lines to flag any flat or slipping goals. Next, we size the gap to the OECD median </w:t>
      </w:r>
      <w:r w:rsidRPr="00E3132F">
        <w:lastRenderedPageBreak/>
        <w:t>and the OECD top quartile for each goal to see where the shortfall really sits. We then map cross goal links with correlation to separate reinforcing bundles from tradeoffs, especially around responsible production and climate versus growth and industry. Finally, we drill down to the indicators that explain each lagging goal and point to practical levers. The outcome is a clear set of priority goals and actions to accelerate progress to 2030.</w:t>
      </w:r>
    </w:p>
    <w:p w14:paraId="30727403" w14:textId="6F7D8F98" w:rsidR="00C82A1A" w:rsidRPr="00E3132F" w:rsidRDefault="0027120E" w:rsidP="0027214A">
      <w:pPr>
        <w:pStyle w:val="Heading3"/>
      </w:pPr>
      <w:bookmarkStart w:id="41" w:name="_Toc211306879"/>
      <w:r w:rsidRPr="00E3132F">
        <w:t>Overall Standing, Rank, and Goal-Level Imbalances (2025)</w:t>
      </w:r>
      <w:bookmarkEnd w:id="41"/>
    </w:p>
    <w:p w14:paraId="5B0AA9B8" w14:textId="671CA442" w:rsidR="00A9498E" w:rsidRDefault="007F4109" w:rsidP="00247B2A">
      <w:r w:rsidRPr="00E3132F">
        <w:t xml:space="preserve">Performance across the </w:t>
      </w:r>
      <w:r w:rsidR="00096F94" w:rsidRPr="00E3132F">
        <w:t xml:space="preserve">New Zealand </w:t>
      </w:r>
      <w:r w:rsidRPr="00E3132F">
        <w:t>SDGs is uneven</w:t>
      </w:r>
      <w:r w:rsidR="00437D36" w:rsidRPr="00E3132F">
        <w:t xml:space="preserve"> (Figure 19)</w:t>
      </w:r>
      <w:r w:rsidRPr="00E3132F">
        <w:t>. Standout strengths are SDG 11 (98.08), SDG 3 (92.77), SDG 4 (90.18), and SDG 9 (90.09).</w:t>
      </w:r>
      <w:r w:rsidR="00801B1D">
        <w:t xml:space="preserve"> </w:t>
      </w:r>
      <w:r w:rsidRPr="00E3132F">
        <w:t xml:space="preserve">The economic-leaning goals (blue) are generally robust—SDG 3 (92.77), SDG 6 (86.35), SDG 7 (84.54), and SDG 8 (82.28)—while environmental outcomes are polarized: an exceptional SDG 11 (98.08) </w:t>
      </w:r>
    </w:p>
    <w:p w14:paraId="30A6B6E1" w14:textId="50D65410" w:rsidR="007F4109" w:rsidRDefault="006508DD" w:rsidP="00247B2A">
      <w:r w:rsidRPr="00E3132F">
        <mc:AlternateContent>
          <mc:Choice Requires="wps">
            <w:drawing>
              <wp:anchor distT="0" distB="0" distL="114300" distR="114300" simplePos="0" relativeHeight="251665408" behindDoc="0" locked="0" layoutInCell="1" allowOverlap="1" wp14:anchorId="54491EAA" wp14:editId="7EC37284">
                <wp:simplePos x="0" y="0"/>
                <wp:positionH relativeFrom="column">
                  <wp:posOffset>-43815</wp:posOffset>
                </wp:positionH>
                <wp:positionV relativeFrom="paragraph">
                  <wp:posOffset>44450</wp:posOffset>
                </wp:positionV>
                <wp:extent cx="3935095" cy="4645025"/>
                <wp:effectExtent l="0" t="0" r="27305" b="22225"/>
                <wp:wrapSquare wrapText="bothSides"/>
                <wp:docPr id="1752431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5095" cy="4645025"/>
                        </a:xfrm>
                        <a:prstGeom prst="rect">
                          <a:avLst/>
                        </a:prstGeom>
                        <a:solidFill>
                          <a:srgbClr val="FFFFFF"/>
                        </a:solidFill>
                        <a:ln w="9525">
                          <a:solidFill>
                            <a:schemeClr val="bg1">
                              <a:lumMod val="95000"/>
                            </a:schemeClr>
                          </a:solidFill>
                          <a:miter lim="800000"/>
                          <a:headEnd/>
                          <a:tailEnd/>
                        </a:ln>
                      </wps:spPr>
                      <wps:txbx>
                        <w:txbxContent>
                          <w:p w14:paraId="431DE730" w14:textId="77777777" w:rsidR="00A9498E" w:rsidRPr="00E3132F" w:rsidRDefault="00A9498E" w:rsidP="00A9498E">
                            <w:pPr>
                              <w:keepNext/>
                              <w:jc w:val="center"/>
                            </w:pPr>
                            <w:r w:rsidRPr="00E3132F">
                              <w:drawing>
                                <wp:inline distT="0" distB="0" distL="0" distR="0" wp14:anchorId="2B5DF637" wp14:editId="4EBB5A78">
                                  <wp:extent cx="3729403" cy="4272077"/>
                                  <wp:effectExtent l="0" t="0" r="4445" b="0"/>
                                  <wp:docPr id="202114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61313" name=""/>
                                          <pic:cNvPicPr/>
                                        </pic:nvPicPr>
                                        <pic:blipFill>
                                          <a:blip r:embed="rId46"/>
                                          <a:stretch>
                                            <a:fillRect/>
                                          </a:stretch>
                                        </pic:blipFill>
                                        <pic:spPr>
                                          <a:xfrm>
                                            <a:off x="0" y="0"/>
                                            <a:ext cx="3732517" cy="4275644"/>
                                          </a:xfrm>
                                          <a:prstGeom prst="rect">
                                            <a:avLst/>
                                          </a:prstGeom>
                                        </pic:spPr>
                                      </pic:pic>
                                    </a:graphicData>
                                  </a:graphic>
                                </wp:inline>
                              </w:drawing>
                            </w:r>
                          </w:p>
                          <w:p w14:paraId="6D3AF321" w14:textId="145F4CD7" w:rsidR="00A9498E" w:rsidRPr="00E3132F" w:rsidRDefault="00A9498E" w:rsidP="00A9498E">
                            <w:pPr>
                              <w:pStyle w:val="Caption"/>
                              <w:jc w:val="left"/>
                            </w:pPr>
                            <w:r w:rsidRPr="00E3132F">
                              <w:t>Figure 19: 2025 Performance Profile – New Zealand</w:t>
                            </w:r>
                            <w:r w:rsidR="00096145">
                              <w:t>. GoalScope (Seacor, 2025)</w:t>
                            </w:r>
                          </w:p>
                          <w:p w14:paraId="098E18E6" w14:textId="77777777" w:rsidR="00A9498E" w:rsidRPr="00E3132F" w:rsidRDefault="00A9498E" w:rsidP="00A9498E">
                            <w:pPr>
                              <w:jc w:val="left"/>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4491EAA" id="_x0000_s1045" type="#_x0000_t202" style="position:absolute;left:0;text-align:left;margin-left:-3.45pt;margin-top:3.5pt;width:309.85pt;height:365.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" strokecolor="#f2f2f2 [3052]">
                <v:textbox>
                  <w:txbxContent>
                    <w:p w14:paraId="431DE730" w14:textId="77777777" w:rsidR="00A9498E" w:rsidRPr="00E3132F" w:rsidRDefault="00A9498E" w:rsidP="00A9498E">
                      <w:pPr>
                        <w:keepNext/>
                        <w:jc w:val="center"/>
                      </w:pPr>
                      <w:r w:rsidRPr="00E3132F">
                        <w:drawing>
                          <wp:inline distT="0" distB="0" distL="0" distR="0" wp14:anchorId="2B5DF637" wp14:editId="4EBB5A78">
                            <wp:extent cx="3729403" cy="4272077"/>
                            <wp:effectExtent l="0" t="0" r="4445" b="0"/>
                            <wp:docPr id="202114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61313" name=""/>
                                    <pic:cNvPicPr/>
                                  </pic:nvPicPr>
                                  <pic:blipFill>
                                    <a:blip r:embed="rId46"/>
                                    <a:stretch>
                                      <a:fillRect/>
                                    </a:stretch>
                                  </pic:blipFill>
                                  <pic:spPr>
                                    <a:xfrm>
                                      <a:off x="0" y="0"/>
                                      <a:ext cx="3732517" cy="4275644"/>
                                    </a:xfrm>
                                    <a:prstGeom prst="rect">
                                      <a:avLst/>
                                    </a:prstGeom>
                                  </pic:spPr>
                                </pic:pic>
                              </a:graphicData>
                            </a:graphic>
                          </wp:inline>
                        </w:drawing>
                      </w:r>
                    </w:p>
                    <w:p w14:paraId="6D3AF321" w14:textId="145F4CD7" w:rsidR="00A9498E" w:rsidRPr="00E3132F" w:rsidRDefault="00A9498E" w:rsidP="00A9498E">
                      <w:pPr>
                        <w:pStyle w:val="Caption"/>
                        <w:jc w:val="left"/>
                      </w:pPr>
                      <w:r w:rsidRPr="00E3132F">
                        <w:t>Figure 19: 2025 Performance Profile – New Zealand</w:t>
                      </w:r>
                      <w:r w:rsidR="00096145">
                        <w:t>. GoalScope (Seacor, 2025)</w:t>
                      </w:r>
                    </w:p>
                    <w:p w14:paraId="098E18E6" w14:textId="77777777" w:rsidR="00A9498E" w:rsidRPr="00E3132F" w:rsidRDefault="00A9498E" w:rsidP="00A9498E">
                      <w:pPr>
                        <w:jc w:val="left"/>
                      </w:pPr>
                    </w:p>
                  </w:txbxContent>
                </v:textbox>
                <w10:wrap type="square"/>
              </v:shape>
            </w:pict>
          </mc:Fallback>
        </mc:AlternateContent>
      </w:r>
      <w:r w:rsidR="007F4109" w:rsidRPr="00E3132F">
        <w:t xml:space="preserve">contrasts with very weak SDG 12 (48.30), SDG 14 (51.44), and SDG 15 (51.66), </w:t>
      </w:r>
      <w:r w:rsidR="00096F94" w:rsidRPr="00E3132F">
        <w:t>signaling</w:t>
      </w:r>
      <w:r w:rsidR="007F4109" w:rsidRPr="00E3132F">
        <w:t xml:space="preserve"> deficits in responsible</w:t>
      </w:r>
      <w:r>
        <w:t xml:space="preserve"> </w:t>
      </w:r>
      <w:r w:rsidR="007F4109" w:rsidRPr="00E3132F">
        <w:t xml:space="preserve">consumption and biodiversity on land and sea. Social results are mixed; SDG 16 is high (89.38) but SDG 10 (77.50) and SDG 17 (78.99) sit </w:t>
      </w:r>
      <w:r w:rsidR="008B517D" w:rsidRPr="00E3132F">
        <w:t>midtable</w:t>
      </w:r>
      <w:r w:rsidR="007F4109" w:rsidRPr="00E3132F">
        <w:t xml:space="preserve">, suggesting scope to strengthen inclusion and partnerships. The lowest scores cluster in the environmental pillar around 48–52, pulling down that average. Overall, scores span roughly 48–98 (50-point spread), indicating substantial variance across goals rather than uniform performance. With an overall score of 79.0 and a rank of 28/193, New Zealand performs well internationally but should </w:t>
      </w:r>
      <w:r w:rsidR="0083485D" w:rsidRPr="00E3132F">
        <w:t>prioritize</w:t>
      </w:r>
      <w:r w:rsidR="007F4109" w:rsidRPr="00E3132F">
        <w:t xml:space="preserve"> SDG 12, 14, and 15 to reduce internal imbalances.</w:t>
      </w:r>
    </w:p>
    <w:p w14:paraId="19670E7C" w14:textId="4AFD003C" w:rsidR="00271EE4" w:rsidRDefault="00271EE4" w:rsidP="00247B2A"/>
    <w:p w14:paraId="5EFE7954" w14:textId="053A3E17" w:rsidR="005D0232" w:rsidRPr="00E3132F" w:rsidRDefault="00753CD1" w:rsidP="0027214A">
      <w:pPr>
        <w:pStyle w:val="Heading3"/>
      </w:pPr>
      <w:bookmarkStart w:id="42" w:name="_Toc211306880"/>
      <w:r w:rsidRPr="00E3132F">
        <w:lastRenderedPageBreak/>
        <w:t>Status &amp; momentum: NZ’s overall score/rank in 2025 and % change over 2015→2025; goal-by-goal trend lines to flag any downward or flat goals.</w:t>
      </w:r>
      <w:bookmarkEnd w:id="42"/>
    </w:p>
    <w:p w14:paraId="0E990017" w14:textId="24B2CD83" w:rsidR="00800409" w:rsidRDefault="00BC209D" w:rsidP="00247B2A">
      <w:pPr>
        <w:rPr>
          <w:lang w:eastAsia="en-NZ"/>
        </w:rPr>
      </w:pPr>
      <w:r w:rsidRPr="00E3132F">
        <mc:AlternateContent>
          <mc:Choice Requires="wps">
            <w:drawing>
              <wp:anchor distT="0" distB="0" distL="114300" distR="114300" simplePos="0" relativeHeight="251644928" behindDoc="0" locked="0" layoutInCell="1" allowOverlap="1" wp14:anchorId="05C9F035" wp14:editId="670048D5">
                <wp:simplePos x="0" y="0"/>
                <wp:positionH relativeFrom="column">
                  <wp:posOffset>0</wp:posOffset>
                </wp:positionH>
                <wp:positionV relativeFrom="paragraph">
                  <wp:posOffset>4371340</wp:posOffset>
                </wp:positionV>
                <wp:extent cx="3613150" cy="3579495"/>
                <wp:effectExtent l="0" t="0" r="25400" b="20955"/>
                <wp:wrapSquare wrapText="bothSides"/>
                <wp:docPr id="34614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3150" cy="3579495"/>
                        </a:xfrm>
                        <a:prstGeom prst="rect">
                          <a:avLst/>
                        </a:prstGeom>
                        <a:solidFill>
                          <a:srgbClr val="FFFFFF"/>
                        </a:solidFill>
                        <a:ln w="9525">
                          <a:solidFill>
                            <a:schemeClr val="bg1">
                              <a:lumMod val="85000"/>
                            </a:schemeClr>
                          </a:solidFill>
                          <a:miter lim="800000"/>
                          <a:headEnd/>
                          <a:tailEnd/>
                        </a:ln>
                      </wps:spPr>
                      <wps:txbx>
                        <w:txbxContent>
                          <w:p w14:paraId="7EDA14BC" w14:textId="77777777" w:rsidR="005B2411" w:rsidRPr="00E3132F" w:rsidRDefault="005B2411" w:rsidP="005B2411">
                            <w:pPr>
                              <w:keepNext/>
                            </w:pPr>
                            <w:r w:rsidRPr="00E3132F">
                              <w:drawing>
                                <wp:inline distT="0" distB="0" distL="0" distR="0" wp14:anchorId="43D734E9" wp14:editId="738957CF">
                                  <wp:extent cx="3459602" cy="3116275"/>
                                  <wp:effectExtent l="0" t="0" r="7620" b="8255"/>
                                  <wp:docPr id="1710286291"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86291" name="Picture 1" descr="A graph of a bar graph&#10;&#10;AI-generated content may be incorrect."/>
                                          <pic:cNvPicPr/>
                                        </pic:nvPicPr>
                                        <pic:blipFill>
                                          <a:blip r:embed="rId47"/>
                                          <a:stretch>
                                            <a:fillRect/>
                                          </a:stretch>
                                        </pic:blipFill>
                                        <pic:spPr>
                                          <a:xfrm>
                                            <a:off x="0" y="0"/>
                                            <a:ext cx="3510459" cy="3162085"/>
                                          </a:xfrm>
                                          <a:prstGeom prst="rect">
                                            <a:avLst/>
                                          </a:prstGeom>
                                        </pic:spPr>
                                      </pic:pic>
                                    </a:graphicData>
                                  </a:graphic>
                                </wp:inline>
                              </w:drawing>
                            </w:r>
                          </w:p>
                          <w:p w14:paraId="0F5A6C88" w14:textId="33E6298F" w:rsidR="005B2411" w:rsidRPr="00E3132F" w:rsidRDefault="005B2411" w:rsidP="005B2411">
                            <w:pPr>
                              <w:pStyle w:val="Caption"/>
                            </w:pPr>
                            <w:r w:rsidRPr="00E3132F">
                              <w:t>Figure 21: SDG Percent Change – New Zealand – 2015 to 2025</w:t>
                            </w:r>
                            <w:r w:rsidR="00096145">
                              <w:t>. GoalScope (Seacor, 2025)</w:t>
                            </w:r>
                          </w:p>
                          <w:p w14:paraId="1B02572E" w14:textId="77777777" w:rsidR="005B2411" w:rsidRPr="00E3132F" w:rsidRDefault="005B2411" w:rsidP="005B24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9F035" id="_x0000_s1046" type="#_x0000_t202" style="position:absolute;left:0;text-align:left;margin-left:0;margin-top:344.2pt;width:284.5pt;height:281.8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" strokecolor="#d8d8d8 [2732]">
                <v:textbox>
                  <w:txbxContent>
                    <w:p w14:paraId="7EDA14BC" w14:textId="77777777" w:rsidR="005B2411" w:rsidRPr="00E3132F" w:rsidRDefault="005B2411" w:rsidP="005B2411">
                      <w:pPr>
                        <w:keepNext/>
                      </w:pPr>
                      <w:r w:rsidRPr="00E3132F">
                        <w:drawing>
                          <wp:inline distT="0" distB="0" distL="0" distR="0" wp14:anchorId="43D734E9" wp14:editId="738957CF">
                            <wp:extent cx="3459602" cy="3116275"/>
                            <wp:effectExtent l="0" t="0" r="7620" b="8255"/>
                            <wp:docPr id="1710286291"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86291" name="Picture 1" descr="A graph of a bar graph&#10;&#10;AI-generated content may be incorrect."/>
                                    <pic:cNvPicPr/>
                                  </pic:nvPicPr>
                                  <pic:blipFill>
                                    <a:blip r:embed="rId47"/>
                                    <a:stretch>
                                      <a:fillRect/>
                                    </a:stretch>
                                  </pic:blipFill>
                                  <pic:spPr>
                                    <a:xfrm>
                                      <a:off x="0" y="0"/>
                                      <a:ext cx="3510459" cy="3162085"/>
                                    </a:xfrm>
                                    <a:prstGeom prst="rect">
                                      <a:avLst/>
                                    </a:prstGeom>
                                  </pic:spPr>
                                </pic:pic>
                              </a:graphicData>
                            </a:graphic>
                          </wp:inline>
                        </w:drawing>
                      </w:r>
                    </w:p>
                    <w:p w14:paraId="0F5A6C88" w14:textId="33E6298F" w:rsidR="005B2411" w:rsidRPr="00E3132F" w:rsidRDefault="005B2411" w:rsidP="005B2411">
                      <w:pPr>
                        <w:pStyle w:val="Caption"/>
                      </w:pPr>
                      <w:r w:rsidRPr="00E3132F">
                        <w:t>Figure 21: SDG Percent Change – New Zealand – 2015 to 2025</w:t>
                      </w:r>
                      <w:r w:rsidR="00096145">
                        <w:t>. GoalScope (Seacor, 2025)</w:t>
                      </w:r>
                    </w:p>
                    <w:p w14:paraId="1B02572E" w14:textId="77777777" w:rsidR="005B2411" w:rsidRPr="00E3132F" w:rsidRDefault="005B2411" w:rsidP="005B2411"/>
                  </w:txbxContent>
                </v:textbox>
                <w10:wrap type="square"/>
              </v:shape>
            </w:pict>
          </mc:Fallback>
        </mc:AlternateContent>
      </w:r>
      <w:r w:rsidR="006508DD" w:rsidRPr="00E3132F">
        <mc:AlternateContent>
          <mc:Choice Requires="wps">
            <w:drawing>
              <wp:anchor distT="0" distB="0" distL="114300" distR="114300" simplePos="0" relativeHeight="251653120" behindDoc="0" locked="0" layoutInCell="1" allowOverlap="1" wp14:anchorId="0D978753" wp14:editId="2AB37BD1">
                <wp:simplePos x="0" y="0"/>
                <wp:positionH relativeFrom="column">
                  <wp:posOffset>-4445</wp:posOffset>
                </wp:positionH>
                <wp:positionV relativeFrom="paragraph">
                  <wp:posOffset>341630</wp:posOffset>
                </wp:positionV>
                <wp:extent cx="3613150" cy="2976880"/>
                <wp:effectExtent l="0" t="0" r="25400" b="13970"/>
                <wp:wrapSquare wrapText="bothSides"/>
                <wp:docPr id="1500282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3150" cy="2976880"/>
                        </a:xfrm>
                        <a:prstGeom prst="rect">
                          <a:avLst/>
                        </a:prstGeom>
                        <a:solidFill>
                          <a:srgbClr val="FFFFFF"/>
                        </a:solidFill>
                        <a:ln w="9525">
                          <a:solidFill>
                            <a:schemeClr val="bg1">
                              <a:lumMod val="85000"/>
                            </a:schemeClr>
                          </a:solidFill>
                          <a:miter lim="800000"/>
                          <a:headEnd/>
                          <a:tailEnd/>
                        </a:ln>
                      </wps:spPr>
                      <wps:txbx>
                        <w:txbxContent>
                          <w:p w14:paraId="533526E7" w14:textId="77777777" w:rsidR="005B2411" w:rsidRPr="00E3132F" w:rsidRDefault="005B2411" w:rsidP="005B2411">
                            <w:pPr>
                              <w:keepNext/>
                            </w:pPr>
                            <w:r w:rsidRPr="00E3132F">
                              <w:drawing>
                                <wp:inline distT="0" distB="0" distL="0" distR="0" wp14:anchorId="7481D32D" wp14:editId="338F5691">
                                  <wp:extent cx="3429454" cy="2655417"/>
                                  <wp:effectExtent l="0" t="0" r="0" b="0"/>
                                  <wp:docPr id="134326946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18919" name="Picture 1" descr="A graph of different colored lines&#10;&#10;AI-generated content may be incorrect."/>
                                          <pic:cNvPicPr/>
                                        </pic:nvPicPr>
                                        <pic:blipFill>
                                          <a:blip r:embed="rId48"/>
                                          <a:stretch>
                                            <a:fillRect/>
                                          </a:stretch>
                                        </pic:blipFill>
                                        <pic:spPr>
                                          <a:xfrm>
                                            <a:off x="0" y="0"/>
                                            <a:ext cx="3444483" cy="2667054"/>
                                          </a:xfrm>
                                          <a:prstGeom prst="rect">
                                            <a:avLst/>
                                          </a:prstGeom>
                                        </pic:spPr>
                                      </pic:pic>
                                    </a:graphicData>
                                  </a:graphic>
                                </wp:inline>
                              </w:drawing>
                            </w:r>
                          </w:p>
                          <w:p w14:paraId="39224515" w14:textId="27138BC7" w:rsidR="005B2411" w:rsidRPr="00E3132F" w:rsidRDefault="005B2411" w:rsidP="005B2411">
                            <w:pPr>
                              <w:pStyle w:val="Caption"/>
                            </w:pPr>
                            <w:r w:rsidRPr="00E3132F">
                              <w:t>Figure 20: SDG Timeline – New Zealand</w:t>
                            </w:r>
                            <w:r w:rsidR="00096145">
                              <w:t>. GoalScope (Seacor, 2025)</w:t>
                            </w:r>
                          </w:p>
                          <w:p w14:paraId="72C1164F" w14:textId="77777777" w:rsidR="005B2411" w:rsidRPr="00E3132F" w:rsidRDefault="005B2411" w:rsidP="005B2411"/>
                        </w:txbxContent>
                      </wps:txbx>
                      <wps:bodyPr rot="0" vert="horz" wrap="square" lIns="91440" tIns="45720" rIns="91440" bIns="45720" anchor="t" anchorCtr="0">
                        <a:noAutofit/>
                      </wps:bodyPr>
                    </wps:wsp>
                  </a:graphicData>
                </a:graphic>
              </wp:anchor>
            </w:drawing>
          </mc:Choice>
          <mc:Fallback>
            <w:pict>
              <v:shape w14:anchorId="0D978753" id="_x0000_s1047" type="#_x0000_t202" style="position:absolute;left:0;text-align:left;margin-left:-.35pt;margin-top:26.9pt;width:284.5pt;height:234.4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" strokecolor="#d8d8d8 [2732]">
                <v:textbox>
                  <w:txbxContent>
                    <w:p w14:paraId="533526E7" w14:textId="77777777" w:rsidR="005B2411" w:rsidRPr="00E3132F" w:rsidRDefault="005B2411" w:rsidP="005B2411">
                      <w:pPr>
                        <w:keepNext/>
                      </w:pPr>
                      <w:r w:rsidRPr="00E3132F">
                        <w:drawing>
                          <wp:inline distT="0" distB="0" distL="0" distR="0" wp14:anchorId="7481D32D" wp14:editId="338F5691">
                            <wp:extent cx="3429454" cy="2655417"/>
                            <wp:effectExtent l="0" t="0" r="0" b="0"/>
                            <wp:docPr id="134326946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18919" name="Picture 1" descr="A graph of different colored lines&#10;&#10;AI-generated content may be incorrect."/>
                                    <pic:cNvPicPr/>
                                  </pic:nvPicPr>
                                  <pic:blipFill>
                                    <a:blip r:embed="rId48"/>
                                    <a:stretch>
                                      <a:fillRect/>
                                    </a:stretch>
                                  </pic:blipFill>
                                  <pic:spPr>
                                    <a:xfrm>
                                      <a:off x="0" y="0"/>
                                      <a:ext cx="3444483" cy="2667054"/>
                                    </a:xfrm>
                                    <a:prstGeom prst="rect">
                                      <a:avLst/>
                                    </a:prstGeom>
                                  </pic:spPr>
                                </pic:pic>
                              </a:graphicData>
                            </a:graphic>
                          </wp:inline>
                        </w:drawing>
                      </w:r>
                    </w:p>
                    <w:p w14:paraId="39224515" w14:textId="27138BC7" w:rsidR="005B2411" w:rsidRPr="00E3132F" w:rsidRDefault="005B2411" w:rsidP="005B2411">
                      <w:pPr>
                        <w:pStyle w:val="Caption"/>
                      </w:pPr>
                      <w:r w:rsidRPr="00E3132F">
                        <w:t>Figure 20: SDG Timeline – New Zealand</w:t>
                      </w:r>
                      <w:r w:rsidR="00096145">
                        <w:t>. GoalScope (Seacor, 2025)</w:t>
                      </w:r>
                    </w:p>
                    <w:p w14:paraId="72C1164F" w14:textId="77777777" w:rsidR="005B2411" w:rsidRPr="00E3132F" w:rsidRDefault="005B2411" w:rsidP="005B2411"/>
                  </w:txbxContent>
                </v:textbox>
                <w10:wrap type="square"/>
              </v:shape>
            </w:pict>
          </mc:Fallback>
        </mc:AlternateContent>
      </w:r>
      <w:r w:rsidR="00B410DC" w:rsidRPr="00E3132F">
        <w:rPr>
          <w:lang w:eastAsia="en-NZ"/>
        </w:rPr>
        <w:t>Figure 20</w:t>
      </w:r>
      <w:r w:rsidR="005238EC" w:rsidRPr="00E3132F">
        <w:rPr>
          <w:lang w:eastAsia="en-NZ"/>
        </w:rPr>
        <w:t xml:space="preserve"> shows a two-speed profile over 2015–2025. A broad band of social–economic goals stays high and steady—basic services and infrastructure remain strong with little room left for large </w:t>
      </w:r>
      <w:r w:rsidR="00F841DD">
        <w:rPr>
          <w:lang w:eastAsia="en-NZ"/>
        </w:rPr>
        <w:t>%</w:t>
      </w:r>
      <w:r w:rsidR="005238EC" w:rsidRPr="00E3132F">
        <w:rPr>
          <w:lang w:eastAsia="en-NZ"/>
        </w:rPr>
        <w:t xml:space="preserve">age gains. By contrast, the environmental cluster is volatile: the production/consumption transition surges around 2019–2020 before easing back, and the nature goals track below the social–economic plateau, signalling unfinished work on circularity and biodiversity. A small group of inclusion-type goals sits well lower and moves only gradually—an early-decade dip is followed by a slow recovery—pointing to persistent gaps in distributional outcomes. Taken together, the pattern suggests that New Zealand’s next lift will come less from expanding already-mature services and more from accelerating the sustainability transition (responsible production, oceans, land) while closing inclusion gaps; </w:t>
      </w:r>
      <w:r w:rsidR="0039527B" w:rsidRPr="00E3132F">
        <w:rPr>
          <w:lang w:eastAsia="en-NZ"/>
        </w:rPr>
        <w:t>otherwise,</w:t>
      </w:r>
      <w:r w:rsidR="005238EC" w:rsidRPr="00E3132F">
        <w:rPr>
          <w:lang w:eastAsia="en-NZ"/>
        </w:rPr>
        <w:t xml:space="preserve"> the trajectory will remain stable but flat.</w:t>
      </w:r>
      <w:r w:rsidR="005B2411">
        <w:rPr>
          <w:lang w:eastAsia="en-NZ"/>
        </w:rPr>
        <w:t xml:space="preserve"> </w:t>
      </w:r>
      <w:r w:rsidR="0065112F" w:rsidRPr="00E3132F">
        <w:rPr>
          <w:lang w:eastAsia="en-NZ"/>
        </w:rPr>
        <w:t xml:space="preserve">Figure 21 shows that momentum is uneven: gains are concentrated in SDG 12 and SDG </w:t>
      </w:r>
      <w:r w:rsidR="0041327D" w:rsidRPr="00E3132F">
        <w:rPr>
          <w:lang w:eastAsia="en-NZ"/>
        </w:rPr>
        <w:t>5</w:t>
      </w:r>
      <w:r w:rsidR="0065112F" w:rsidRPr="00E3132F">
        <w:rPr>
          <w:lang w:eastAsia="en-NZ"/>
        </w:rPr>
        <w:t xml:space="preserve">, with smaller positives around SDG 15, and SDG 17, while several areas are flat and a few retreat. </w:t>
      </w:r>
      <w:r w:rsidR="0065112F" w:rsidRPr="00E3132F">
        <w:rPr>
          <w:lang w:eastAsia="en-NZ"/>
        </w:rPr>
        <w:lastRenderedPageBreak/>
        <w:t xml:space="preserve">The clearest weakness is the environmental/biosphere edge, led by a sharp decline in SDG 14 (life below water) and a drop in SDG 4 (quality education), with additional slippage in SDG 2, SDG 6, SDG 10, SDG 16, and SDG 3. Read alongside Figure 20’s level profiles, the message is that New Zealand’s strong social–economic base is holding but momentum has cooled where environmental protection, inclusion, and governance are concerned. Near-term policy lift therefore sits in marine and freshwater quality, circular production, equitable outcomes, and institutional performance, while sustaining the already high social–economic SDGs that show little headroom for large </w:t>
      </w:r>
      <w:r w:rsidR="00F841DD">
        <w:rPr>
          <w:lang w:eastAsia="en-NZ"/>
        </w:rPr>
        <w:t>%</w:t>
      </w:r>
      <w:r w:rsidR="0065112F" w:rsidRPr="00E3132F">
        <w:rPr>
          <w:lang w:eastAsia="en-NZ"/>
        </w:rPr>
        <w:t>age gains</w:t>
      </w:r>
      <w:r w:rsidR="00800409" w:rsidRPr="00E3132F">
        <w:rPr>
          <w:lang w:eastAsia="en-NZ"/>
        </w:rPr>
        <w:t xml:space="preserve">. </w:t>
      </w:r>
      <w:r w:rsidR="007456C5" w:rsidRPr="00E3132F">
        <w:t>There are noted limitations in New Zealand-based empirical studies focusing specifically on achieving SDG 12 (Responsible Consumption and Production) within the context of Agenda 2030 (Tauringana and Moses, 2022).</w:t>
      </w:r>
      <w:r w:rsidR="00A06BAC" w:rsidRPr="00E3132F">
        <w:t xml:space="preserve"> </w:t>
      </w:r>
      <w:r w:rsidR="00800409" w:rsidRPr="00E3132F">
        <w:rPr>
          <w:lang w:eastAsia="en-NZ"/>
        </w:rPr>
        <w:t xml:space="preserve">Policy to 2030 should center on water and ocean recovery, a faster circular economy to lift </w:t>
      </w:r>
      <w:r w:rsidR="00746CDB" w:rsidRPr="00E3132F">
        <w:rPr>
          <w:lang w:eastAsia="en-NZ"/>
        </w:rPr>
        <w:t>SDG</w:t>
      </w:r>
      <w:r w:rsidR="00800409" w:rsidRPr="00E3132F">
        <w:rPr>
          <w:lang w:eastAsia="en-NZ"/>
        </w:rPr>
        <w:t xml:space="preserve"> 12, a bigger clean energy and climate push that reinforces nature goals, and sustainable farming that raises food and land outcomes.</w:t>
      </w:r>
    </w:p>
    <w:p w14:paraId="1B7EBC26" w14:textId="5B90050E" w:rsidR="002C1307" w:rsidRPr="00E3132F" w:rsidRDefault="00753CD1" w:rsidP="002C1307">
      <w:pPr>
        <w:pStyle w:val="Heading3"/>
      </w:pPr>
      <w:bookmarkStart w:id="43" w:name="_Toc211306881"/>
      <w:r w:rsidRPr="00E3132F">
        <w:t>Gap analysis: Distance (points and %) from the OECD top-quartile for each goal, highlighting the few goals that dominate the shortfall</w:t>
      </w:r>
      <w:r w:rsidR="00BA6212" w:rsidRPr="00E3132F">
        <w:t>.</w:t>
      </w:r>
      <w:bookmarkEnd w:id="43"/>
    </w:p>
    <w:p w14:paraId="68D234FB" w14:textId="562FC14F" w:rsidR="00021F9A" w:rsidRDefault="00021F9A" w:rsidP="00021F9A">
      <w:r w:rsidRPr="00E3132F">
        <w:t xml:space="preserve"> The benchmark plot</w:t>
      </w:r>
      <w:r w:rsidR="00850900" w:rsidRPr="00E3132F">
        <w:t xml:space="preserve"> (Figure 22)</w:t>
      </w:r>
      <w:r w:rsidRPr="00E3132F">
        <w:t xml:space="preserve"> shows New Zealand’s largest distances to the OECD top-quartile cluster are concentrated in SDG 15, SDG 14, and SDG 12, indicating a clear frontier gap on the environment/circularity axis. Mid-tier gaps persist in SDG 10 and SDG 2, with smaller but non-trivial shortfalls in SDG 4, SDG 9, and SDG 6. By contrast, New Zealand is at parity or slightly ahead on SDG 5, SDG 8, SDG 16, and SDG 11, signalling relative strength in social/economic capacity and governance.</w:t>
      </w:r>
    </w:p>
    <w:p w14:paraId="08BF1E1C" w14:textId="65229BD0" w:rsidR="00680AAA" w:rsidRPr="00E3132F" w:rsidRDefault="00680AAA" w:rsidP="00021F9A">
      <w:r w:rsidRPr="00E3132F">
        <mc:AlternateContent>
          <mc:Choice Requires="wps">
            <w:drawing>
              <wp:inline distT="0" distB="0" distL="0" distR="0" wp14:anchorId="7BC07451" wp14:editId="63CE87AE">
                <wp:extent cx="5727940" cy="2760345"/>
                <wp:effectExtent l="0" t="0" r="25400" b="20955"/>
                <wp:docPr id="12510576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940" cy="2760345"/>
                        </a:xfrm>
                        <a:prstGeom prst="rect">
                          <a:avLst/>
                        </a:prstGeom>
                        <a:solidFill>
                          <a:srgbClr val="FFFFFF"/>
                        </a:solidFill>
                        <a:ln w="9525">
                          <a:solidFill>
                            <a:schemeClr val="bg1">
                              <a:lumMod val="85000"/>
                            </a:schemeClr>
                          </a:solidFill>
                          <a:miter lim="800000"/>
                          <a:headEnd/>
                          <a:tailEnd/>
                        </a:ln>
                      </wps:spPr>
                      <wps:txbx>
                        <w:txbxContent>
                          <w:p w14:paraId="26F2DAB6" w14:textId="77777777" w:rsidR="00680AAA" w:rsidRPr="00E3132F" w:rsidRDefault="00680AAA" w:rsidP="00680AAA">
                            <w:pPr>
                              <w:keepNext/>
                              <w:jc w:val="center"/>
                            </w:pPr>
                            <w:r w:rsidRPr="00E3132F">
                              <w:drawing>
                                <wp:inline distT="0" distB="0" distL="0" distR="0" wp14:anchorId="1FFA5CC8" wp14:editId="256614C5">
                                  <wp:extent cx="4563745" cy="2432511"/>
                                  <wp:effectExtent l="0" t="0" r="8255" b="6350"/>
                                  <wp:docPr id="10533499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39190" name="Picture 1" descr="A screenshot of a graph&#10;&#10;AI-generated content may be incorrect."/>
                                          <pic:cNvPicPr/>
                                        </pic:nvPicPr>
                                        <pic:blipFill>
                                          <a:blip r:embed="rId49"/>
                                          <a:stretch>
                                            <a:fillRect/>
                                          </a:stretch>
                                        </pic:blipFill>
                                        <pic:spPr>
                                          <a:xfrm>
                                            <a:off x="0" y="0"/>
                                            <a:ext cx="4613684" cy="2459129"/>
                                          </a:xfrm>
                                          <a:prstGeom prst="rect">
                                            <a:avLst/>
                                          </a:prstGeom>
                                        </pic:spPr>
                                      </pic:pic>
                                    </a:graphicData>
                                  </a:graphic>
                                </wp:inline>
                              </w:drawing>
                            </w:r>
                          </w:p>
                          <w:p w14:paraId="4DBD427C" w14:textId="10C2AE38" w:rsidR="00680AAA" w:rsidRPr="00E3132F" w:rsidRDefault="00680AAA" w:rsidP="00680AAA">
                            <w:pPr>
                              <w:pStyle w:val="Caption"/>
                            </w:pPr>
                            <w:r w:rsidRPr="00E3132F">
                              <w:t>Figure 22: New Zealand gap to OECD top-quartile</w:t>
                            </w:r>
                            <w:r w:rsidR="00096145">
                              <w:t>. GoalScope (Seacor, 2025)</w:t>
                            </w:r>
                          </w:p>
                          <w:p w14:paraId="70AC6061" w14:textId="77777777" w:rsidR="00680AAA" w:rsidRPr="00E3132F" w:rsidRDefault="00680AAA" w:rsidP="00680AAA"/>
                        </w:txbxContent>
                      </wps:txbx>
                      <wps:bodyPr rot="0" vert="horz" wrap="square" lIns="91440" tIns="45720" rIns="91440" bIns="45720" anchor="t" anchorCtr="0">
                        <a:noAutofit/>
                      </wps:bodyPr>
                    </wps:wsp>
                  </a:graphicData>
                </a:graphic>
              </wp:inline>
            </w:drawing>
          </mc:Choice>
          <mc:Fallback>
            <w:pict>
              <v:shape w14:anchorId="7BC07451" id="_x0000_s1048" type="#_x0000_t202" style="width:451pt;height:21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" strokecolor="#d8d8d8 [2732]">
                <v:textbox>
                  <w:txbxContent>
                    <w:p w14:paraId="26F2DAB6" w14:textId="77777777" w:rsidR="00680AAA" w:rsidRPr="00E3132F" w:rsidRDefault="00680AAA" w:rsidP="00680AAA">
                      <w:pPr>
                        <w:keepNext/>
                        <w:jc w:val="center"/>
                      </w:pPr>
                      <w:r w:rsidRPr="00E3132F">
                        <w:drawing>
                          <wp:inline distT="0" distB="0" distL="0" distR="0" wp14:anchorId="1FFA5CC8" wp14:editId="256614C5">
                            <wp:extent cx="4563745" cy="2432511"/>
                            <wp:effectExtent l="0" t="0" r="8255" b="6350"/>
                            <wp:docPr id="10533499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39190" name="Picture 1" descr="A screenshot of a graph&#10;&#10;AI-generated content may be incorrect."/>
                                    <pic:cNvPicPr/>
                                  </pic:nvPicPr>
                                  <pic:blipFill>
                                    <a:blip r:embed="rId49"/>
                                    <a:stretch>
                                      <a:fillRect/>
                                    </a:stretch>
                                  </pic:blipFill>
                                  <pic:spPr>
                                    <a:xfrm>
                                      <a:off x="0" y="0"/>
                                      <a:ext cx="4613684" cy="2459129"/>
                                    </a:xfrm>
                                    <a:prstGeom prst="rect">
                                      <a:avLst/>
                                    </a:prstGeom>
                                  </pic:spPr>
                                </pic:pic>
                              </a:graphicData>
                            </a:graphic>
                          </wp:inline>
                        </w:drawing>
                      </w:r>
                    </w:p>
                    <w:p w14:paraId="4DBD427C" w14:textId="10C2AE38" w:rsidR="00680AAA" w:rsidRPr="00E3132F" w:rsidRDefault="00680AAA" w:rsidP="00680AAA">
                      <w:pPr>
                        <w:pStyle w:val="Caption"/>
                      </w:pPr>
                      <w:r w:rsidRPr="00E3132F">
                        <w:t>Figure 22: New Zealand gap to OECD top-quartile</w:t>
                      </w:r>
                      <w:r w:rsidR="00096145">
                        <w:t>. GoalScope (Seacor, 2025)</w:t>
                      </w:r>
                    </w:p>
                    <w:p w14:paraId="70AC6061" w14:textId="77777777" w:rsidR="00680AAA" w:rsidRPr="00E3132F" w:rsidRDefault="00680AAA" w:rsidP="00680AAA"/>
                  </w:txbxContent>
                </v:textbox>
                <w10:anchorlock/>
              </v:shape>
            </w:pict>
          </mc:Fallback>
        </mc:AlternateContent>
      </w:r>
    </w:p>
    <w:p w14:paraId="63475DDE" w14:textId="77777777" w:rsidR="00021F9A" w:rsidRPr="00E3132F" w:rsidRDefault="00021F9A" w:rsidP="00021F9A">
      <w:r w:rsidRPr="00E3132F">
        <w:lastRenderedPageBreak/>
        <w:t>Implication. The shortest route toward the frontier is to close the three environmental gaps (SDG 12, 14, 15), supported by targeted action on distributional and food-system dimensions (SDG 10, 2). These priorities should be pursued while sustaining current advantages on SDG 5, 8, 16, 11, which are already at or above the benchmark.</w:t>
      </w:r>
    </w:p>
    <w:p w14:paraId="49186B7F" w14:textId="357CAFDE" w:rsidR="0043208E" w:rsidRPr="00E3132F" w:rsidRDefault="00753CD1" w:rsidP="00954EF2">
      <w:pPr>
        <w:pStyle w:val="Heading3"/>
      </w:pPr>
      <w:bookmarkStart w:id="44" w:name="_Toc211306882"/>
      <w:r w:rsidRPr="00E3132F">
        <w:t xml:space="preserve">Structure &amp; drivers: </w:t>
      </w:r>
      <w:r w:rsidR="0003440F" w:rsidRPr="00E3132F">
        <w:t>Which goal bundles in New Zealand move together from 2015 to 2025 and where do the main tradeoffs sit, so what two or three policy packages would deliver the biggest co benefits by 2030?</w:t>
      </w:r>
      <w:bookmarkEnd w:id="44"/>
    </w:p>
    <w:p w14:paraId="225190D7" w14:textId="390DD446" w:rsidR="00EA4770" w:rsidRDefault="00954EF2" w:rsidP="00954EF2">
      <w:r w:rsidRPr="00E3132F">
        <w:t>The correlation matrix (Figure 23) shows two clear bundles. First, a socio-economic core—SDG 1, 3, 4, 6, 7, 8, 9, 11, 16—that tends to rise and fall in concert, consistent with shared drivers such as income, service delivery, infrastructure, and institutions. Second, a coherent environmental bundle—SDG 12–15—that is tightly knit internally but only loosely aligned with the socio-economic core. Tensions appear at the interface between production-oriented SDGs (7, 8, 9) and the environmental set (12–15): periods of industrial and consumption growth do not automatically translate into circularity or nature outcomes and can pressure oceans and biodiversity. A few local negatives also involve SDG 2 and SDG 5, which likely reflect indicator composition and short-sample volatility rather than hard structural antagonism; they warrant robustness checks before policy interpretation.</w:t>
      </w:r>
    </w:p>
    <w:p w14:paraId="714D0FFE" w14:textId="271AD708" w:rsidR="00680AAA" w:rsidRPr="00E3132F" w:rsidRDefault="00680AAA" w:rsidP="00954EF2">
      <w:r w:rsidRPr="00E3132F">
        <mc:AlternateContent>
          <mc:Choice Requires="wps">
            <w:drawing>
              <wp:inline distT="0" distB="0" distL="0" distR="0" wp14:anchorId="4BB8232D" wp14:editId="2675B3B8">
                <wp:extent cx="5658928" cy="3855110"/>
                <wp:effectExtent l="0" t="0" r="18415" b="12065"/>
                <wp:docPr id="995262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8928" cy="3855110"/>
                        </a:xfrm>
                        <a:prstGeom prst="rect">
                          <a:avLst/>
                        </a:prstGeom>
                        <a:solidFill>
                          <a:srgbClr val="FFFFFF"/>
                        </a:solidFill>
                        <a:ln w="9525">
                          <a:solidFill>
                            <a:schemeClr val="bg1">
                              <a:lumMod val="85000"/>
                            </a:schemeClr>
                          </a:solidFill>
                          <a:miter lim="800000"/>
                          <a:headEnd/>
                          <a:tailEnd/>
                        </a:ln>
                      </wps:spPr>
                      <wps:txbx>
                        <w:txbxContent>
                          <w:p w14:paraId="346B747E" w14:textId="77777777" w:rsidR="00680AAA" w:rsidRPr="00E3132F" w:rsidRDefault="00680AAA" w:rsidP="00680AAA">
                            <w:pPr>
                              <w:keepNext/>
                            </w:pPr>
                            <w:r w:rsidRPr="00E3132F">
                              <w:drawing>
                                <wp:inline distT="0" distB="0" distL="0" distR="0" wp14:anchorId="4B33DE52" wp14:editId="10255864">
                                  <wp:extent cx="5223052" cy="3521410"/>
                                  <wp:effectExtent l="0" t="0" r="0" b="3175"/>
                                  <wp:docPr id="29473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39821" name=""/>
                                          <pic:cNvPicPr/>
                                        </pic:nvPicPr>
                                        <pic:blipFill>
                                          <a:blip r:embed="rId50"/>
                                          <a:stretch>
                                            <a:fillRect/>
                                          </a:stretch>
                                        </pic:blipFill>
                                        <pic:spPr>
                                          <a:xfrm>
                                            <a:off x="0" y="0"/>
                                            <a:ext cx="5258550" cy="3545343"/>
                                          </a:xfrm>
                                          <a:prstGeom prst="rect">
                                            <a:avLst/>
                                          </a:prstGeom>
                                        </pic:spPr>
                                      </pic:pic>
                                    </a:graphicData>
                                  </a:graphic>
                                </wp:inline>
                              </w:drawing>
                            </w:r>
                          </w:p>
                          <w:p w14:paraId="1960CAEF" w14:textId="17A2492D" w:rsidR="00680AAA" w:rsidRPr="00E3132F" w:rsidRDefault="00680AAA" w:rsidP="00680AAA">
                            <w:pPr>
                              <w:pStyle w:val="Caption"/>
                            </w:pPr>
                            <w:r w:rsidRPr="00E3132F">
                              <w:t>Figure 23: SDG Correlation matrix across years 2015 to 2025 – New Zealand</w:t>
                            </w:r>
                            <w:r w:rsidR="00096145">
                              <w:t>. GoalScope (Seacor, 2025)</w:t>
                            </w:r>
                          </w:p>
                          <w:p w14:paraId="3155FF67" w14:textId="77777777" w:rsidR="00680AAA" w:rsidRPr="00E3132F" w:rsidRDefault="00680AAA" w:rsidP="00680AAA"/>
                        </w:txbxContent>
                      </wps:txbx>
                      <wps:bodyPr rot="0" vert="horz" wrap="square" lIns="91440" tIns="45720" rIns="91440" bIns="45720" anchor="t" anchorCtr="0">
                        <a:noAutofit/>
                      </wps:bodyPr>
                    </wps:wsp>
                  </a:graphicData>
                </a:graphic>
              </wp:inline>
            </w:drawing>
          </mc:Choice>
          <mc:Fallback>
            <w:pict>
              <v:shape w14:anchorId="4BB8232D" id="_x0000_s1049" type="#_x0000_t202" style="width:445.6pt;height:30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" strokecolor="#d8d8d8 [2732]">
                <v:textbox>
                  <w:txbxContent>
                    <w:p w14:paraId="346B747E" w14:textId="77777777" w:rsidR="00680AAA" w:rsidRPr="00E3132F" w:rsidRDefault="00680AAA" w:rsidP="00680AAA">
                      <w:pPr>
                        <w:keepNext/>
                      </w:pPr>
                      <w:r w:rsidRPr="00E3132F">
                        <w:drawing>
                          <wp:inline distT="0" distB="0" distL="0" distR="0" wp14:anchorId="4B33DE52" wp14:editId="10255864">
                            <wp:extent cx="5223052" cy="3521410"/>
                            <wp:effectExtent l="0" t="0" r="0" b="3175"/>
                            <wp:docPr id="29473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39821" name=""/>
                                    <pic:cNvPicPr/>
                                  </pic:nvPicPr>
                                  <pic:blipFill>
                                    <a:blip r:embed="rId50"/>
                                    <a:stretch>
                                      <a:fillRect/>
                                    </a:stretch>
                                  </pic:blipFill>
                                  <pic:spPr>
                                    <a:xfrm>
                                      <a:off x="0" y="0"/>
                                      <a:ext cx="5258550" cy="3545343"/>
                                    </a:xfrm>
                                    <a:prstGeom prst="rect">
                                      <a:avLst/>
                                    </a:prstGeom>
                                  </pic:spPr>
                                </pic:pic>
                              </a:graphicData>
                            </a:graphic>
                          </wp:inline>
                        </w:drawing>
                      </w:r>
                    </w:p>
                    <w:p w14:paraId="1960CAEF" w14:textId="17A2492D" w:rsidR="00680AAA" w:rsidRPr="00E3132F" w:rsidRDefault="00680AAA" w:rsidP="00680AAA">
                      <w:pPr>
                        <w:pStyle w:val="Caption"/>
                      </w:pPr>
                      <w:r w:rsidRPr="00E3132F">
                        <w:t>Figure 23: SDG Correlation matrix across years 2015 to 2025 – New Zealand</w:t>
                      </w:r>
                      <w:r w:rsidR="00096145">
                        <w:t>. GoalScope (Seacor, 2025)</w:t>
                      </w:r>
                    </w:p>
                    <w:p w14:paraId="3155FF67" w14:textId="77777777" w:rsidR="00680AAA" w:rsidRPr="00E3132F" w:rsidRDefault="00680AAA" w:rsidP="00680AAA"/>
                  </w:txbxContent>
                </v:textbox>
                <w10:anchorlock/>
              </v:shape>
            </w:pict>
          </mc:Fallback>
        </mc:AlternateContent>
      </w:r>
    </w:p>
    <w:p w14:paraId="0BEA064A" w14:textId="77777777" w:rsidR="00954EF2" w:rsidRPr="00E3132F" w:rsidRDefault="00954EF2" w:rsidP="00B03687">
      <w:pPr>
        <w:pStyle w:val="Heading4"/>
      </w:pPr>
      <w:r w:rsidRPr="00E3132F">
        <w:lastRenderedPageBreak/>
        <w:t>Policy packages with the biggest co-benefits by 2030.</w:t>
      </w:r>
    </w:p>
    <w:p w14:paraId="2C000240" w14:textId="77777777" w:rsidR="00954EF2" w:rsidRPr="00E3132F" w:rsidRDefault="00954EF2" w:rsidP="002A55AB">
      <w:pPr>
        <w:numPr>
          <w:ilvl w:val="0"/>
          <w:numId w:val="23"/>
        </w:numPr>
      </w:pPr>
      <w:r w:rsidRPr="00E3132F">
        <w:rPr>
          <w:b/>
          <w:bCs/>
        </w:rPr>
        <w:t>Clean industry &amp; circular production (SDG 12, 13 ↔ 7, 9).</w:t>
      </w:r>
    </w:p>
    <w:p w14:paraId="17632207" w14:textId="77777777" w:rsidR="00954EF2" w:rsidRPr="00E3132F" w:rsidRDefault="00954EF2" w:rsidP="002A55AB">
      <w:pPr>
        <w:numPr>
          <w:ilvl w:val="1"/>
          <w:numId w:val="23"/>
        </w:numPr>
      </w:pPr>
      <w:r w:rsidRPr="00E3132F">
        <w:t>Instruments: resource-efficiency and eco-design standards, extended producer responsibility, industrial electrification and heat pumps, green public procurement, innovation support for low-waste manufacturing.</w:t>
      </w:r>
    </w:p>
    <w:p w14:paraId="511D12AD" w14:textId="77777777" w:rsidR="00954EF2" w:rsidRPr="00E3132F" w:rsidRDefault="00954EF2" w:rsidP="002A55AB">
      <w:pPr>
        <w:numPr>
          <w:ilvl w:val="1"/>
          <w:numId w:val="23"/>
        </w:numPr>
      </w:pPr>
      <w:r w:rsidRPr="00E3132F">
        <w:t>Co-benefits: emissions and waste reduction (SDG 13/12), productivity and export readiness (SDG 9), air-quality/health gains (SDG 3), green jobs (SDG 8).</w:t>
      </w:r>
    </w:p>
    <w:p w14:paraId="63625029" w14:textId="77777777" w:rsidR="00954EF2" w:rsidRPr="00E3132F" w:rsidRDefault="00954EF2" w:rsidP="002A55AB">
      <w:pPr>
        <w:numPr>
          <w:ilvl w:val="0"/>
          <w:numId w:val="23"/>
        </w:numPr>
      </w:pPr>
      <w:r w:rsidRPr="00E3132F">
        <w:rPr>
          <w:b/>
          <w:bCs/>
        </w:rPr>
        <w:t>Blue–green catchments &amp; coasts (SDG 6, 14, 15 ↔ 2).</w:t>
      </w:r>
    </w:p>
    <w:p w14:paraId="4DAA2284" w14:textId="77777777" w:rsidR="00954EF2" w:rsidRPr="00E3132F" w:rsidRDefault="00954EF2" w:rsidP="002A55AB">
      <w:pPr>
        <w:numPr>
          <w:ilvl w:val="1"/>
          <w:numId w:val="23"/>
        </w:numPr>
      </w:pPr>
      <w:r w:rsidRPr="00E3132F">
        <w:t>Instruments: river-catchment nutrient limits, riparian restoration, marine protected areas, invasive-species control, regenerative agriculture and precision fertiliser use.</w:t>
      </w:r>
    </w:p>
    <w:p w14:paraId="12FAF1D4" w14:textId="77777777" w:rsidR="00954EF2" w:rsidRPr="00E3132F" w:rsidRDefault="00954EF2" w:rsidP="002A55AB">
      <w:pPr>
        <w:numPr>
          <w:ilvl w:val="1"/>
          <w:numId w:val="23"/>
        </w:numPr>
      </w:pPr>
      <w:r w:rsidRPr="00E3132F">
        <w:t>Co-benefits: improved freshwater/marine quality (SDG 6/14), biodiversity recovery (SDG 15), resilient food systems (SDG 2), regional employment and tourism (SDG 8).</w:t>
      </w:r>
    </w:p>
    <w:p w14:paraId="401C1D9E" w14:textId="77777777" w:rsidR="00954EF2" w:rsidRPr="00E3132F" w:rsidRDefault="00954EF2" w:rsidP="002A55AB">
      <w:pPr>
        <w:numPr>
          <w:ilvl w:val="0"/>
          <w:numId w:val="23"/>
        </w:numPr>
      </w:pPr>
      <w:r w:rsidRPr="00E3132F">
        <w:rPr>
          <w:b/>
          <w:bCs/>
        </w:rPr>
        <w:t>Inclusive skills &amp; liveability backbone (SDG 1, 3, 4, 10, 11, 16).</w:t>
      </w:r>
    </w:p>
    <w:p w14:paraId="11A91ACE" w14:textId="77777777" w:rsidR="00954EF2" w:rsidRPr="00E3132F" w:rsidRDefault="00954EF2" w:rsidP="002A55AB">
      <w:pPr>
        <w:numPr>
          <w:ilvl w:val="1"/>
          <w:numId w:val="23"/>
        </w:numPr>
      </w:pPr>
      <w:r w:rsidRPr="00E3132F">
        <w:t>Instruments: targeted upskilling and digital inclusion, affordable/efficient housing and transit, place-based inequality reduction, open-data accountability for service outcomes.</w:t>
      </w:r>
    </w:p>
    <w:p w14:paraId="1F761399" w14:textId="77777777" w:rsidR="00954EF2" w:rsidRPr="00E3132F" w:rsidRDefault="00954EF2" w:rsidP="002A55AB">
      <w:pPr>
        <w:numPr>
          <w:ilvl w:val="1"/>
          <w:numId w:val="23"/>
        </w:numPr>
      </w:pPr>
      <w:r w:rsidRPr="00E3132F">
        <w:t xml:space="preserve">Co-benefits: human-capital lift (SDG 4), participation and productivity (SDG 8), safer cities (SDG 11), stronger institutional performance (SDG 16), which in turn </w:t>
      </w:r>
      <w:r w:rsidRPr="00E3132F">
        <w:rPr>
          <w:b/>
          <w:bCs/>
        </w:rPr>
        <w:t>enables</w:t>
      </w:r>
      <w:r w:rsidRPr="00E3132F">
        <w:t xml:space="preserve"> the two environmental packages to scale.</w:t>
      </w:r>
    </w:p>
    <w:p w14:paraId="6B070A5A" w14:textId="0CD7C770" w:rsidR="007D5808" w:rsidRPr="00E3132F" w:rsidRDefault="00954EF2" w:rsidP="0083354E">
      <w:r w:rsidRPr="00E3132F">
        <w:t>Together, these packages align with the matrix structure: reinforce the socio-economic core while hardwiring circularity and nature protection into production and land/sea management. This combination minimizes the observed trade-offs and maximizes co-benefits on the path to 2030.</w:t>
      </w:r>
    </w:p>
    <w:p w14:paraId="23DF81F0" w14:textId="727F6105" w:rsidR="00BC6E88" w:rsidRPr="00E3132F" w:rsidRDefault="00BC6E88" w:rsidP="000B0876">
      <w:pPr>
        <w:pStyle w:val="Heading3"/>
      </w:pPr>
      <w:bookmarkStart w:id="45" w:name="_Toc211306883"/>
      <w:r w:rsidRPr="00E3132F">
        <w:t>New Zealand</w:t>
      </w:r>
      <w:r w:rsidR="002111E6" w:rsidRPr="00E3132F">
        <w:t xml:space="preserve"> overall score </w:t>
      </w:r>
      <w:r w:rsidR="005B4235">
        <w:t>projection</w:t>
      </w:r>
      <w:r w:rsidR="002111E6" w:rsidRPr="00E3132F">
        <w:t xml:space="preserve"> to 2030</w:t>
      </w:r>
      <w:bookmarkEnd w:id="45"/>
    </w:p>
    <w:p w14:paraId="4C9AA8B8" w14:textId="24360072" w:rsidR="001E077B" w:rsidRPr="00E3132F" w:rsidRDefault="00916D2B" w:rsidP="001E077B">
      <w:r w:rsidRPr="00E3132F">
        <w:t>Figure 24 shows</w:t>
      </w:r>
      <w:r w:rsidR="001E077B" w:rsidRPr="00E3132F">
        <w:t xml:space="preserve"> New Zealand’s overall SDG score rises steadily from 2000 to 2025, with small cyclical dips and a clear upswing after 2017. The model projects a brief mean-reversion in 2026 followed by a gradual upward glide through 2030. Both the 80% and 95% prediction intervals widen over the horizon but slope upward, indicating that modest improvement is more likely than decline. On the baseline path, New Zealand remains in the upper-70s by 2030, leaving a substantial gap to the 2030 target of 100.</w:t>
      </w:r>
    </w:p>
    <w:p w14:paraId="644788C3" w14:textId="44E50F33" w:rsidR="001E077B" w:rsidRPr="00E3132F" w:rsidRDefault="001E077B" w:rsidP="001E077B">
      <w:r w:rsidRPr="00E3132F">
        <w:lastRenderedPageBreak/>
        <w:t>Implications for policy</w:t>
      </w:r>
      <w:r w:rsidR="00680AAA">
        <w:t>:</w:t>
      </w:r>
    </w:p>
    <w:p w14:paraId="27568C97" w14:textId="77777777" w:rsidR="001E077B" w:rsidRPr="00E3132F" w:rsidRDefault="001E077B" w:rsidP="002A55AB">
      <w:pPr>
        <w:numPr>
          <w:ilvl w:val="0"/>
          <w:numId w:val="24"/>
        </w:numPr>
      </w:pPr>
      <w:r w:rsidRPr="00E3132F">
        <w:t>Expect incremental gains, not another step-change, without new interventions.</w:t>
      </w:r>
    </w:p>
    <w:p w14:paraId="3E5C37F9" w14:textId="77777777" w:rsidR="001E077B" w:rsidRPr="00E3132F" w:rsidRDefault="001E077B" w:rsidP="002A55AB">
      <w:pPr>
        <w:numPr>
          <w:ilvl w:val="0"/>
          <w:numId w:val="24"/>
        </w:numPr>
      </w:pPr>
      <w:r w:rsidRPr="00E3132F">
        <w:t>To lift the trajectory, pair productivity/innovation measures with consumption- and climate-oriented policies that reduce trade-offs (e.g., circular-economy and clean-tech adoption), protecting advances in the economic–social core while addressing pressure points linked to SDGs 12 and 13.</w:t>
      </w:r>
    </w:p>
    <w:p w14:paraId="72DC315B" w14:textId="77777777" w:rsidR="001E077B" w:rsidRDefault="001E077B" w:rsidP="002A55AB">
      <w:pPr>
        <w:numPr>
          <w:ilvl w:val="0"/>
          <w:numId w:val="24"/>
        </w:numPr>
      </w:pPr>
      <w:r w:rsidRPr="00E3132F">
        <w:t>The widening intervals signal uncertainty: outcomes consistent with a mild pullback or a stronger rebound are both plausible; monitoring and mid-course adjustment are warranted.</w:t>
      </w:r>
    </w:p>
    <w:p w14:paraId="5D19E92A" w14:textId="14595EA2" w:rsidR="00685AA1" w:rsidRPr="00E3132F" w:rsidRDefault="00685AA1" w:rsidP="00685AA1">
      <w:r w:rsidRPr="00E3132F">
        <mc:AlternateContent>
          <mc:Choice Requires="wps">
            <w:drawing>
              <wp:inline distT="0" distB="0" distL="0" distR="0" wp14:anchorId="11617A2A" wp14:editId="0AB68DE2">
                <wp:extent cx="5719313" cy="2735884"/>
                <wp:effectExtent l="0" t="0" r="15240" b="26670"/>
                <wp:docPr id="1194535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9313" cy="2735884"/>
                        </a:xfrm>
                        <a:prstGeom prst="rect">
                          <a:avLst/>
                        </a:prstGeom>
                        <a:solidFill>
                          <a:srgbClr val="FFFFFF"/>
                        </a:solidFill>
                        <a:ln w="9525">
                          <a:solidFill>
                            <a:schemeClr val="bg1">
                              <a:lumMod val="95000"/>
                            </a:schemeClr>
                          </a:solidFill>
                          <a:miter lim="800000"/>
                          <a:headEnd/>
                          <a:tailEnd/>
                        </a:ln>
                      </wps:spPr>
                      <wps:txbx>
                        <w:txbxContent>
                          <w:p w14:paraId="718D938B" w14:textId="77777777" w:rsidR="00685AA1" w:rsidRPr="00E3132F" w:rsidRDefault="00685AA1" w:rsidP="00685AA1">
                            <w:pPr>
                              <w:keepNext/>
                              <w:jc w:val="center"/>
                            </w:pPr>
                            <w:r w:rsidRPr="00E3132F">
                              <w:drawing>
                                <wp:inline distT="0" distB="0" distL="0" distR="0" wp14:anchorId="57E19897" wp14:editId="04A7B1A6">
                                  <wp:extent cx="4440326" cy="2406043"/>
                                  <wp:effectExtent l="0" t="0" r="0" b="0"/>
                                  <wp:docPr id="1436422562" name="Picture 1" descr="A graph with blue lines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22562" name="Picture 1" descr="A graph with blue lines and green dots&#10;&#10;AI-generated content may be incorrect."/>
                                          <pic:cNvPicPr/>
                                        </pic:nvPicPr>
                                        <pic:blipFill>
                                          <a:blip r:embed="rId51"/>
                                          <a:stretch>
                                            <a:fillRect/>
                                          </a:stretch>
                                        </pic:blipFill>
                                        <pic:spPr>
                                          <a:xfrm>
                                            <a:off x="0" y="0"/>
                                            <a:ext cx="4492390" cy="2434254"/>
                                          </a:xfrm>
                                          <a:prstGeom prst="rect">
                                            <a:avLst/>
                                          </a:prstGeom>
                                        </pic:spPr>
                                      </pic:pic>
                                    </a:graphicData>
                                  </a:graphic>
                                </wp:inline>
                              </w:drawing>
                            </w:r>
                          </w:p>
                          <w:p w14:paraId="5F62279E" w14:textId="47DE0AFB" w:rsidR="00685AA1" w:rsidRPr="00E3132F" w:rsidRDefault="00685AA1" w:rsidP="00685AA1">
                            <w:pPr>
                              <w:pStyle w:val="Caption"/>
                            </w:pPr>
                            <w:r w:rsidRPr="00E3132F">
                              <w:t>Figure 24: SDG Overall Projection – New Zealand</w:t>
                            </w:r>
                            <w:r w:rsidR="00096145">
                              <w:t>. GoalScope (Seacor, 2025)</w:t>
                            </w:r>
                          </w:p>
                          <w:p w14:paraId="5396B66F" w14:textId="77777777" w:rsidR="00685AA1" w:rsidRPr="00E3132F" w:rsidRDefault="00685AA1" w:rsidP="00685AA1">
                            <w:r>
                              <w:t>s</w:t>
                            </w:r>
                          </w:p>
                        </w:txbxContent>
                      </wps:txbx>
                      <wps:bodyPr rot="0" vert="horz" wrap="square" lIns="91440" tIns="45720" rIns="91440" bIns="45720" anchor="t" anchorCtr="0">
                        <a:noAutofit/>
                      </wps:bodyPr>
                    </wps:wsp>
                  </a:graphicData>
                </a:graphic>
              </wp:inline>
            </w:drawing>
          </mc:Choice>
          <mc:Fallback>
            <w:pict>
              <v:shape w14:anchorId="11617A2A" id="_x0000_s1050" type="#_x0000_t202" style="width:450.35pt;height:21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" strokecolor="#f2f2f2 [3052]">
                <v:textbox>
                  <w:txbxContent>
                    <w:p w14:paraId="718D938B" w14:textId="77777777" w:rsidR="00685AA1" w:rsidRPr="00E3132F" w:rsidRDefault="00685AA1" w:rsidP="00685AA1">
                      <w:pPr>
                        <w:keepNext/>
                        <w:jc w:val="center"/>
                      </w:pPr>
                      <w:r w:rsidRPr="00E3132F">
                        <w:drawing>
                          <wp:inline distT="0" distB="0" distL="0" distR="0" wp14:anchorId="57E19897" wp14:editId="04A7B1A6">
                            <wp:extent cx="4440326" cy="2406043"/>
                            <wp:effectExtent l="0" t="0" r="0" b="0"/>
                            <wp:docPr id="1436422562" name="Picture 1" descr="A graph with blue lines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22562" name="Picture 1" descr="A graph with blue lines and green dots&#10;&#10;AI-generated content may be incorrect."/>
                                    <pic:cNvPicPr/>
                                  </pic:nvPicPr>
                                  <pic:blipFill>
                                    <a:blip r:embed="rId51"/>
                                    <a:stretch>
                                      <a:fillRect/>
                                    </a:stretch>
                                  </pic:blipFill>
                                  <pic:spPr>
                                    <a:xfrm>
                                      <a:off x="0" y="0"/>
                                      <a:ext cx="4492390" cy="2434254"/>
                                    </a:xfrm>
                                    <a:prstGeom prst="rect">
                                      <a:avLst/>
                                    </a:prstGeom>
                                  </pic:spPr>
                                </pic:pic>
                              </a:graphicData>
                            </a:graphic>
                          </wp:inline>
                        </w:drawing>
                      </w:r>
                    </w:p>
                    <w:p w14:paraId="5F62279E" w14:textId="47DE0AFB" w:rsidR="00685AA1" w:rsidRPr="00E3132F" w:rsidRDefault="00685AA1" w:rsidP="00685AA1">
                      <w:pPr>
                        <w:pStyle w:val="Caption"/>
                      </w:pPr>
                      <w:r w:rsidRPr="00E3132F">
                        <w:t>Figure 24: SDG Overall Projection – New Zealand</w:t>
                      </w:r>
                      <w:r w:rsidR="00096145">
                        <w:t>. GoalScope (Seacor, 2025)</w:t>
                      </w:r>
                    </w:p>
                    <w:p w14:paraId="5396B66F" w14:textId="77777777" w:rsidR="00685AA1" w:rsidRPr="00E3132F" w:rsidRDefault="00685AA1" w:rsidP="00685AA1">
                      <w:r>
                        <w:t>s</w:t>
                      </w:r>
                    </w:p>
                  </w:txbxContent>
                </v:textbox>
                <w10:anchorlock/>
              </v:shape>
            </w:pict>
          </mc:Fallback>
        </mc:AlternateContent>
      </w:r>
    </w:p>
    <w:p w14:paraId="362CB302" w14:textId="4B13B9A0" w:rsidR="000B0876" w:rsidRDefault="001E077B" w:rsidP="0083354E">
      <w:r w:rsidRPr="00CC4B1D">
        <w:t>Method not</w:t>
      </w:r>
      <w:r w:rsidR="00CC4B1D" w:rsidRPr="00CC4B1D">
        <w:t>e</w:t>
      </w:r>
      <w:r w:rsidR="00916D2B" w:rsidRPr="00CC4B1D">
        <w:t>:</w:t>
      </w:r>
      <w:r w:rsidRPr="00E3132F">
        <w:t xml:space="preserve"> </w:t>
      </w:r>
      <w:r w:rsidR="00685AA1">
        <w:t>Figure 24</w:t>
      </w:r>
      <w:r w:rsidRPr="00E3132F">
        <w:t xml:space="preserve"> shows a univariate forecast of New Zealand’s overall score with 80% and 95% prediction intervals</w:t>
      </w:r>
      <w:r w:rsidR="00CC4B1D">
        <w:t>.</w:t>
      </w:r>
    </w:p>
    <w:p w14:paraId="4CC6F3C5" w14:textId="0121A31C" w:rsidR="00FD2695" w:rsidRPr="00FD2695" w:rsidRDefault="00FD2695" w:rsidP="00FD2695">
      <w:pPr>
        <w:pStyle w:val="Heading3"/>
      </w:pPr>
      <w:bookmarkStart w:id="46" w:name="_Toc211306884"/>
      <w:r w:rsidRPr="00FD2695">
        <w:t>Forecasting New Zealand vs OECD on SDG 8 (Unemployment 2026 – 2030)</w:t>
      </w:r>
      <w:bookmarkEnd w:id="46"/>
    </w:p>
    <w:p w14:paraId="0782B253" w14:textId="0D6A783A" w:rsidR="00FD2695" w:rsidRPr="00FD2695" w:rsidRDefault="00FD2C91" w:rsidP="00FD2695">
      <w:r w:rsidRPr="00FD2695">
        <mc:AlternateContent>
          <mc:Choice Requires="wps">
            <w:drawing>
              <wp:anchor distT="45720" distB="45720" distL="114300" distR="114300" simplePos="0" relativeHeight="251651072" behindDoc="0" locked="0" layoutInCell="1" allowOverlap="1" wp14:anchorId="1EB6D2CC" wp14:editId="59C9B862">
                <wp:simplePos x="0" y="0"/>
                <wp:positionH relativeFrom="column">
                  <wp:posOffset>-48260</wp:posOffset>
                </wp:positionH>
                <wp:positionV relativeFrom="paragraph">
                  <wp:posOffset>348615</wp:posOffset>
                </wp:positionV>
                <wp:extent cx="3510915" cy="2130425"/>
                <wp:effectExtent l="0" t="0" r="13335" b="22225"/>
                <wp:wrapSquare wrapText="bothSides"/>
                <wp:docPr id="97726226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915" cy="2130425"/>
                        </a:xfrm>
                        <a:prstGeom prst="rect">
                          <a:avLst/>
                        </a:prstGeom>
                        <a:solidFill>
                          <a:srgbClr val="FFFFFF"/>
                        </a:solidFill>
                        <a:ln w="9525">
                          <a:solidFill>
                            <a:srgbClr val="000000"/>
                          </a:solidFill>
                          <a:miter lim="800000"/>
                          <a:headEnd/>
                          <a:tailEnd/>
                        </a:ln>
                      </wps:spPr>
                      <wps:txbx>
                        <w:txbxContent>
                          <w:p w14:paraId="49A53C5E" w14:textId="77777777" w:rsidR="00497D1C" w:rsidRDefault="00497D1C" w:rsidP="00497D1C">
                            <w:pPr>
                              <w:keepNext/>
                            </w:pPr>
                            <w:r>
                              <w:rPr>
                                <w:rFonts w:asciiTheme="minorHAnsi" w:hAnsiTheme="minorHAnsi"/>
                                <w:sz w:val="20"/>
                                <w:szCs w:val="20"/>
                                <w:lang w:eastAsia="en-NZ"/>
                              </w:rPr>
                              <w:drawing>
                                <wp:inline distT="0" distB="0" distL="0" distR="0" wp14:anchorId="6F43D45A" wp14:editId="6F02DA23">
                                  <wp:extent cx="3181985" cy="1598641"/>
                                  <wp:effectExtent l="0" t="0" r="0" b="1905"/>
                                  <wp:docPr id="19240842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01991" cy="1608692"/>
                                          </a:xfrm>
                                          <a:prstGeom prst="rect">
                                            <a:avLst/>
                                          </a:prstGeom>
                                          <a:noFill/>
                                          <a:ln>
                                            <a:noFill/>
                                          </a:ln>
                                        </pic:spPr>
                                      </pic:pic>
                                    </a:graphicData>
                                  </a:graphic>
                                </wp:inline>
                              </w:drawing>
                            </w:r>
                          </w:p>
                          <w:p w14:paraId="1490ADD6" w14:textId="17641E7D" w:rsidR="00C547EC" w:rsidRPr="00C547EC" w:rsidRDefault="00497D1C" w:rsidP="00C547EC">
                            <w:pPr>
                              <w:pStyle w:val="Caption"/>
                            </w:pPr>
                            <w:r>
                              <w:t>Figure 25: Score_sdg8_unemp forecast for New Zealand (2026–2030)</w:t>
                            </w:r>
                            <w:r w:rsidR="00C547EC">
                              <w:t>. SDG Predictions App (Ceka, 2025)</w:t>
                            </w:r>
                          </w:p>
                          <w:p w14:paraId="5A01CF49" w14:textId="77777777" w:rsidR="00C547EC" w:rsidRPr="00C547EC" w:rsidRDefault="00C547EC" w:rsidP="00C547EC"/>
                          <w:p w14:paraId="05196622" w14:textId="77777777" w:rsidR="00497D1C" w:rsidRDefault="00497D1C" w:rsidP="00497D1C">
                            <w:pPr>
                              <w:pStyle w:val="Caption"/>
                            </w:pPr>
                          </w:p>
                          <w:p w14:paraId="3A6FD4CF" w14:textId="77777777" w:rsidR="00497D1C" w:rsidRDefault="00497D1C" w:rsidP="00497D1C"/>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6D2CC" id="Text Box 34" o:spid="_x0000_s1051" type="#_x0000_t202" style="position:absolute;left:0;text-align:left;margin-left:-3.8pt;margin-top:27.45pt;width:276.45pt;height:167.7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">
                <v:textbox>
                  <w:txbxContent>
                    <w:p w14:paraId="49A53C5E" w14:textId="77777777" w:rsidR="00497D1C" w:rsidRDefault="00497D1C" w:rsidP="00497D1C">
                      <w:pPr>
                        <w:keepNext/>
                      </w:pPr>
                      <w:r>
                        <w:rPr>
                          <w:rFonts w:asciiTheme="minorHAnsi" w:hAnsiTheme="minorHAnsi"/>
                          <w:sz w:val="20"/>
                          <w:szCs w:val="20"/>
                          <w:lang w:eastAsia="en-NZ"/>
                        </w:rPr>
                        <w:drawing>
                          <wp:inline distT="0" distB="0" distL="0" distR="0" wp14:anchorId="6F43D45A" wp14:editId="6F02DA23">
                            <wp:extent cx="3181985" cy="1598641"/>
                            <wp:effectExtent l="0" t="0" r="0" b="1905"/>
                            <wp:docPr id="19240842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01991" cy="1608692"/>
                                    </a:xfrm>
                                    <a:prstGeom prst="rect">
                                      <a:avLst/>
                                    </a:prstGeom>
                                    <a:noFill/>
                                    <a:ln>
                                      <a:noFill/>
                                    </a:ln>
                                  </pic:spPr>
                                </pic:pic>
                              </a:graphicData>
                            </a:graphic>
                          </wp:inline>
                        </w:drawing>
                      </w:r>
                    </w:p>
                    <w:p w14:paraId="1490ADD6" w14:textId="17641E7D" w:rsidR="00C547EC" w:rsidRPr="00C547EC" w:rsidRDefault="00497D1C" w:rsidP="00C547EC">
                      <w:pPr>
                        <w:pStyle w:val="Caption"/>
                      </w:pPr>
                      <w:r>
                        <w:t>Figure 25: Score_sdg8_unemp forecast for New Zealand (2026–2030)</w:t>
                      </w:r>
                      <w:r w:rsidR="00C547EC">
                        <w:t>. SDG Predictions App (Ceka, 2025)</w:t>
                      </w:r>
                    </w:p>
                    <w:p w14:paraId="5A01CF49" w14:textId="77777777" w:rsidR="00C547EC" w:rsidRPr="00C547EC" w:rsidRDefault="00C547EC" w:rsidP="00C547EC"/>
                    <w:p w14:paraId="05196622" w14:textId="77777777" w:rsidR="00497D1C" w:rsidRDefault="00497D1C" w:rsidP="00497D1C">
                      <w:pPr>
                        <w:pStyle w:val="Caption"/>
                      </w:pPr>
                    </w:p>
                    <w:p w14:paraId="3A6FD4CF" w14:textId="77777777" w:rsidR="00497D1C" w:rsidRDefault="00497D1C" w:rsidP="00497D1C"/>
                  </w:txbxContent>
                </v:textbox>
                <w10:wrap type="square"/>
              </v:shape>
            </w:pict>
          </mc:Fallback>
        </mc:AlternateContent>
      </w:r>
      <w:r w:rsidR="00FD2695" w:rsidRPr="00FD2695">
        <w:t xml:space="preserve">Figures </w:t>
      </w:r>
      <w:r w:rsidR="003C6C4C" w:rsidRPr="003C6C4C">
        <w:t>2</w:t>
      </w:r>
      <w:r w:rsidR="00547E7F">
        <w:t>5</w:t>
      </w:r>
      <w:r w:rsidR="00FD2695" w:rsidRPr="00FD2695">
        <w:t xml:space="preserve"> and </w:t>
      </w:r>
      <w:r w:rsidR="003C6C4C" w:rsidRPr="003C6C4C">
        <w:t>Figure 2</w:t>
      </w:r>
      <w:r w:rsidR="00547E7F">
        <w:t>6</w:t>
      </w:r>
      <w:r w:rsidR="00FD2695" w:rsidRPr="00FD2695">
        <w:t xml:space="preserve"> illustrate unemployment projections for New Zealand and the OECD average under SDG 8 (Decent Work and Economic Growth). The results reveal a consistent gap favouring New Zealand’s labour-market performance. Between 2026 and 2030, Random Forest and ARIMA (1, 1, 1) models predict unemployment-adjusted scores of </w:t>
      </w:r>
      <w:r w:rsidR="00FD2695" w:rsidRPr="00FD2695">
        <w:lastRenderedPageBreak/>
        <w:t>≈ 83–85 for New Zealand (R² = 0.967, RMSE = 0.70) versus ≈ 80 for the OECD mean (R² = 0.09).</w:t>
      </w:r>
    </w:p>
    <w:p w14:paraId="31D7C547" w14:textId="47B8D5BC" w:rsidR="00FD2695" w:rsidRDefault="00FD2C91" w:rsidP="00FD2695">
      <w:r w:rsidRPr="00FD2695">
        <mc:AlternateContent>
          <mc:Choice Requires="wps">
            <w:drawing>
              <wp:anchor distT="45720" distB="45720" distL="114300" distR="114300" simplePos="0" relativeHeight="251661312" behindDoc="0" locked="0" layoutInCell="1" allowOverlap="1" wp14:anchorId="32FE2E2F" wp14:editId="44C374D7">
                <wp:simplePos x="0" y="0"/>
                <wp:positionH relativeFrom="column">
                  <wp:posOffset>-16510</wp:posOffset>
                </wp:positionH>
                <wp:positionV relativeFrom="paragraph">
                  <wp:posOffset>873125</wp:posOffset>
                </wp:positionV>
                <wp:extent cx="3510915" cy="2218055"/>
                <wp:effectExtent l="0" t="0" r="13335" b="10795"/>
                <wp:wrapSquare wrapText="bothSides"/>
                <wp:docPr id="54855702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915" cy="2218055"/>
                        </a:xfrm>
                        <a:prstGeom prst="rect">
                          <a:avLst/>
                        </a:prstGeom>
                        <a:solidFill>
                          <a:srgbClr val="FFFFFF"/>
                        </a:solidFill>
                        <a:ln w="9525">
                          <a:solidFill>
                            <a:srgbClr val="000000"/>
                          </a:solidFill>
                          <a:miter lim="800000"/>
                          <a:headEnd/>
                          <a:tailEnd/>
                        </a:ln>
                      </wps:spPr>
                      <wps:txbx>
                        <w:txbxContent>
                          <w:p w14:paraId="370E9CF1" w14:textId="77777777" w:rsidR="00497D1C" w:rsidRDefault="00497D1C" w:rsidP="00497D1C">
                            <w:pPr>
                              <w:keepNext/>
                            </w:pPr>
                            <w:r>
                              <w:rPr>
                                <w:rFonts w:asciiTheme="minorHAnsi" w:hAnsiTheme="minorHAnsi"/>
                                <w:sz w:val="20"/>
                                <w:szCs w:val="20"/>
                                <w:lang w:eastAsia="en-NZ"/>
                              </w:rPr>
                              <w:drawing>
                                <wp:inline distT="0" distB="0" distL="0" distR="0" wp14:anchorId="7BE8A343" wp14:editId="61A6ED4B">
                                  <wp:extent cx="3390926" cy="1762964"/>
                                  <wp:effectExtent l="0" t="0" r="0" b="8890"/>
                                  <wp:docPr id="16511030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01660" cy="1768545"/>
                                          </a:xfrm>
                                          <a:prstGeom prst="rect">
                                            <a:avLst/>
                                          </a:prstGeom>
                                          <a:noFill/>
                                          <a:ln>
                                            <a:noFill/>
                                          </a:ln>
                                        </pic:spPr>
                                      </pic:pic>
                                    </a:graphicData>
                                  </a:graphic>
                                </wp:inline>
                              </w:drawing>
                            </w:r>
                          </w:p>
                          <w:p w14:paraId="46A7ABC8" w14:textId="282ADC6B" w:rsidR="00497D1C" w:rsidRDefault="00497D1C" w:rsidP="00497D1C">
                            <w:pPr>
                              <w:pStyle w:val="Caption"/>
                            </w:pPr>
                            <w:r>
                              <w:t>Figure 26: Score_sdg8_unemp forecast for OECD (2026–2030)</w:t>
                            </w:r>
                            <w:r w:rsidR="007A02B1">
                              <w:t>. SDG Predictions App (Ceka, 2025)</w:t>
                            </w:r>
                          </w:p>
                          <w:p w14:paraId="2975F684" w14:textId="77777777" w:rsidR="00497D1C" w:rsidRDefault="00497D1C" w:rsidP="00497D1C">
                            <w:pPr>
                              <w:pStyle w:val="Caption"/>
                            </w:pPr>
                          </w:p>
                          <w:p w14:paraId="2D7EFE25" w14:textId="77777777" w:rsidR="00497D1C" w:rsidRDefault="00497D1C" w:rsidP="00497D1C"/>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E2E2F" id="Text Box 32" o:spid="_x0000_s1052" type="#_x0000_t202" style="position:absolute;left:0;text-align:left;margin-left:-1.3pt;margin-top:68.75pt;width:276.45pt;height:174.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">
                <v:textbox>
                  <w:txbxContent>
                    <w:p w14:paraId="370E9CF1" w14:textId="77777777" w:rsidR="00497D1C" w:rsidRDefault="00497D1C" w:rsidP="00497D1C">
                      <w:pPr>
                        <w:keepNext/>
                      </w:pPr>
                      <w:r>
                        <w:rPr>
                          <w:rFonts w:asciiTheme="minorHAnsi" w:hAnsiTheme="minorHAnsi"/>
                          <w:sz w:val="20"/>
                          <w:szCs w:val="20"/>
                          <w:lang w:eastAsia="en-NZ"/>
                        </w:rPr>
                        <w:drawing>
                          <wp:inline distT="0" distB="0" distL="0" distR="0" wp14:anchorId="7BE8A343" wp14:editId="61A6ED4B">
                            <wp:extent cx="3390926" cy="1762964"/>
                            <wp:effectExtent l="0" t="0" r="0" b="8890"/>
                            <wp:docPr id="16511030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01660" cy="1768545"/>
                                    </a:xfrm>
                                    <a:prstGeom prst="rect">
                                      <a:avLst/>
                                    </a:prstGeom>
                                    <a:noFill/>
                                    <a:ln>
                                      <a:noFill/>
                                    </a:ln>
                                  </pic:spPr>
                                </pic:pic>
                              </a:graphicData>
                            </a:graphic>
                          </wp:inline>
                        </w:drawing>
                      </w:r>
                    </w:p>
                    <w:p w14:paraId="46A7ABC8" w14:textId="282ADC6B" w:rsidR="00497D1C" w:rsidRDefault="00497D1C" w:rsidP="00497D1C">
                      <w:pPr>
                        <w:pStyle w:val="Caption"/>
                      </w:pPr>
                      <w:r>
                        <w:t>Figure 26: Score_sdg8_unemp forecast for OECD (2026–2030)</w:t>
                      </w:r>
                      <w:r w:rsidR="007A02B1">
                        <w:t>. SDG Predictions App (Ceka, 2025)</w:t>
                      </w:r>
                    </w:p>
                    <w:p w14:paraId="2975F684" w14:textId="77777777" w:rsidR="00497D1C" w:rsidRDefault="00497D1C" w:rsidP="00497D1C">
                      <w:pPr>
                        <w:pStyle w:val="Caption"/>
                      </w:pPr>
                    </w:p>
                    <w:p w14:paraId="2D7EFE25" w14:textId="77777777" w:rsidR="00497D1C" w:rsidRDefault="00497D1C" w:rsidP="00497D1C"/>
                  </w:txbxContent>
                </v:textbox>
                <w10:wrap type="square"/>
              </v:shape>
            </w:pict>
          </mc:Fallback>
        </mc:AlternateContent>
      </w:r>
      <w:r w:rsidR="00FD2695" w:rsidRPr="00FD2695">
        <w:t>The divergence highlights New Zealand’s resilient employment framework—anchored in targeted job creation, digital-sector expansion, and adaptive labour policies</w:t>
      </w:r>
      <w:r w:rsidR="00A73014">
        <w:t>.</w:t>
      </w:r>
      <w:r w:rsidR="00FD2695" w:rsidRPr="00FD2695">
        <w:t>In contrast, OECD-wide forecasts indicate slower post-pandemic normalisation and structural rigidity in certain member economies. Random Forest captures New Zealand’s low volatility, while ARIMA signals gradual regional convergence, suggesting balanced recovery across advanced economies by 2030.</w:t>
      </w:r>
      <w:r>
        <w:t xml:space="preserve"> </w:t>
      </w:r>
      <w:r w:rsidR="00FD2695" w:rsidRPr="00FD2695">
        <w:t>Overall, the forecasts affirm that New Zealand will sustain lower unemployment and stronger labour-market stability than the OECD average through 2030, supported by policy agility and digital transformation. These results align with global labour market studies highlighting that smaller, flexible economies achieve faster employment recovery and inclusive growth in the post-COVID era</w:t>
      </w:r>
      <w:r w:rsidR="00A666F8">
        <w:t>.</w:t>
      </w:r>
    </w:p>
    <w:p w14:paraId="75D62D24" w14:textId="10CCAE4F" w:rsidR="003B1217" w:rsidRDefault="003B1217" w:rsidP="003B1217">
      <w:pPr>
        <w:pStyle w:val="Heading3"/>
        <w:rPr>
          <w:i/>
          <w:iCs/>
          <w:lang w:eastAsia="en-NZ"/>
        </w:rPr>
      </w:pPr>
      <w:bookmarkStart w:id="47" w:name="_Toc211306885"/>
      <w:r w:rsidRPr="00EA440E">
        <w:rPr>
          <w:lang w:eastAsia="en-NZ"/>
        </w:rPr>
        <w:t>Forecasting New Zealand’s Goal 3 and Goal 13 (2026–2030)</w:t>
      </w:r>
      <w:bookmarkEnd w:id="47"/>
    </w:p>
    <w:p w14:paraId="60244490" w14:textId="45359846" w:rsidR="003B1217" w:rsidRDefault="003B1217" w:rsidP="003B1217">
      <w:pPr>
        <w:rPr>
          <w:lang w:eastAsia="en-NZ"/>
        </w:rPr>
      </w:pPr>
      <w:r>
        <w:rPr>
          <w:lang w:eastAsia="en-NZ"/>
        </w:rPr>
        <mc:AlternateContent>
          <mc:Choice Requires="wps">
            <w:drawing>
              <wp:anchor distT="45720" distB="45720" distL="114300" distR="114300" simplePos="0" relativeHeight="251663360" behindDoc="0" locked="0" layoutInCell="1" allowOverlap="1" wp14:anchorId="4909BA13" wp14:editId="196625C3">
                <wp:simplePos x="0" y="0"/>
                <wp:positionH relativeFrom="column">
                  <wp:posOffset>15875</wp:posOffset>
                </wp:positionH>
                <wp:positionV relativeFrom="paragraph">
                  <wp:posOffset>355600</wp:posOffset>
                </wp:positionV>
                <wp:extent cx="3505200" cy="2170430"/>
                <wp:effectExtent l="0" t="0" r="19050" b="20320"/>
                <wp:wrapSquare wrapText="bothSides"/>
                <wp:docPr id="1962858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2170430"/>
                        </a:xfrm>
                        <a:prstGeom prst="rect">
                          <a:avLst/>
                        </a:prstGeom>
                        <a:solidFill>
                          <a:srgbClr val="FFFFFF"/>
                        </a:solidFill>
                        <a:ln w="9525">
                          <a:solidFill>
                            <a:srgbClr val="000000"/>
                          </a:solidFill>
                          <a:miter lim="800000"/>
                          <a:headEnd/>
                          <a:tailEnd/>
                        </a:ln>
                      </wps:spPr>
                      <wps:txbx>
                        <w:txbxContent>
                          <w:p w14:paraId="1C91FF40" w14:textId="353B9AB1" w:rsidR="003B1217" w:rsidRPr="00EA440E" w:rsidRDefault="003B1217" w:rsidP="003B1217">
                            <w:pPr>
                              <w:keepNext/>
                            </w:pPr>
                            <w:r>
                              <w:drawing>
                                <wp:inline distT="0" distB="0" distL="0" distR="0" wp14:anchorId="4694EB6C" wp14:editId="32F5636D">
                                  <wp:extent cx="3409950" cy="1716562"/>
                                  <wp:effectExtent l="0" t="0" r="0" b="0"/>
                                  <wp:docPr id="7547431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43153" name="Picture 754743153"/>
                                          <pic:cNvPicPr/>
                                        </pic:nvPicPr>
                                        <pic:blipFill>
                                          <a:blip r:embed="rId54"/>
                                          <a:stretch>
                                            <a:fillRect/>
                                          </a:stretch>
                                        </pic:blipFill>
                                        <pic:spPr>
                                          <a:xfrm>
                                            <a:off x="0" y="0"/>
                                            <a:ext cx="3418906" cy="1721070"/>
                                          </a:xfrm>
                                          <a:prstGeom prst="rect">
                                            <a:avLst/>
                                          </a:prstGeom>
                                        </pic:spPr>
                                      </pic:pic>
                                    </a:graphicData>
                                  </a:graphic>
                                </wp:inline>
                              </w:drawing>
                            </w:r>
                            <w:r w:rsidR="00896F76">
                              <w:rPr>
                                <w:i/>
                                <w:iCs/>
                                <w:color w:val="1F497D" w:themeColor="text2"/>
                                <w:sz w:val="18"/>
                                <w:szCs w:val="18"/>
                              </w:rPr>
                              <w:t>Figure 2</w:t>
                            </w:r>
                            <w:r w:rsidR="004E2A13">
                              <w:rPr>
                                <w:i/>
                                <w:iCs/>
                                <w:color w:val="1F497D" w:themeColor="text2"/>
                                <w:sz w:val="18"/>
                                <w:szCs w:val="18"/>
                              </w:rPr>
                              <w:t>7</w:t>
                            </w:r>
                            <w:r w:rsidR="00896F76">
                              <w:rPr>
                                <w:i/>
                                <w:iCs/>
                                <w:color w:val="1F497D" w:themeColor="text2"/>
                                <w:sz w:val="18"/>
                                <w:szCs w:val="18"/>
                              </w:rPr>
                              <w:t xml:space="preserve">: SDG </w:t>
                            </w:r>
                            <w:r w:rsidRPr="00EA440E">
                              <w:rPr>
                                <w:i/>
                                <w:iCs/>
                                <w:color w:val="1F497D" w:themeColor="text2"/>
                                <w:sz w:val="18"/>
                                <w:szCs w:val="18"/>
                              </w:rPr>
                              <w:t>3</w:t>
                            </w:r>
                            <w:r w:rsidR="00896F76">
                              <w:rPr>
                                <w:i/>
                                <w:iCs/>
                                <w:color w:val="1F497D" w:themeColor="text2"/>
                                <w:sz w:val="18"/>
                                <w:szCs w:val="18"/>
                              </w:rPr>
                              <w:t xml:space="preserve"> </w:t>
                            </w:r>
                            <w:r w:rsidRPr="00EA440E">
                              <w:rPr>
                                <w:i/>
                                <w:iCs/>
                                <w:color w:val="1F497D" w:themeColor="text2"/>
                                <w:sz w:val="18"/>
                                <w:szCs w:val="18"/>
                              </w:rPr>
                              <w:t>forecast for New Zealand (2026–2030)</w:t>
                            </w:r>
                            <w:r w:rsidR="0081626E">
                              <w:rPr>
                                <w:i/>
                                <w:iCs/>
                                <w:color w:val="1F497D" w:themeColor="text2"/>
                                <w:sz w:val="18"/>
                                <w:szCs w:val="18"/>
                              </w:rPr>
                              <w:t>. SDG Predictions App (Ceka, 2025)</w:t>
                            </w:r>
                          </w:p>
                          <w:p w14:paraId="27F9FDB0" w14:textId="77777777" w:rsidR="003B1217" w:rsidRDefault="003B1217" w:rsidP="003B1217">
                            <w:pPr>
                              <w:pStyle w:val="Caption"/>
                            </w:pPr>
                          </w:p>
                          <w:p w14:paraId="3C860EB2" w14:textId="77777777" w:rsidR="003B1217" w:rsidRDefault="003B1217" w:rsidP="003B12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09BA13" id="_x0000_s1053" type="#_x0000_t202" style="position:absolute;left:0;text-align:left;margin-left:1.25pt;margin-top:28pt;width:276pt;height:170.9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">
                <v:textbox>
                  <w:txbxContent>
                    <w:p w14:paraId="1C91FF40" w14:textId="353B9AB1" w:rsidR="003B1217" w:rsidRPr="00EA440E" w:rsidRDefault="003B1217" w:rsidP="003B1217">
                      <w:pPr>
                        <w:keepNext/>
                      </w:pPr>
                      <w:r>
                        <w:drawing>
                          <wp:inline distT="0" distB="0" distL="0" distR="0" wp14:anchorId="4694EB6C" wp14:editId="32F5636D">
                            <wp:extent cx="3409950" cy="1716562"/>
                            <wp:effectExtent l="0" t="0" r="0" b="0"/>
                            <wp:docPr id="7547431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43153" name="Picture 754743153"/>
                                    <pic:cNvPicPr/>
                                  </pic:nvPicPr>
                                  <pic:blipFill>
                                    <a:blip r:embed="rId54"/>
                                    <a:stretch>
                                      <a:fillRect/>
                                    </a:stretch>
                                  </pic:blipFill>
                                  <pic:spPr>
                                    <a:xfrm>
                                      <a:off x="0" y="0"/>
                                      <a:ext cx="3418906" cy="1721070"/>
                                    </a:xfrm>
                                    <a:prstGeom prst="rect">
                                      <a:avLst/>
                                    </a:prstGeom>
                                  </pic:spPr>
                                </pic:pic>
                              </a:graphicData>
                            </a:graphic>
                          </wp:inline>
                        </w:drawing>
                      </w:r>
                      <w:r w:rsidR="00896F76">
                        <w:rPr>
                          <w:i/>
                          <w:iCs/>
                          <w:color w:val="1F497D" w:themeColor="text2"/>
                          <w:sz w:val="18"/>
                          <w:szCs w:val="18"/>
                        </w:rPr>
                        <w:t>Figure 2</w:t>
                      </w:r>
                      <w:r w:rsidR="004E2A13">
                        <w:rPr>
                          <w:i/>
                          <w:iCs/>
                          <w:color w:val="1F497D" w:themeColor="text2"/>
                          <w:sz w:val="18"/>
                          <w:szCs w:val="18"/>
                        </w:rPr>
                        <w:t>7</w:t>
                      </w:r>
                      <w:r w:rsidR="00896F76">
                        <w:rPr>
                          <w:i/>
                          <w:iCs/>
                          <w:color w:val="1F497D" w:themeColor="text2"/>
                          <w:sz w:val="18"/>
                          <w:szCs w:val="18"/>
                        </w:rPr>
                        <w:t xml:space="preserve">: SDG </w:t>
                      </w:r>
                      <w:r w:rsidRPr="00EA440E">
                        <w:rPr>
                          <w:i/>
                          <w:iCs/>
                          <w:color w:val="1F497D" w:themeColor="text2"/>
                          <w:sz w:val="18"/>
                          <w:szCs w:val="18"/>
                        </w:rPr>
                        <w:t>3</w:t>
                      </w:r>
                      <w:r w:rsidR="00896F76">
                        <w:rPr>
                          <w:i/>
                          <w:iCs/>
                          <w:color w:val="1F497D" w:themeColor="text2"/>
                          <w:sz w:val="18"/>
                          <w:szCs w:val="18"/>
                        </w:rPr>
                        <w:t xml:space="preserve"> </w:t>
                      </w:r>
                      <w:r w:rsidRPr="00EA440E">
                        <w:rPr>
                          <w:i/>
                          <w:iCs/>
                          <w:color w:val="1F497D" w:themeColor="text2"/>
                          <w:sz w:val="18"/>
                          <w:szCs w:val="18"/>
                        </w:rPr>
                        <w:t>forecast for New Zealand (2026–2030)</w:t>
                      </w:r>
                      <w:r w:rsidR="0081626E">
                        <w:rPr>
                          <w:i/>
                          <w:iCs/>
                          <w:color w:val="1F497D" w:themeColor="text2"/>
                          <w:sz w:val="18"/>
                          <w:szCs w:val="18"/>
                        </w:rPr>
                        <w:t>. SDG Predictions App (Ceka, 2025)</w:t>
                      </w:r>
                    </w:p>
                    <w:p w14:paraId="27F9FDB0" w14:textId="77777777" w:rsidR="003B1217" w:rsidRDefault="003B1217" w:rsidP="003B1217">
                      <w:pPr>
                        <w:pStyle w:val="Caption"/>
                      </w:pPr>
                    </w:p>
                    <w:p w14:paraId="3C860EB2" w14:textId="77777777" w:rsidR="003B1217" w:rsidRDefault="003B1217" w:rsidP="003B1217"/>
                  </w:txbxContent>
                </v:textbox>
                <w10:wrap type="square"/>
              </v:shape>
            </w:pict>
          </mc:Fallback>
        </mc:AlternateContent>
      </w:r>
      <w:r>
        <w:rPr>
          <w:lang w:eastAsia="en-NZ"/>
        </w:rPr>
        <w:t>Figure 2</w:t>
      </w:r>
      <w:r w:rsidR="004E2A13">
        <w:rPr>
          <w:lang w:eastAsia="en-NZ"/>
        </w:rPr>
        <w:t>7</w:t>
      </w:r>
      <w:r>
        <w:rPr>
          <w:lang w:eastAsia="en-NZ"/>
        </w:rPr>
        <w:t xml:space="preserve"> and Figure 2</w:t>
      </w:r>
      <w:r w:rsidR="004E2A13">
        <w:rPr>
          <w:lang w:eastAsia="en-NZ"/>
        </w:rPr>
        <w:t>8</w:t>
      </w:r>
      <w:r>
        <w:rPr>
          <w:lang w:eastAsia="en-NZ"/>
        </w:rPr>
        <w:t xml:space="preserve"> shows </w:t>
      </w:r>
      <w:r w:rsidRPr="00C62E48">
        <w:rPr>
          <w:lang w:eastAsia="en-NZ"/>
        </w:rPr>
        <w:t>New Zealand’s forecasts reveal a clear contrast between social and environmental progress. Health and Well-Being (</w:t>
      </w:r>
      <w:r w:rsidR="00F854EE">
        <w:rPr>
          <w:lang w:eastAsia="en-NZ"/>
        </w:rPr>
        <w:t>SDG</w:t>
      </w:r>
      <w:r w:rsidRPr="00C62E48">
        <w:rPr>
          <w:lang w:eastAsia="en-NZ"/>
        </w:rPr>
        <w:t xml:space="preserve"> 3) maintains a steady upward path, rising from ≈ 94.8 in 2025 to 95.9 by 2030, reflecting sustained investment in public healthcare, preventive programs, and equitable access. In contrast, Climate Action (</w:t>
      </w:r>
      <w:r w:rsidR="00F854EE">
        <w:rPr>
          <w:lang w:eastAsia="en-NZ"/>
        </w:rPr>
        <w:t>SDG</w:t>
      </w:r>
      <w:r w:rsidRPr="00C62E48">
        <w:rPr>
          <w:lang w:eastAsia="en-NZ"/>
        </w:rPr>
        <w:t xml:space="preserve"> 13) remains almost flat around 75 points, showing limited emission-reduction momentum despite active policy dialogue</w:t>
      </w:r>
      <w:r w:rsidR="0069272F">
        <w:rPr>
          <w:lang w:eastAsia="en-NZ"/>
        </w:rPr>
        <w:t>.</w:t>
      </w:r>
    </w:p>
    <w:p w14:paraId="6A672093" w14:textId="77777777" w:rsidR="003B1217" w:rsidRDefault="003B1217" w:rsidP="003B1217">
      <w:pPr>
        <w:rPr>
          <w:lang w:eastAsia="en-NZ"/>
        </w:rPr>
      </w:pPr>
    </w:p>
    <w:p w14:paraId="1159A68F" w14:textId="77777777" w:rsidR="003B1217" w:rsidRPr="00C62E48" w:rsidRDefault="003B1217" w:rsidP="003B1217">
      <w:pPr>
        <w:rPr>
          <w:lang w:eastAsia="en-NZ"/>
        </w:rPr>
      </w:pPr>
    </w:p>
    <w:p w14:paraId="375778CB" w14:textId="710083F3" w:rsidR="003B1217" w:rsidRDefault="003B1217" w:rsidP="003B1217">
      <w:pPr>
        <w:rPr>
          <w:lang w:eastAsia="en-NZ"/>
        </w:rPr>
      </w:pPr>
      <w:r>
        <w:rPr>
          <w:lang w:eastAsia="en-NZ"/>
        </w:rPr>
        <w:lastRenderedPageBreak/>
        <mc:AlternateContent>
          <mc:Choice Requires="wps">
            <w:drawing>
              <wp:anchor distT="45720" distB="45720" distL="114300" distR="114300" simplePos="0" relativeHeight="251669504" behindDoc="0" locked="0" layoutInCell="1" allowOverlap="1" wp14:anchorId="7DCD80BA" wp14:editId="4C07DF6F">
                <wp:simplePos x="0" y="0"/>
                <wp:positionH relativeFrom="column">
                  <wp:posOffset>9525</wp:posOffset>
                </wp:positionH>
                <wp:positionV relativeFrom="paragraph">
                  <wp:posOffset>381000</wp:posOffset>
                </wp:positionV>
                <wp:extent cx="3590925" cy="2133600"/>
                <wp:effectExtent l="0" t="0" r="28575" b="19050"/>
                <wp:wrapSquare wrapText="bothSides"/>
                <wp:docPr id="487734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0925" cy="2133600"/>
                        </a:xfrm>
                        <a:prstGeom prst="rect">
                          <a:avLst/>
                        </a:prstGeom>
                        <a:solidFill>
                          <a:srgbClr val="FFFFFF"/>
                        </a:solidFill>
                        <a:ln w="9525">
                          <a:solidFill>
                            <a:srgbClr val="000000"/>
                          </a:solidFill>
                          <a:miter lim="800000"/>
                          <a:headEnd/>
                          <a:tailEnd/>
                        </a:ln>
                      </wps:spPr>
                      <wps:txbx>
                        <w:txbxContent>
                          <w:p w14:paraId="0A1DB473" w14:textId="77777777" w:rsidR="003B1217" w:rsidRDefault="003B1217" w:rsidP="003B1217">
                            <w:pPr>
                              <w:keepNext/>
                            </w:pPr>
                            <w:r>
                              <w:drawing>
                                <wp:inline distT="0" distB="0" distL="0" distR="0" wp14:anchorId="7CDB506B" wp14:editId="5CD9BA2B">
                                  <wp:extent cx="3705225" cy="1623021"/>
                                  <wp:effectExtent l="0" t="0" r="0" b="0"/>
                                  <wp:docPr id="7705692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9292" name="Picture 770569292"/>
                                          <pic:cNvPicPr/>
                                        </pic:nvPicPr>
                                        <pic:blipFill>
                                          <a:blip r:embed="rId55"/>
                                          <a:stretch>
                                            <a:fillRect/>
                                          </a:stretch>
                                        </pic:blipFill>
                                        <pic:spPr>
                                          <a:xfrm>
                                            <a:off x="0" y="0"/>
                                            <a:ext cx="3731737" cy="1634634"/>
                                          </a:xfrm>
                                          <a:prstGeom prst="rect">
                                            <a:avLst/>
                                          </a:prstGeom>
                                        </pic:spPr>
                                      </pic:pic>
                                    </a:graphicData>
                                  </a:graphic>
                                </wp:inline>
                              </w:drawing>
                            </w:r>
                          </w:p>
                          <w:p w14:paraId="30A051FB" w14:textId="6599CE39" w:rsidR="003B1217" w:rsidRPr="00EA440E" w:rsidRDefault="00896F76" w:rsidP="003B1217">
                            <w:pPr>
                              <w:keepNext/>
                              <w:rPr>
                                <w:i/>
                                <w:iCs/>
                                <w:sz w:val="18"/>
                                <w:szCs w:val="18"/>
                              </w:rPr>
                            </w:pPr>
                            <w:r>
                              <w:rPr>
                                <w:i/>
                                <w:iCs/>
                                <w:color w:val="1F497D" w:themeColor="text2"/>
                                <w:sz w:val="18"/>
                                <w:szCs w:val="18"/>
                              </w:rPr>
                              <w:t>Figure 2</w:t>
                            </w:r>
                            <w:r w:rsidR="004E2A13">
                              <w:rPr>
                                <w:i/>
                                <w:iCs/>
                                <w:color w:val="1F497D" w:themeColor="text2"/>
                                <w:sz w:val="18"/>
                                <w:szCs w:val="18"/>
                              </w:rPr>
                              <w:t>8</w:t>
                            </w:r>
                            <w:r>
                              <w:rPr>
                                <w:i/>
                                <w:iCs/>
                                <w:color w:val="1F497D" w:themeColor="text2"/>
                                <w:sz w:val="18"/>
                                <w:szCs w:val="18"/>
                              </w:rPr>
                              <w:t xml:space="preserve">: SDG </w:t>
                            </w:r>
                            <w:r w:rsidR="003B1217">
                              <w:rPr>
                                <w:i/>
                                <w:iCs/>
                                <w:color w:val="1F497D" w:themeColor="text2"/>
                                <w:sz w:val="18"/>
                                <w:szCs w:val="18"/>
                              </w:rPr>
                              <w:t>13</w:t>
                            </w:r>
                            <w:r w:rsidR="003B1217" w:rsidRPr="00C62E48">
                              <w:rPr>
                                <w:i/>
                                <w:iCs/>
                                <w:color w:val="1F497D" w:themeColor="text2"/>
                                <w:sz w:val="18"/>
                                <w:szCs w:val="18"/>
                              </w:rPr>
                              <w:t xml:space="preserve"> forecast for New Zealand (2026–2030)</w:t>
                            </w:r>
                            <w:r w:rsidR="00634439">
                              <w:rPr>
                                <w:i/>
                                <w:iCs/>
                                <w:color w:val="1F497D" w:themeColor="text2"/>
                                <w:sz w:val="18"/>
                                <w:szCs w:val="18"/>
                              </w:rPr>
                              <w:t>. SDG Predictions App (Ceka, 2025)</w:t>
                            </w:r>
                          </w:p>
                          <w:p w14:paraId="1175D87D" w14:textId="77777777" w:rsidR="003B1217" w:rsidRDefault="003B1217" w:rsidP="003B1217">
                            <w:pPr>
                              <w:pStyle w:val="Caption"/>
                            </w:pPr>
                          </w:p>
                          <w:p w14:paraId="70FEDFC4" w14:textId="77777777" w:rsidR="003B1217" w:rsidRDefault="003B1217" w:rsidP="003B12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D80BA" id="_x0000_s1054" type="#_x0000_t202" style="position:absolute;left:0;text-align:left;margin-left:.75pt;margin-top:30pt;width:282.75pt;height:16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">
                <v:textbox>
                  <w:txbxContent>
                    <w:p w14:paraId="0A1DB473" w14:textId="77777777" w:rsidR="003B1217" w:rsidRDefault="003B1217" w:rsidP="003B1217">
                      <w:pPr>
                        <w:keepNext/>
                      </w:pPr>
                      <w:r>
                        <w:drawing>
                          <wp:inline distT="0" distB="0" distL="0" distR="0" wp14:anchorId="7CDB506B" wp14:editId="5CD9BA2B">
                            <wp:extent cx="3705225" cy="1623021"/>
                            <wp:effectExtent l="0" t="0" r="0" b="0"/>
                            <wp:docPr id="7705692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9292" name="Picture 770569292"/>
                                    <pic:cNvPicPr/>
                                  </pic:nvPicPr>
                                  <pic:blipFill>
                                    <a:blip r:embed="rId55"/>
                                    <a:stretch>
                                      <a:fillRect/>
                                    </a:stretch>
                                  </pic:blipFill>
                                  <pic:spPr>
                                    <a:xfrm>
                                      <a:off x="0" y="0"/>
                                      <a:ext cx="3731737" cy="1634634"/>
                                    </a:xfrm>
                                    <a:prstGeom prst="rect">
                                      <a:avLst/>
                                    </a:prstGeom>
                                  </pic:spPr>
                                </pic:pic>
                              </a:graphicData>
                            </a:graphic>
                          </wp:inline>
                        </w:drawing>
                      </w:r>
                    </w:p>
                    <w:p w14:paraId="30A051FB" w14:textId="6599CE39" w:rsidR="003B1217" w:rsidRPr="00EA440E" w:rsidRDefault="00896F76" w:rsidP="003B1217">
                      <w:pPr>
                        <w:keepNext/>
                        <w:rPr>
                          <w:i/>
                          <w:iCs/>
                          <w:sz w:val="18"/>
                          <w:szCs w:val="18"/>
                        </w:rPr>
                      </w:pPr>
                      <w:r>
                        <w:rPr>
                          <w:i/>
                          <w:iCs/>
                          <w:color w:val="1F497D" w:themeColor="text2"/>
                          <w:sz w:val="18"/>
                          <w:szCs w:val="18"/>
                        </w:rPr>
                        <w:t>Figure 2</w:t>
                      </w:r>
                      <w:r w:rsidR="004E2A13">
                        <w:rPr>
                          <w:i/>
                          <w:iCs/>
                          <w:color w:val="1F497D" w:themeColor="text2"/>
                          <w:sz w:val="18"/>
                          <w:szCs w:val="18"/>
                        </w:rPr>
                        <w:t>8</w:t>
                      </w:r>
                      <w:r>
                        <w:rPr>
                          <w:i/>
                          <w:iCs/>
                          <w:color w:val="1F497D" w:themeColor="text2"/>
                          <w:sz w:val="18"/>
                          <w:szCs w:val="18"/>
                        </w:rPr>
                        <w:t xml:space="preserve">: SDG </w:t>
                      </w:r>
                      <w:r w:rsidR="003B1217">
                        <w:rPr>
                          <w:i/>
                          <w:iCs/>
                          <w:color w:val="1F497D" w:themeColor="text2"/>
                          <w:sz w:val="18"/>
                          <w:szCs w:val="18"/>
                        </w:rPr>
                        <w:t>13</w:t>
                      </w:r>
                      <w:r w:rsidR="003B1217" w:rsidRPr="00C62E48">
                        <w:rPr>
                          <w:i/>
                          <w:iCs/>
                          <w:color w:val="1F497D" w:themeColor="text2"/>
                          <w:sz w:val="18"/>
                          <w:szCs w:val="18"/>
                        </w:rPr>
                        <w:t xml:space="preserve"> forecast for New Zealand (2026–2030)</w:t>
                      </w:r>
                      <w:r w:rsidR="00634439">
                        <w:rPr>
                          <w:i/>
                          <w:iCs/>
                          <w:color w:val="1F497D" w:themeColor="text2"/>
                          <w:sz w:val="18"/>
                          <w:szCs w:val="18"/>
                        </w:rPr>
                        <w:t>. SDG Predictions App (Ceka, 2025)</w:t>
                      </w:r>
                    </w:p>
                    <w:p w14:paraId="1175D87D" w14:textId="77777777" w:rsidR="003B1217" w:rsidRDefault="003B1217" w:rsidP="003B1217">
                      <w:pPr>
                        <w:pStyle w:val="Caption"/>
                      </w:pPr>
                    </w:p>
                    <w:p w14:paraId="70FEDFC4" w14:textId="77777777" w:rsidR="003B1217" w:rsidRDefault="003B1217" w:rsidP="003B1217"/>
                  </w:txbxContent>
                </v:textbox>
                <w10:wrap type="square"/>
              </v:shape>
            </w:pict>
          </mc:Fallback>
        </mc:AlternateContent>
      </w:r>
      <w:r w:rsidRPr="00C62E48">
        <w:rPr>
          <w:lang w:eastAsia="en-NZ"/>
        </w:rPr>
        <w:t>Random Forest and ARIMA (1, 1, 1) models confirm this divergence (R² = 0.991 for Goal 3; R² = 0.912 for Goal 13). The results highlight that while New Zealand sustains social resilience, its environmental transformation remains slow, largely constrained by agricultural emissions and renewable-energy delays. Aligning the two trajectories will require stronger coordination between climate policy and health-centred adaptation strategies.</w:t>
      </w:r>
    </w:p>
    <w:p w14:paraId="7480B23F" w14:textId="2D9D064B" w:rsidR="00905EA6" w:rsidRPr="00E3132F" w:rsidRDefault="00905EA6" w:rsidP="0027214A">
      <w:pPr>
        <w:pStyle w:val="Heading2"/>
      </w:pPr>
      <w:bookmarkStart w:id="48" w:name="_Toc211306886"/>
      <w:r w:rsidRPr="00E3132F">
        <w:t>Synthesis</w:t>
      </w:r>
      <w:bookmarkEnd w:id="48"/>
    </w:p>
    <w:p w14:paraId="2C887457" w14:textId="07342E12" w:rsidR="009F1070" w:rsidRPr="00E3132F" w:rsidRDefault="009F1070" w:rsidP="009F1070">
      <w:r w:rsidRPr="00E3132F">
        <w:t xml:space="preserve">This section integrates evidence from the snapshot (levels in 2025), change and momentum (2015–2025), regional gaps, inter-goal structure, and short-term projections to answer the overarching question: where is performance high or low, how is it moving, and what combinations of goals move together or trade off? The synthesis also links these results back to the project objectives—turning open SDG data into reproducible, decision-ready evidence via our analytics apps. </w:t>
      </w:r>
    </w:p>
    <w:p w14:paraId="062CDEFD" w14:textId="0218C12F" w:rsidR="009F1070" w:rsidRPr="00E3132F" w:rsidRDefault="009F1070" w:rsidP="009F1070">
      <w:pPr>
        <w:rPr>
          <w:rFonts w:cs="Times New Roman"/>
          <w:szCs w:val="24"/>
        </w:rPr>
      </w:pPr>
      <w:r w:rsidRPr="00E3132F">
        <w:rPr>
          <w:rFonts w:cs="Times New Roman"/>
          <w:szCs w:val="24"/>
        </w:rPr>
        <w:t>Levels and dispersion</w:t>
      </w:r>
      <w:r w:rsidR="004B6FCE">
        <w:rPr>
          <w:rFonts w:cs="Times New Roman"/>
          <w:szCs w:val="24"/>
        </w:rPr>
        <w:t>:</w:t>
      </w:r>
      <w:r w:rsidRPr="00E3132F">
        <w:rPr>
          <w:rFonts w:cs="Times New Roman"/>
          <w:szCs w:val="24"/>
        </w:rPr>
        <w:t xml:space="preserve"> In 2025 there is a clear regional hierarchy</w:t>
      </w:r>
      <w:r w:rsidR="00C84CA6">
        <w:rPr>
          <w:rFonts w:cs="Times New Roman"/>
          <w:szCs w:val="24"/>
        </w:rPr>
        <w:t>;</w:t>
      </w:r>
      <w:r w:rsidRPr="00E3132F">
        <w:rPr>
          <w:rFonts w:cs="Times New Roman"/>
          <w:szCs w:val="24"/>
        </w:rPr>
        <w:t xml:space="preserve"> advanced economies cluster at the top, while Africa remains lowest. Yet within-region spread is wide, so regional averages can mask large country differences. This reinforces a core reading principle for all figures: interpret ranks alongside dispersion, not in isolation.</w:t>
      </w:r>
      <w:r w:rsidR="00B57CBA">
        <w:rPr>
          <w:rFonts w:cs="Times New Roman"/>
          <w:szCs w:val="24"/>
        </w:rPr>
        <w:t xml:space="preserve"> </w:t>
      </w:r>
      <w:r w:rsidRPr="00E3132F">
        <w:rPr>
          <w:rFonts w:cs="Times New Roman"/>
          <w:szCs w:val="24"/>
        </w:rPr>
        <w:t>Change and momentum</w:t>
      </w:r>
      <w:r w:rsidR="00B57CBA">
        <w:rPr>
          <w:rFonts w:cs="Times New Roman"/>
          <w:szCs w:val="24"/>
        </w:rPr>
        <w:t xml:space="preserve">: </w:t>
      </w:r>
      <w:r w:rsidRPr="00E3132F">
        <w:rPr>
          <w:rFonts w:cs="Times New Roman"/>
          <w:szCs w:val="24"/>
        </w:rPr>
        <w:t>Most countries improve over 2015–2025, with the steepest gains concentrated before 2021; after that, many series flatten. Lower and mid performers tend to converge modestly toward the middle, whereas high performers exhibit diminishing returns near the upper bounds of the 0–100 index. These patterns imply that future step-changes will require policy packages, not more of the same.</w:t>
      </w:r>
      <w:r w:rsidR="00B57CBA">
        <w:rPr>
          <w:rFonts w:cs="Times New Roman"/>
          <w:szCs w:val="24"/>
        </w:rPr>
        <w:t xml:space="preserve"> </w:t>
      </w:r>
      <w:r w:rsidRPr="00E3132F">
        <w:rPr>
          <w:rFonts w:cs="Times New Roman"/>
          <w:szCs w:val="24"/>
        </w:rPr>
        <w:t>Structure of the goals</w:t>
      </w:r>
      <w:r w:rsidR="00B57CBA">
        <w:rPr>
          <w:rFonts w:cs="Times New Roman"/>
          <w:szCs w:val="24"/>
        </w:rPr>
        <w:t xml:space="preserve">: </w:t>
      </w:r>
      <w:r w:rsidRPr="00E3132F">
        <w:rPr>
          <w:rFonts w:cs="Times New Roman"/>
          <w:szCs w:val="24"/>
        </w:rPr>
        <w:t>Correlation, clustering, and</w:t>
      </w:r>
      <w:r w:rsidR="00C32551">
        <w:rPr>
          <w:rFonts w:cs="Times New Roman"/>
          <w:szCs w:val="24"/>
        </w:rPr>
        <w:t xml:space="preserve"> </w:t>
      </w:r>
      <w:r w:rsidRPr="00E3132F">
        <w:rPr>
          <w:rFonts w:cs="Times New Roman"/>
          <w:szCs w:val="24"/>
        </w:rPr>
        <w:t>network views reveal a consistent structure. A socio-economic core—</w:t>
      </w:r>
      <w:r w:rsidR="002A55AB" w:rsidRPr="00E3132F">
        <w:rPr>
          <w:rFonts w:cs="Times New Roman"/>
          <w:szCs w:val="24"/>
        </w:rPr>
        <w:t>SDGs</w:t>
      </w:r>
      <w:r w:rsidRPr="00E3132F">
        <w:rPr>
          <w:rFonts w:cs="Times New Roman"/>
          <w:szCs w:val="24"/>
        </w:rPr>
        <w:t xml:space="preserve"> 1, 3, 4, 6, 7, and 9—moves together and explains much of the Overall score. </w:t>
      </w:r>
      <w:r w:rsidR="00285EAF" w:rsidRPr="00E3132F">
        <w:rPr>
          <w:rFonts w:cs="Times New Roman"/>
          <w:szCs w:val="24"/>
        </w:rPr>
        <w:t>SDG</w:t>
      </w:r>
      <w:r w:rsidRPr="00E3132F">
        <w:rPr>
          <w:rFonts w:cs="Times New Roman"/>
          <w:szCs w:val="24"/>
        </w:rPr>
        <w:t xml:space="preserve"> 12 (responsible consumption/production) and often </w:t>
      </w:r>
      <w:r w:rsidR="00285EAF" w:rsidRPr="00E3132F">
        <w:rPr>
          <w:rFonts w:cs="Times New Roman"/>
          <w:szCs w:val="24"/>
        </w:rPr>
        <w:t>SDG</w:t>
      </w:r>
      <w:r w:rsidRPr="00E3132F">
        <w:rPr>
          <w:rFonts w:cs="Times New Roman"/>
          <w:szCs w:val="24"/>
        </w:rPr>
        <w:t xml:space="preserve"> 13 (climate action) sit closer to the periphery and can pull against the core, producing recurring trade-offs when growth and infrastructure rise without circular-economy or nature </w:t>
      </w:r>
      <w:r w:rsidRPr="00E3132F">
        <w:rPr>
          <w:rFonts w:cs="Times New Roman"/>
          <w:szCs w:val="24"/>
        </w:rPr>
        <w:lastRenderedPageBreak/>
        <w:t>safeguards. These relationships are associations, not causation, but they are strong enough to guide bundled interventions.</w:t>
      </w:r>
    </w:p>
    <w:p w14:paraId="35F0D402" w14:textId="34C332E0" w:rsidR="00A671E4" w:rsidRPr="00E3132F" w:rsidRDefault="009F1070" w:rsidP="00A671E4">
      <w:pPr>
        <w:pStyle w:val="Heading3"/>
      </w:pPr>
      <w:bookmarkStart w:id="49" w:name="_Toc211306887"/>
      <w:r w:rsidRPr="00E3132F">
        <w:t>Actionable policy bundles</w:t>
      </w:r>
      <w:bookmarkEnd w:id="49"/>
    </w:p>
    <w:p w14:paraId="0273384D" w14:textId="06102F3C" w:rsidR="009F1070" w:rsidRPr="00E3132F" w:rsidRDefault="009F1070" w:rsidP="009F1070">
      <w:pPr>
        <w:rPr>
          <w:rFonts w:cs="Times New Roman"/>
          <w:szCs w:val="24"/>
        </w:rPr>
      </w:pPr>
      <w:r w:rsidRPr="00E3132F">
        <w:rPr>
          <w:rFonts w:cs="Times New Roman"/>
          <w:szCs w:val="24"/>
        </w:rPr>
        <w:t>Combining the findings suggests three high-leverage packages that convert trade-offs to co-benefits:</w:t>
      </w:r>
    </w:p>
    <w:p w14:paraId="194391C8" w14:textId="57EE12A9" w:rsidR="009F1070" w:rsidRPr="00BB57C4" w:rsidRDefault="009F1070" w:rsidP="002A55AB">
      <w:pPr>
        <w:numPr>
          <w:ilvl w:val="0"/>
          <w:numId w:val="22"/>
        </w:numPr>
        <w:rPr>
          <w:rFonts w:cs="Times New Roman"/>
          <w:szCs w:val="24"/>
        </w:rPr>
      </w:pPr>
      <w:r w:rsidRPr="00BB57C4">
        <w:rPr>
          <w:rFonts w:cs="Times New Roman"/>
          <w:szCs w:val="24"/>
        </w:rPr>
        <w:t>Basic services &amp; human capital (</w:t>
      </w:r>
      <w:r w:rsidR="002A55AB" w:rsidRPr="00BB57C4">
        <w:rPr>
          <w:rFonts w:cs="Times New Roman"/>
          <w:szCs w:val="24"/>
        </w:rPr>
        <w:t>SDGs</w:t>
      </w:r>
      <w:r w:rsidRPr="00BB57C4">
        <w:rPr>
          <w:rFonts w:cs="Times New Roman"/>
          <w:szCs w:val="24"/>
        </w:rPr>
        <w:t xml:space="preserve"> 1, 3, 4, 6) to lift the </w:t>
      </w:r>
      <w:r w:rsidR="00F53BE6" w:rsidRPr="00BB57C4">
        <w:rPr>
          <w:rFonts w:cs="Times New Roman"/>
          <w:szCs w:val="24"/>
        </w:rPr>
        <w:t>core.</w:t>
      </w:r>
    </w:p>
    <w:p w14:paraId="503C54CA" w14:textId="3CC9606D" w:rsidR="009F1070" w:rsidRPr="00BB57C4" w:rsidRDefault="009F1070" w:rsidP="002A55AB">
      <w:pPr>
        <w:numPr>
          <w:ilvl w:val="0"/>
          <w:numId w:val="22"/>
        </w:numPr>
        <w:rPr>
          <w:rFonts w:cs="Times New Roman"/>
          <w:szCs w:val="24"/>
        </w:rPr>
      </w:pPr>
      <w:r w:rsidRPr="00BB57C4">
        <w:rPr>
          <w:rFonts w:cs="Times New Roman"/>
          <w:szCs w:val="24"/>
        </w:rPr>
        <w:t>Productive infrastructure &amp; clean energy (</w:t>
      </w:r>
      <w:r w:rsidR="002A55AB" w:rsidRPr="00BB57C4">
        <w:rPr>
          <w:rFonts w:cs="Times New Roman"/>
          <w:szCs w:val="24"/>
        </w:rPr>
        <w:t>SDGs</w:t>
      </w:r>
      <w:r w:rsidRPr="00BB57C4">
        <w:rPr>
          <w:rFonts w:cs="Times New Roman"/>
          <w:szCs w:val="24"/>
        </w:rPr>
        <w:t xml:space="preserve"> 7, 9) with efficiency </w:t>
      </w:r>
      <w:r w:rsidR="00F53BE6" w:rsidRPr="00BB57C4">
        <w:rPr>
          <w:rFonts w:cs="Times New Roman"/>
          <w:szCs w:val="24"/>
        </w:rPr>
        <w:t>standards.</w:t>
      </w:r>
    </w:p>
    <w:p w14:paraId="358D9D87" w14:textId="46144AE4" w:rsidR="009F1070" w:rsidRPr="00E3132F" w:rsidRDefault="009F1070" w:rsidP="002A55AB">
      <w:pPr>
        <w:numPr>
          <w:ilvl w:val="0"/>
          <w:numId w:val="22"/>
        </w:numPr>
        <w:rPr>
          <w:rFonts w:cs="Times New Roman"/>
          <w:szCs w:val="24"/>
        </w:rPr>
      </w:pPr>
      <w:r w:rsidRPr="00BB57C4">
        <w:rPr>
          <w:rFonts w:cs="Times New Roman"/>
          <w:szCs w:val="24"/>
        </w:rPr>
        <w:t>Nature &amp; circular economy</w:t>
      </w:r>
      <w:r w:rsidRPr="00E3132F">
        <w:rPr>
          <w:rFonts w:cs="Times New Roman"/>
          <w:szCs w:val="24"/>
        </w:rPr>
        <w:t xml:space="preserve"> (</w:t>
      </w:r>
      <w:r w:rsidR="002A55AB" w:rsidRPr="00E3132F">
        <w:rPr>
          <w:rFonts w:cs="Times New Roman"/>
          <w:szCs w:val="24"/>
        </w:rPr>
        <w:t>SDGs</w:t>
      </w:r>
      <w:r w:rsidRPr="00E3132F">
        <w:rPr>
          <w:rFonts w:cs="Times New Roman"/>
          <w:szCs w:val="24"/>
        </w:rPr>
        <w:t xml:space="preserve"> 12, 14, 15) to protect gains and meet environmental commitments. Countries can stage these bundles according to starting level and observed gaps.</w:t>
      </w:r>
    </w:p>
    <w:p w14:paraId="56C87345" w14:textId="50B1F4B4" w:rsidR="00A671E4" w:rsidRPr="00E3132F" w:rsidRDefault="009F1070" w:rsidP="00A671E4">
      <w:pPr>
        <w:pStyle w:val="Heading3"/>
      </w:pPr>
      <w:bookmarkStart w:id="50" w:name="_Toc211306888"/>
      <w:r w:rsidRPr="00E3132F">
        <w:t>Country lens (New Zealand)</w:t>
      </w:r>
      <w:bookmarkEnd w:id="50"/>
    </w:p>
    <w:p w14:paraId="14E11D36" w14:textId="55AF48CB" w:rsidR="009F1070" w:rsidRPr="00E3132F" w:rsidRDefault="009F1070" w:rsidP="009F1070">
      <w:pPr>
        <w:rPr>
          <w:rFonts w:cs="Times New Roman"/>
          <w:szCs w:val="24"/>
        </w:rPr>
      </w:pPr>
      <w:r w:rsidRPr="00E3132F">
        <w:rPr>
          <w:rFonts w:cs="Times New Roman"/>
          <w:szCs w:val="24"/>
        </w:rPr>
        <w:t xml:space="preserve">The national profile is strong overall but imbalanced, with persistent shortfalls in the environmental/circular-economy goals (notably </w:t>
      </w:r>
      <w:r w:rsidR="002A55AB" w:rsidRPr="00E3132F">
        <w:rPr>
          <w:rFonts w:cs="Times New Roman"/>
          <w:szCs w:val="24"/>
        </w:rPr>
        <w:t>SDG</w:t>
      </w:r>
      <w:r w:rsidRPr="00E3132F">
        <w:rPr>
          <w:rFonts w:cs="Times New Roman"/>
          <w:szCs w:val="24"/>
        </w:rPr>
        <w:t xml:space="preserve"> 12 and biosphere goals). The synthesis above therefore points to a targeted package that protects the high socio-economic core while accelerating progress on production/consumption and nature.</w:t>
      </w:r>
    </w:p>
    <w:p w14:paraId="6D2ACEE8" w14:textId="77777777" w:rsidR="00A671E4" w:rsidRPr="00E3132F" w:rsidRDefault="009F1070" w:rsidP="00A671E4">
      <w:pPr>
        <w:pStyle w:val="Heading3"/>
      </w:pPr>
      <w:bookmarkStart w:id="51" w:name="_Toc211306889"/>
      <w:r w:rsidRPr="00E3132F">
        <w:t>Overall message</w:t>
      </w:r>
      <w:bookmarkEnd w:id="51"/>
    </w:p>
    <w:p w14:paraId="42C9244E" w14:textId="558F1523" w:rsidR="009F1070" w:rsidRPr="00E3132F" w:rsidRDefault="009F1070" w:rsidP="009F1070">
      <w:pPr>
        <w:rPr>
          <w:rFonts w:cs="Times New Roman"/>
          <w:szCs w:val="24"/>
        </w:rPr>
      </w:pPr>
      <w:r w:rsidRPr="00E3132F">
        <w:rPr>
          <w:rFonts w:cs="Times New Roman"/>
          <w:szCs w:val="24"/>
        </w:rPr>
        <w:t>The evidence is coherent across views: who leads and lags is consistent with how fast they are moving, and the inter-goal structure explains why some improvements stall without complementary action. The analytics system—data pipeline plus apps—makes these conclusions reproducible: every figure in the report can be regenerated from the same code and data, enabling transparent debate about priorities and trade-offs.</w:t>
      </w:r>
    </w:p>
    <w:p w14:paraId="00B6170A" w14:textId="39828F31" w:rsidR="00A160AA" w:rsidRPr="00E3132F" w:rsidRDefault="00A160AA" w:rsidP="009C0B0A">
      <w:pPr>
        <w:pStyle w:val="Heading1"/>
      </w:pPr>
      <w:bookmarkStart w:id="52" w:name="_Toc211306890"/>
      <w:r w:rsidRPr="00E3132F">
        <w:t>Discussion</w:t>
      </w:r>
      <w:bookmarkEnd w:id="52"/>
    </w:p>
    <w:p w14:paraId="79DEC1FB" w14:textId="77777777" w:rsidR="000073C8" w:rsidRPr="00E3132F" w:rsidRDefault="000073C8" w:rsidP="0027214A">
      <w:pPr>
        <w:pStyle w:val="Heading2"/>
      </w:pPr>
      <w:bookmarkStart w:id="53" w:name="_Toc211306891"/>
      <w:r w:rsidRPr="00E3132F">
        <w:t>Overview of patterns</w:t>
      </w:r>
      <w:bookmarkEnd w:id="53"/>
    </w:p>
    <w:p w14:paraId="1A735C9B" w14:textId="02EB0266" w:rsidR="000073C8" w:rsidRPr="00E3132F" w:rsidRDefault="000073C8" w:rsidP="00247B2A">
      <w:r w:rsidRPr="00E3132F">
        <w:t xml:space="preserve">Across countries a strong </w:t>
      </w:r>
      <w:r w:rsidR="004E68B5" w:rsidRPr="00E3132F">
        <w:t>socio-economic</w:t>
      </w:r>
      <w:r w:rsidRPr="00E3132F">
        <w:t xml:space="preserve"> core moves together. Health </w:t>
      </w:r>
      <w:r w:rsidR="008477AE" w:rsidRPr="00E3132F">
        <w:t xml:space="preserve">SDG </w:t>
      </w:r>
      <w:r w:rsidRPr="00E3132F">
        <w:t xml:space="preserve">3, Education </w:t>
      </w:r>
      <w:r w:rsidR="008477AE" w:rsidRPr="00E3132F">
        <w:t xml:space="preserve">SDG </w:t>
      </w:r>
      <w:r w:rsidRPr="00E3132F">
        <w:t xml:space="preserve">4, Water and Sanitation </w:t>
      </w:r>
      <w:r w:rsidR="008477AE" w:rsidRPr="00E3132F">
        <w:t xml:space="preserve">SDG </w:t>
      </w:r>
      <w:r w:rsidRPr="00E3132F">
        <w:t xml:space="preserve">6, Energy </w:t>
      </w:r>
      <w:r w:rsidR="008477AE" w:rsidRPr="00E3132F">
        <w:t xml:space="preserve">SDG </w:t>
      </w:r>
      <w:r w:rsidRPr="00E3132F">
        <w:t xml:space="preserve">7, Poverty </w:t>
      </w:r>
      <w:r w:rsidR="008477AE" w:rsidRPr="00E3132F">
        <w:t xml:space="preserve">SDG </w:t>
      </w:r>
      <w:r w:rsidRPr="00E3132F">
        <w:t xml:space="preserve">1, and Infrastructure </w:t>
      </w:r>
      <w:r w:rsidR="008477AE" w:rsidRPr="00E3132F">
        <w:t xml:space="preserve">SDG </w:t>
      </w:r>
      <w:r w:rsidRPr="00E3132F">
        <w:t xml:space="preserve">9 tend to rise and fall in step. Environmental goals sit more at the edge of the system. </w:t>
      </w:r>
      <w:r w:rsidR="008477AE" w:rsidRPr="00E3132F">
        <w:t xml:space="preserve">SDG </w:t>
      </w:r>
      <w:r w:rsidRPr="00E3132F">
        <w:t xml:space="preserve">12 Responsible Consumption and Production and often </w:t>
      </w:r>
      <w:r w:rsidR="008477AE" w:rsidRPr="00E3132F">
        <w:t xml:space="preserve">SDG </w:t>
      </w:r>
      <w:r w:rsidRPr="00E3132F">
        <w:t>13 Climate Action do not always move with the core. This core and periphery view appears in the correlation results, in the network view, and in the ranking pages of the app.</w:t>
      </w:r>
    </w:p>
    <w:p w14:paraId="56B453CA" w14:textId="77777777" w:rsidR="000073C8" w:rsidRPr="00E3132F" w:rsidRDefault="000073C8" w:rsidP="0027214A">
      <w:pPr>
        <w:pStyle w:val="Heading2"/>
      </w:pPr>
      <w:bookmarkStart w:id="54" w:name="_Toc211306892"/>
      <w:r w:rsidRPr="00E3132F">
        <w:lastRenderedPageBreak/>
        <w:t>Policy implications</w:t>
      </w:r>
      <w:bookmarkEnd w:id="54"/>
    </w:p>
    <w:p w14:paraId="5EFF5009" w14:textId="194EFC90" w:rsidR="000073C8" w:rsidRPr="00E3132F" w:rsidRDefault="000073C8" w:rsidP="002A55AB">
      <w:pPr>
        <w:numPr>
          <w:ilvl w:val="0"/>
          <w:numId w:val="12"/>
        </w:numPr>
      </w:pPr>
      <w:r w:rsidRPr="00E3132F">
        <w:t xml:space="preserve">Protect and compound the core. Improving health, education, basic services, and infrastructure </w:t>
      </w:r>
      <w:r w:rsidR="004E68B5" w:rsidRPr="00E3132F">
        <w:t>lift</w:t>
      </w:r>
      <w:r w:rsidRPr="00E3132F">
        <w:t xml:space="preserve"> several goals at once.</w:t>
      </w:r>
    </w:p>
    <w:p w14:paraId="03AE5971" w14:textId="3FFC60C5" w:rsidR="000073C8" w:rsidRPr="00E3132F" w:rsidRDefault="000073C8" w:rsidP="002A55AB">
      <w:pPr>
        <w:numPr>
          <w:ilvl w:val="0"/>
          <w:numId w:val="12"/>
        </w:numPr>
      </w:pPr>
      <w:r w:rsidRPr="00E3132F">
        <w:t xml:space="preserve">Manage </w:t>
      </w:r>
      <w:r w:rsidR="004E68B5" w:rsidRPr="00E3132F">
        <w:t>trade-offs</w:t>
      </w:r>
      <w:r w:rsidRPr="00E3132F">
        <w:t xml:space="preserve"> with design. The tension between production and environment is not a law of nature. Efficiency standards, circular practices, and clean technology can turn a cost into a co benefit.</w:t>
      </w:r>
    </w:p>
    <w:p w14:paraId="52A9F44E" w14:textId="5F2FE220" w:rsidR="000073C8" w:rsidRPr="00E3132F" w:rsidRDefault="000073C8" w:rsidP="002A55AB">
      <w:pPr>
        <w:numPr>
          <w:ilvl w:val="0"/>
          <w:numId w:val="12"/>
        </w:numPr>
      </w:pPr>
      <w:r w:rsidRPr="00E3132F">
        <w:t xml:space="preserve">Tailor actions by place. Regions show </w:t>
      </w:r>
      <w:r w:rsidR="004E68B5" w:rsidRPr="00E3132F">
        <w:t>widespread</w:t>
      </w:r>
      <w:r w:rsidRPr="00E3132F">
        <w:t xml:space="preserve"> inside the same group. Country level diagnosis should come before any shared plan.</w:t>
      </w:r>
    </w:p>
    <w:p w14:paraId="745AAC37" w14:textId="77777777" w:rsidR="000073C8" w:rsidRPr="00E3132F" w:rsidRDefault="000073C8" w:rsidP="0027214A">
      <w:pPr>
        <w:pStyle w:val="Heading2"/>
      </w:pPr>
      <w:bookmarkStart w:id="55" w:name="_Toc211306893"/>
      <w:r w:rsidRPr="00E3132F">
        <w:t>Reading change correctly</w:t>
      </w:r>
      <w:bookmarkEnd w:id="55"/>
    </w:p>
    <w:p w14:paraId="5D0E2D46" w14:textId="62E1327C" w:rsidR="000073C8" w:rsidRPr="00E3132F" w:rsidRDefault="000073C8" w:rsidP="00247B2A">
      <w:r w:rsidRPr="00E3132F">
        <w:t>We reported level views and change views. Level views use the goal index from 0 to 100 and are easy to compare. Change views use direction corrected raw trends, which match common practice in the papers we reviewed. Looking at both reduces the risk of over claiming from any single scale.</w:t>
      </w:r>
    </w:p>
    <w:p w14:paraId="3D15D8D4" w14:textId="77777777" w:rsidR="000073C8" w:rsidRPr="00E3132F" w:rsidRDefault="000073C8" w:rsidP="0027214A">
      <w:pPr>
        <w:pStyle w:val="Heading2"/>
      </w:pPr>
      <w:bookmarkStart w:id="56" w:name="_Toc211306894"/>
      <w:r w:rsidRPr="00E3132F">
        <w:t>Strengths and limitations</w:t>
      </w:r>
      <w:bookmarkEnd w:id="56"/>
    </w:p>
    <w:p w14:paraId="07541086" w14:textId="6ABB3AA3" w:rsidR="000073C8" w:rsidRPr="00E3132F" w:rsidRDefault="000073C8" w:rsidP="00247B2A">
      <w:r w:rsidRPr="00E3132F">
        <w:t>Strengths include a transparent pipeline, repeatable data steps, multiple regional and country lenses, and an interactive app that keeps plots and numbers tied to the same source. Networks and simple correlation views make structure easy to see.</w:t>
      </w:r>
      <w:r w:rsidR="00754FEA" w:rsidRPr="00E3132F">
        <w:t xml:space="preserve"> </w:t>
      </w:r>
      <w:r w:rsidRPr="00E3132F">
        <w:t>Limitations include possible changes in source methods over time, which can affect year to year comparability. Correlation does not mean cause. Environmental goals often align less with the core, so progress there depends more on policy instruments than on spillovers.</w:t>
      </w:r>
    </w:p>
    <w:p w14:paraId="3EA79072" w14:textId="77777777" w:rsidR="00637D87" w:rsidRPr="00E3132F" w:rsidRDefault="00637D87" w:rsidP="0027214A">
      <w:pPr>
        <w:pStyle w:val="Heading2"/>
      </w:pPr>
      <w:bookmarkStart w:id="57" w:name="_Toc211306895"/>
      <w:r w:rsidRPr="00E3132F">
        <w:t>Implications</w:t>
      </w:r>
      <w:bookmarkEnd w:id="57"/>
    </w:p>
    <w:p w14:paraId="4A045B09" w14:textId="4EBF8CD5" w:rsidR="000073C8" w:rsidRPr="00E3132F" w:rsidRDefault="00637D87" w:rsidP="00247B2A">
      <w:r w:rsidRPr="00E3132F">
        <w:t>The results indicate that policy should prioritize reinforcing the socio-economic core (</w:t>
      </w:r>
      <w:r w:rsidR="008477AE" w:rsidRPr="00E3132F">
        <w:t xml:space="preserve">SDGs </w:t>
      </w:r>
      <w:r w:rsidRPr="00E3132F">
        <w:t xml:space="preserve">1, 3, 4, 6, 7, 9) while explicitly managing trade-offs with environmental objectives, especially </w:t>
      </w:r>
      <w:r w:rsidR="008477AE" w:rsidRPr="00E3132F">
        <w:t xml:space="preserve">SDG </w:t>
      </w:r>
      <w:r w:rsidRPr="00E3132F">
        <w:t xml:space="preserve">12 and </w:t>
      </w:r>
      <w:r w:rsidR="008477AE" w:rsidRPr="00E3132F">
        <w:t xml:space="preserve">SDG </w:t>
      </w:r>
      <w:r w:rsidRPr="00E3132F">
        <w:t>13, through efficiency standards, circular practices, and clean technology adoption. Interventions should be tailored to country context rather than regional averages, with sequencing that protects core services first and layers environmental instruments where they deliver co-benefits. Short-horizon forecasts should be presented as projections with uncertainty, benchmarked against naive baselines, and revisited as source methods or data are revised.</w:t>
      </w:r>
    </w:p>
    <w:p w14:paraId="59B4E750" w14:textId="10B4AD6D" w:rsidR="00A160AA" w:rsidRPr="00E3132F" w:rsidRDefault="00A160AA" w:rsidP="00772FBE">
      <w:pPr>
        <w:pStyle w:val="Heading1"/>
      </w:pPr>
      <w:bookmarkStart w:id="58" w:name="_Toc211306896"/>
      <w:r w:rsidRPr="00E3132F">
        <w:lastRenderedPageBreak/>
        <w:t>Conclusion</w:t>
      </w:r>
      <w:bookmarkEnd w:id="58"/>
    </w:p>
    <w:p w14:paraId="34565641" w14:textId="11B73823" w:rsidR="00452C8F" w:rsidRPr="00E3132F" w:rsidRDefault="00452C8F" w:rsidP="00452C8F">
      <w:pPr>
        <w:rPr>
          <w:lang w:eastAsia="en-NZ"/>
        </w:rPr>
      </w:pPr>
      <w:r w:rsidRPr="00E3132F">
        <w:rPr>
          <w:lang w:eastAsia="en-NZ"/>
        </w:rPr>
        <w:t xml:space="preserve">This project delivers a coherent, working </w:t>
      </w:r>
      <w:r w:rsidRPr="003A4775">
        <w:rPr>
          <w:lang w:eastAsia="en-NZ"/>
        </w:rPr>
        <w:t>SDG analytics system</w:t>
      </w:r>
      <w:r w:rsidR="00797237">
        <w:rPr>
          <w:lang w:eastAsia="en-NZ"/>
        </w:rPr>
        <w:t xml:space="preserve"> - </w:t>
      </w:r>
      <w:r w:rsidR="003A4775" w:rsidRPr="003A4775">
        <w:rPr>
          <w:lang w:eastAsia="en-NZ"/>
        </w:rPr>
        <w:t>GoalScope</w:t>
      </w:r>
      <w:r w:rsidRPr="003A4775">
        <w:rPr>
          <w:lang w:eastAsia="en-NZ"/>
        </w:rPr>
        <w:t>: a reproducible data pipeline, a Streamlit application with analysis views aligned to policy-relevant questions, and a set of figures/tables that present global rankings</w:t>
      </w:r>
      <w:r w:rsidRPr="00E3132F">
        <w:rPr>
          <w:lang w:eastAsia="en-NZ"/>
        </w:rPr>
        <w:t>, temporal momentum, and cross-goal structure in a consistent way. In terms of the assessment criteria, the work (i) states clear questions, (ii) applies appropriate methodology to answer them, and (iii) provides interpretable findings with transparent limitations (short-horizon ETS projections</w:t>
      </w:r>
      <w:r w:rsidR="00547348" w:rsidRPr="00E3132F">
        <w:rPr>
          <w:lang w:eastAsia="en-NZ"/>
        </w:rPr>
        <w:t>).</w:t>
      </w:r>
    </w:p>
    <w:p w14:paraId="11307C63" w14:textId="7159A48D" w:rsidR="00452C8F" w:rsidRPr="00E3132F" w:rsidRDefault="006B283B" w:rsidP="00247B2A">
      <w:pPr>
        <w:rPr>
          <w:lang w:eastAsia="en-NZ"/>
        </w:rPr>
      </w:pPr>
      <w:r w:rsidRPr="00E3132F">
        <w:rPr>
          <w:lang w:eastAsia="en-NZ"/>
        </w:rPr>
        <w:t xml:space="preserve">The results show a clear socio-economic core. </w:t>
      </w:r>
      <w:r w:rsidRPr="00E3132F">
        <w:t xml:space="preserve">SDG </w:t>
      </w:r>
      <w:r w:rsidRPr="00E3132F">
        <w:rPr>
          <w:lang w:eastAsia="en-NZ"/>
        </w:rPr>
        <w:t xml:space="preserve">1, </w:t>
      </w:r>
      <w:r w:rsidRPr="00E3132F">
        <w:t xml:space="preserve">SDG </w:t>
      </w:r>
      <w:r w:rsidRPr="00E3132F">
        <w:rPr>
          <w:lang w:eastAsia="en-NZ"/>
        </w:rPr>
        <w:t xml:space="preserve">3, </w:t>
      </w:r>
      <w:r w:rsidRPr="00E3132F">
        <w:t xml:space="preserve">SDG </w:t>
      </w:r>
      <w:r w:rsidRPr="00E3132F">
        <w:rPr>
          <w:lang w:eastAsia="en-NZ"/>
        </w:rPr>
        <w:t xml:space="preserve">4, </w:t>
      </w:r>
      <w:r w:rsidRPr="00E3132F">
        <w:t xml:space="preserve">SDG </w:t>
      </w:r>
      <w:r w:rsidRPr="00E3132F">
        <w:rPr>
          <w:lang w:eastAsia="en-NZ"/>
        </w:rPr>
        <w:t xml:space="preserve">6, </w:t>
      </w:r>
      <w:r w:rsidRPr="00E3132F">
        <w:t xml:space="preserve">SDG </w:t>
      </w:r>
      <w:r w:rsidRPr="00E3132F">
        <w:rPr>
          <w:lang w:eastAsia="en-NZ"/>
        </w:rPr>
        <w:t xml:space="preserve">7, and </w:t>
      </w:r>
      <w:r w:rsidRPr="00E3132F">
        <w:t xml:space="preserve">SDG </w:t>
      </w:r>
      <w:r w:rsidRPr="00E3132F">
        <w:rPr>
          <w:lang w:eastAsia="en-NZ"/>
        </w:rPr>
        <w:t xml:space="preserve">9 move together and explain a large share of performance. Environmental objectives sit more at the edge. </w:t>
      </w:r>
      <w:r w:rsidRPr="00E3132F">
        <w:t xml:space="preserve">SDG </w:t>
      </w:r>
      <w:r w:rsidRPr="00E3132F">
        <w:rPr>
          <w:lang w:eastAsia="en-NZ"/>
        </w:rPr>
        <w:t xml:space="preserve">12 and often </w:t>
      </w:r>
      <w:r w:rsidRPr="00E3132F">
        <w:t xml:space="preserve">SDG </w:t>
      </w:r>
      <w:r w:rsidRPr="00E3132F">
        <w:rPr>
          <w:lang w:eastAsia="en-NZ"/>
        </w:rPr>
        <w:t>13 do not always move in step with the core. This core and periphery structure appears across correlation views, network diagrams, and regional summaries.</w:t>
      </w:r>
      <w:r w:rsidR="00543AA6">
        <w:rPr>
          <w:lang w:eastAsia="en-NZ"/>
        </w:rPr>
        <w:t xml:space="preserve"> </w:t>
      </w:r>
      <w:r w:rsidRPr="00E3132F">
        <w:rPr>
          <w:lang w:eastAsia="en-NZ"/>
        </w:rPr>
        <w:t>Policy reading is direct</w:t>
      </w:r>
      <w:r w:rsidR="00543AA6">
        <w:rPr>
          <w:lang w:eastAsia="en-NZ"/>
        </w:rPr>
        <w:t>,</w:t>
      </w:r>
      <w:r w:rsidRPr="00E3132F">
        <w:rPr>
          <w:lang w:eastAsia="en-NZ"/>
        </w:rPr>
        <w:t xml:space="preserve"> </w:t>
      </w:r>
      <w:r w:rsidR="00543AA6">
        <w:rPr>
          <w:lang w:eastAsia="en-NZ"/>
        </w:rPr>
        <w:t>p</w:t>
      </w:r>
      <w:r w:rsidRPr="00E3132F">
        <w:rPr>
          <w:lang w:eastAsia="en-NZ"/>
        </w:rPr>
        <w:t xml:space="preserve">rotect and compound the socio-economic core while managing the tensions with </w:t>
      </w:r>
      <w:r w:rsidRPr="00E3132F">
        <w:t xml:space="preserve">SDG </w:t>
      </w:r>
      <w:r w:rsidRPr="00E3132F">
        <w:rPr>
          <w:lang w:eastAsia="en-NZ"/>
        </w:rPr>
        <w:t xml:space="preserve">12 and </w:t>
      </w:r>
      <w:r w:rsidRPr="00E3132F">
        <w:t xml:space="preserve">SDG </w:t>
      </w:r>
      <w:r w:rsidRPr="00E3132F">
        <w:rPr>
          <w:lang w:eastAsia="en-NZ"/>
        </w:rPr>
        <w:t>13 through efficiency standards, circular practice, and clean technology. Actions should be tailored to country context rather than regional averages, with sequencing that secures core services and then adds instruments that deliver co benefits.</w:t>
      </w:r>
      <w:r w:rsidR="00D071A4">
        <w:rPr>
          <w:lang w:eastAsia="en-NZ"/>
        </w:rPr>
        <w:t xml:space="preserve"> </w:t>
      </w:r>
      <w:r w:rsidRPr="00E3132F">
        <w:rPr>
          <w:lang w:eastAsia="en-NZ"/>
        </w:rPr>
        <w:t>Limitations remain</w:t>
      </w:r>
      <w:r w:rsidR="00D071A4">
        <w:rPr>
          <w:lang w:eastAsia="en-NZ"/>
        </w:rPr>
        <w:t>, s</w:t>
      </w:r>
      <w:r w:rsidRPr="00E3132F">
        <w:rPr>
          <w:lang w:eastAsia="en-NZ"/>
        </w:rPr>
        <w:t>ource methods may change over time, which can shift comparability. Correlations reveal structure, not cause</w:t>
      </w:r>
      <w:r w:rsidR="00D071A4">
        <w:rPr>
          <w:lang w:eastAsia="en-NZ"/>
        </w:rPr>
        <w:t xml:space="preserve">. </w:t>
      </w:r>
      <w:r w:rsidR="00452C8F" w:rsidRPr="00E3132F">
        <w:rPr>
          <w:lang w:eastAsia="en-NZ"/>
        </w:rPr>
        <w:t xml:space="preserve">The system’s strongest contributions are: (1) </w:t>
      </w:r>
      <w:r w:rsidR="00452C8F" w:rsidRPr="003A4775">
        <w:rPr>
          <w:lang w:eastAsia="en-NZ"/>
        </w:rPr>
        <w:t>Reproducibility—all visuals come from one codebase and one data version; (2) Traceability—every plot maps to a specific view and dataset; (3) Actionability—rankings highlight leaders</w:t>
      </w:r>
      <w:r w:rsidR="00452C8F" w:rsidRPr="00E3132F">
        <w:rPr>
          <w:lang w:eastAsia="en-NZ"/>
        </w:rPr>
        <w:t>/laggards, trend views quantify near-term trajectory with uncertainty, and correlation/network views surface potential synergies (where investments align) and trade-offs (where vigilance is required). Collectively, this meets the report expectation to offer “clear explanation of findings and thoughtful analysis,” with explicit limits and next steps.</w:t>
      </w:r>
    </w:p>
    <w:p w14:paraId="698C483F" w14:textId="5C50B056" w:rsidR="00A160AA" w:rsidRDefault="00A160AA" w:rsidP="00772FBE">
      <w:pPr>
        <w:pStyle w:val="Heading1"/>
      </w:pPr>
      <w:bookmarkStart w:id="59" w:name="_Toc211306897"/>
      <w:r w:rsidRPr="00E3132F">
        <w:t>Future Work</w:t>
      </w:r>
      <w:bookmarkEnd w:id="59"/>
    </w:p>
    <w:p w14:paraId="66E52F1C" w14:textId="7013F5F8" w:rsidR="00B1208E" w:rsidRPr="00B1208E" w:rsidRDefault="002A1587" w:rsidP="002A1587">
      <w:pPr>
        <w:pStyle w:val="Heading2"/>
      </w:pPr>
      <w:bookmarkStart w:id="60" w:name="_Toc211306898"/>
      <w:r>
        <w:t>GoalScope SDG Analytics Hub (Seacor, 2025)</w:t>
      </w:r>
      <w:bookmarkEnd w:id="60"/>
    </w:p>
    <w:p w14:paraId="1F3A7398" w14:textId="175CCFDE" w:rsidR="004525DD" w:rsidRDefault="004525DD" w:rsidP="004525DD">
      <w:pPr>
        <w:pStyle w:val="ListParagraph"/>
        <w:numPr>
          <w:ilvl w:val="0"/>
          <w:numId w:val="33"/>
        </w:numPr>
        <w:rPr>
          <w:lang w:eastAsia="en-NZ"/>
        </w:rPr>
      </w:pPr>
      <w:r w:rsidRPr="00A935D3">
        <w:rPr>
          <w:b/>
          <w:bCs/>
          <w:lang w:eastAsia="en-NZ"/>
        </w:rPr>
        <w:t>Expanding data sources</w:t>
      </w:r>
      <w:r w:rsidR="00A935D3">
        <w:rPr>
          <w:lang w:eastAsia="en-NZ"/>
        </w:rPr>
        <w:t xml:space="preserve">: </w:t>
      </w:r>
      <w:r>
        <w:rPr>
          <w:lang w:eastAsia="en-NZ"/>
        </w:rPr>
        <w:t>B</w:t>
      </w:r>
      <w:r w:rsidRPr="004A005C">
        <w:rPr>
          <w:lang w:eastAsia="en-NZ"/>
        </w:rPr>
        <w:t xml:space="preserve">roaden </w:t>
      </w:r>
      <w:r w:rsidRPr="002157BC">
        <w:rPr>
          <w:lang w:eastAsia="en-NZ"/>
        </w:rPr>
        <w:t>sources beyond current aggregates by pulling open public data and, where feasible, national datasets directly from country statistical offices and SDG custodians. This will expand coverage, improve timeliness, and—crucially—grow my data acquisition and wrangling skills</w:t>
      </w:r>
      <w:r w:rsidRPr="004A005C">
        <w:rPr>
          <w:lang w:eastAsia="en-NZ"/>
        </w:rPr>
        <w:t xml:space="preserve"> (API harvesting, schema </w:t>
      </w:r>
      <w:r w:rsidRPr="004A005C">
        <w:rPr>
          <w:lang w:eastAsia="en-NZ"/>
        </w:rPr>
        <w:lastRenderedPageBreak/>
        <w:t>harmonisation, codebook alignment, and automated QA checks). I will add provenance tracking, a data dictionary, and versioned snapshots to keep the pipeline auditable.</w:t>
      </w:r>
    </w:p>
    <w:p w14:paraId="24891292" w14:textId="479EBA8D" w:rsidR="00F6526E" w:rsidRPr="00E3132F" w:rsidRDefault="00BB1196" w:rsidP="00BB1196">
      <w:pPr>
        <w:pStyle w:val="ListParagraph"/>
        <w:numPr>
          <w:ilvl w:val="0"/>
          <w:numId w:val="33"/>
        </w:numPr>
        <w:rPr>
          <w:lang w:eastAsia="en-NZ"/>
        </w:rPr>
      </w:pPr>
      <w:r w:rsidRPr="00A935D3">
        <w:rPr>
          <w:b/>
          <w:bCs/>
          <w:lang w:eastAsia="en-NZ"/>
        </w:rPr>
        <w:t>Custom</w:t>
      </w:r>
      <w:r w:rsidR="00F6526E" w:rsidRPr="00A935D3">
        <w:rPr>
          <w:b/>
          <w:bCs/>
          <w:lang w:eastAsia="en-NZ"/>
        </w:rPr>
        <w:t xml:space="preserve"> NLP model for insights</w:t>
      </w:r>
      <w:r w:rsidR="00A935D3">
        <w:rPr>
          <w:lang w:eastAsia="en-NZ"/>
        </w:rPr>
        <w:t xml:space="preserve">: </w:t>
      </w:r>
      <w:r w:rsidR="00187BD9" w:rsidRPr="00187BD9">
        <w:rPr>
          <w:lang w:eastAsia="en-NZ"/>
        </w:rPr>
        <w:t>Replace the API-only service with a small in-house model fine-tuned on our chart/table corpus, grounded via RAG from the current view. Build steps: curate labels; fine-tune a 0.5–3B base (or distil); add evals (factuality, numeric/unit tests); enforce guardrails (stay within bands, no policy unless asked); and fall back to API LLMs on low confidence. Result: lower latency/cost and on-prem/air-gapped deployment.</w:t>
      </w:r>
    </w:p>
    <w:p w14:paraId="40CEFE34" w14:textId="16FA3351" w:rsidR="00107FC3" w:rsidRDefault="00591169" w:rsidP="00BB1196">
      <w:pPr>
        <w:pStyle w:val="ListParagraph"/>
        <w:numPr>
          <w:ilvl w:val="0"/>
          <w:numId w:val="33"/>
        </w:numPr>
        <w:rPr>
          <w:lang w:eastAsia="en-NZ"/>
        </w:rPr>
      </w:pPr>
      <w:r w:rsidRPr="00A935D3">
        <w:rPr>
          <w:b/>
          <w:bCs/>
          <w:lang w:eastAsia="en-NZ"/>
        </w:rPr>
        <w:t>Full</w:t>
      </w:r>
      <w:r w:rsidR="008C206D" w:rsidRPr="00A935D3">
        <w:rPr>
          <w:b/>
          <w:bCs/>
          <w:lang w:eastAsia="en-NZ"/>
        </w:rPr>
        <w:t>-</w:t>
      </w:r>
      <w:r w:rsidRPr="00A935D3">
        <w:rPr>
          <w:b/>
          <w:bCs/>
          <w:lang w:eastAsia="en-NZ"/>
        </w:rPr>
        <w:t>stack</w:t>
      </w:r>
      <w:r w:rsidR="008120BE" w:rsidRPr="00A935D3">
        <w:rPr>
          <w:b/>
          <w:bCs/>
          <w:lang w:eastAsia="en-NZ"/>
        </w:rPr>
        <w:t xml:space="preserve"> React rewrite &amp; cloud deployment</w:t>
      </w:r>
      <w:r w:rsidR="00A935D3">
        <w:rPr>
          <w:lang w:eastAsia="en-NZ"/>
        </w:rPr>
        <w:t xml:space="preserve">: </w:t>
      </w:r>
      <w:r w:rsidR="008120BE" w:rsidRPr="00E3132F">
        <w:rPr>
          <w:lang w:eastAsia="en-NZ"/>
        </w:rPr>
        <w:t xml:space="preserve">Evolve GoalScope into a full-stack React (Next.js) application with a typed API layer (FastAPI/Node) and a modular plotting service. Package the analytics module as a backend service and expose endpoints for rankings, timelines, correlations/PCA, and forecasts. Hosting </w:t>
      </w:r>
      <w:r w:rsidR="00517070" w:rsidRPr="00E3132F">
        <w:rPr>
          <w:lang w:eastAsia="en-NZ"/>
        </w:rPr>
        <w:t>services</w:t>
      </w:r>
      <w:r w:rsidR="00CA6877" w:rsidRPr="00E3132F">
        <w:rPr>
          <w:lang w:eastAsia="en-NZ"/>
        </w:rPr>
        <w:t xml:space="preserve"> to be considered are Google Cl</w:t>
      </w:r>
      <w:r w:rsidR="00782E57" w:rsidRPr="00E3132F">
        <w:rPr>
          <w:lang w:eastAsia="en-NZ"/>
        </w:rPr>
        <w:t>oud or Snowflake</w:t>
      </w:r>
      <w:r w:rsidR="00517070" w:rsidRPr="00E3132F">
        <w:rPr>
          <w:lang w:eastAsia="en-NZ"/>
        </w:rPr>
        <w:t>.</w:t>
      </w:r>
    </w:p>
    <w:p w14:paraId="210B1CF8" w14:textId="4FF12795" w:rsidR="000D2EF3" w:rsidRDefault="000D2EF3" w:rsidP="00BB1196">
      <w:pPr>
        <w:pStyle w:val="ListParagraph"/>
        <w:numPr>
          <w:ilvl w:val="0"/>
          <w:numId w:val="33"/>
        </w:numPr>
        <w:rPr>
          <w:lang w:eastAsia="en-NZ"/>
        </w:rPr>
      </w:pPr>
      <w:r w:rsidRPr="00A935D3">
        <w:rPr>
          <w:b/>
          <w:bCs/>
          <w:lang w:eastAsia="en-NZ"/>
        </w:rPr>
        <w:t>User documentation</w:t>
      </w:r>
      <w:r w:rsidR="00A935D3">
        <w:rPr>
          <w:lang w:eastAsia="en-NZ"/>
        </w:rPr>
        <w:t xml:space="preserve">: </w:t>
      </w:r>
      <w:r w:rsidRPr="00E3132F">
        <w:rPr>
          <w:lang w:eastAsia="en-NZ"/>
        </w:rPr>
        <w:t>Ship a concise user manual and a set of saved “view presets” aligned to the research questions, to help non-technical users replicate the report figures.</w:t>
      </w:r>
    </w:p>
    <w:p w14:paraId="159CC8EE" w14:textId="2E7E26A5" w:rsidR="002A1587" w:rsidRDefault="003A0D03" w:rsidP="003A0D03">
      <w:pPr>
        <w:pStyle w:val="Heading2"/>
        <w:rPr>
          <w:lang w:eastAsia="en-NZ"/>
        </w:rPr>
      </w:pPr>
      <w:bookmarkStart w:id="61" w:name="_Toc211306899"/>
      <w:r>
        <w:rPr>
          <w:lang w:eastAsia="en-NZ"/>
        </w:rPr>
        <w:t>SDG Predictions App (Ceka, 2025)</w:t>
      </w:r>
      <w:bookmarkEnd w:id="61"/>
    </w:p>
    <w:p w14:paraId="609CD14F" w14:textId="6E11C4EB" w:rsidR="003A0D03" w:rsidRDefault="003A0D03" w:rsidP="00A935D3">
      <w:pPr>
        <w:pStyle w:val="ListParagraph"/>
        <w:numPr>
          <w:ilvl w:val="0"/>
          <w:numId w:val="32"/>
        </w:numPr>
        <w:rPr>
          <w:lang w:eastAsia="en-NZ"/>
        </w:rPr>
      </w:pPr>
      <w:r w:rsidRPr="00A935D3">
        <w:rPr>
          <w:b/>
          <w:bCs/>
          <w:lang w:eastAsia="en-NZ"/>
        </w:rPr>
        <w:t xml:space="preserve">Model </w:t>
      </w:r>
      <w:r w:rsidRPr="00A935D3">
        <w:rPr>
          <w:b/>
          <w:bCs/>
        </w:rPr>
        <w:t>Expansion</w:t>
      </w:r>
      <w:r w:rsidR="00A935D3">
        <w:rPr>
          <w:lang w:eastAsia="en-NZ"/>
        </w:rPr>
        <w:t xml:space="preserve">: </w:t>
      </w:r>
      <w:r>
        <w:rPr>
          <w:lang w:eastAsia="en-NZ"/>
        </w:rPr>
        <w:t>Future work will extend the forecasting module with deep-learning and ensemble models such as LSTM and Prophet to capture complex temporal and non-linear SDG patterns. These will complement current Linear Regression, Random Forest, and ARIMA models, improving forecast robustness and adaptability.</w:t>
      </w:r>
    </w:p>
    <w:p w14:paraId="19BB2CD4" w14:textId="0DA81C49" w:rsidR="003A0D03" w:rsidRDefault="003A0D03" w:rsidP="00A935D3">
      <w:pPr>
        <w:pStyle w:val="ListParagraph"/>
        <w:numPr>
          <w:ilvl w:val="0"/>
          <w:numId w:val="32"/>
        </w:numPr>
        <w:rPr>
          <w:lang w:eastAsia="en-NZ"/>
        </w:rPr>
      </w:pPr>
      <w:r w:rsidRPr="00A935D3">
        <w:rPr>
          <w:b/>
          <w:bCs/>
          <w:lang w:eastAsia="en-NZ"/>
        </w:rPr>
        <w:t>Data Integration</w:t>
      </w:r>
      <w:r w:rsidR="00A935D3">
        <w:rPr>
          <w:lang w:eastAsia="en-NZ"/>
        </w:rPr>
        <w:t xml:space="preserve">: </w:t>
      </w:r>
      <w:r>
        <w:rPr>
          <w:lang w:eastAsia="en-NZ"/>
        </w:rPr>
        <w:t>Integrating live UN and World Bank API feeds will automate data refreshes, ensuring real-time updates for SDG indicators. This will enhance data reliability, reduce manual intervention, and support continuous forecasting for new countries and regions.</w:t>
      </w:r>
    </w:p>
    <w:p w14:paraId="4D5F244F" w14:textId="299521BB" w:rsidR="003A0D03" w:rsidRDefault="003A0D03" w:rsidP="00A935D3">
      <w:pPr>
        <w:pStyle w:val="ListParagraph"/>
        <w:numPr>
          <w:ilvl w:val="0"/>
          <w:numId w:val="32"/>
        </w:numPr>
        <w:rPr>
          <w:lang w:eastAsia="en-NZ"/>
        </w:rPr>
      </w:pPr>
      <w:r w:rsidRPr="00A935D3">
        <w:rPr>
          <w:b/>
          <w:bCs/>
          <w:lang w:eastAsia="en-NZ"/>
        </w:rPr>
        <w:t>Analytical Enhancements</w:t>
      </w:r>
      <w:r w:rsidR="00A935D3">
        <w:rPr>
          <w:lang w:eastAsia="en-NZ"/>
        </w:rPr>
        <w:t xml:space="preserve">: </w:t>
      </w:r>
      <w:r>
        <w:rPr>
          <w:lang w:eastAsia="en-NZ"/>
        </w:rPr>
        <w:t>Adding uncertainty bands, confidence intervals, and region-based clustering will improve interpretability and policy relevance. Enhanced dashboards will allow side-by-side forecast comparisons and trend exploration across multiple regions.</w:t>
      </w:r>
    </w:p>
    <w:p w14:paraId="1EDE8324" w14:textId="04BE125D" w:rsidR="00B47047" w:rsidRPr="00E3132F" w:rsidRDefault="003A0D03" w:rsidP="00A935D3">
      <w:pPr>
        <w:pStyle w:val="ListParagraph"/>
        <w:numPr>
          <w:ilvl w:val="0"/>
          <w:numId w:val="32"/>
        </w:numPr>
        <w:rPr>
          <w:lang w:eastAsia="en-NZ"/>
        </w:rPr>
      </w:pPr>
      <w:r w:rsidRPr="00A935D3">
        <w:rPr>
          <w:b/>
          <w:bCs/>
          <w:lang w:eastAsia="en-NZ"/>
        </w:rPr>
        <w:lastRenderedPageBreak/>
        <w:t>Insight Generation</w:t>
      </w:r>
      <w:r w:rsidR="00A935D3">
        <w:rPr>
          <w:lang w:eastAsia="en-NZ"/>
        </w:rPr>
        <w:t xml:space="preserve">: </w:t>
      </w:r>
      <w:r>
        <w:rPr>
          <w:lang w:eastAsia="en-NZ"/>
        </w:rPr>
        <w:t>An AI-driven narrative generator will summarise key forecasts and trends automatically, using SDG-specific language models to produce accessible insights for policymakers and researchers.</w:t>
      </w:r>
    </w:p>
    <w:p w14:paraId="51A87E45" w14:textId="77777777" w:rsidR="005D69B6" w:rsidRPr="00E3132F" w:rsidRDefault="005D69B6" w:rsidP="005D69B6">
      <w:pPr>
        <w:pStyle w:val="Heading1"/>
        <w:rPr>
          <w:sz w:val="48"/>
        </w:rPr>
      </w:pPr>
      <w:bookmarkStart w:id="62" w:name="_Toc211306900"/>
      <w:r w:rsidRPr="00E3132F">
        <w:t>Personal learning</w:t>
      </w:r>
      <w:bookmarkEnd w:id="62"/>
    </w:p>
    <w:p w14:paraId="28EF70B7" w14:textId="77777777" w:rsidR="00501C86" w:rsidRDefault="00501C86" w:rsidP="005D69B6">
      <w:pPr>
        <w:pStyle w:val="NormalWeb"/>
        <w:rPr>
          <w:rStyle w:val="Strong"/>
        </w:rPr>
      </w:pPr>
    </w:p>
    <w:p w14:paraId="15231791" w14:textId="480E294E" w:rsidR="00A935D3" w:rsidRDefault="005D69B6" w:rsidP="0081032B">
      <w:pPr>
        <w:pStyle w:val="NormalWeb"/>
        <w:rPr>
          <w:rStyle w:val="relative"/>
        </w:rPr>
      </w:pPr>
      <w:r w:rsidRPr="00E3132F">
        <w:rPr>
          <w:rStyle w:val="Strong"/>
        </w:rPr>
        <w:t>Jesus Eric Seacor</w:t>
      </w:r>
      <w:r w:rsidR="008B484B">
        <w:rPr>
          <w:rStyle w:val="Strong"/>
        </w:rPr>
        <w:t xml:space="preserve"> (24007226)</w:t>
      </w:r>
      <w:r w:rsidRPr="00E3132F">
        <w:t xml:space="preserve"> — </w:t>
      </w:r>
      <w:r w:rsidR="00C110E6" w:rsidRPr="00C110E6">
        <w:t xml:space="preserve">Over this project I deepened my technical and professional toolkit. On the technical side, I strengthened my data engineering practice—building repeatable ingestion and cleaning pipelines, standardising schemas, validating inputs, and packaging notebook code into reusable modules. I iterated on application UI design (layout consistency, clear controls, informative tooltips, and responsive plots) and tightened my GitHub workflow with branching, pull requests, semantic commits, and tagged releases. </w:t>
      </w:r>
      <w:r w:rsidR="00A32FAB" w:rsidRPr="00A32FAB">
        <w:t xml:space="preserve">I also learned key SDG specifics: how 0–100 goal scores are constructed from indicators, where regional gaps persist, and how </w:t>
      </w:r>
      <w:r w:rsidR="00A32FAB" w:rsidRPr="009217AA">
        <w:t>synergies and trade-offs</w:t>
      </w:r>
      <w:r w:rsidR="00A32FAB" w:rsidRPr="00A32FAB">
        <w:t xml:space="preserve"> emerge, plus the pitfalls of short annual panels and missing data that require cautious imputation and conservative claims. </w:t>
      </w:r>
      <w:r w:rsidR="00C110E6" w:rsidRPr="00C110E6">
        <w:t>Equally important, I clarified the limits of my models: the projection used here is an extrapolation of recent trends—not a structural forecast—and I now communicate that caveat explicitly in the text and figures. On the professional side, I ran the project like a small product: managing team time, assigning work, keeping minutes of each meeting, and prioritising tasks against deadlines. This combination—sound data plumbing, usable interfaces, disciplined version control, honest modelling caveats, and practical project management—has measurably lifted my capability to execute end-to-end data projects.</w:t>
      </w:r>
    </w:p>
    <w:p w14:paraId="59F78A45" w14:textId="77777777" w:rsidR="00BA6216" w:rsidRPr="00BA6216" w:rsidRDefault="00BA6216" w:rsidP="0081032B">
      <w:pPr>
        <w:pStyle w:val="NormalWeb"/>
        <w:rPr>
          <w:rStyle w:val="Strong"/>
          <w:b w:val="0"/>
          <w:bCs w:val="0"/>
          <w:color w:val="auto"/>
        </w:rPr>
      </w:pPr>
    </w:p>
    <w:p w14:paraId="2DD1A8D8" w14:textId="11431982" w:rsidR="00A011D3" w:rsidRDefault="005D69B6" w:rsidP="0081032B">
      <w:pPr>
        <w:pStyle w:val="NormalWeb"/>
      </w:pPr>
      <w:r w:rsidRPr="00E3132F">
        <w:rPr>
          <w:rStyle w:val="Strong"/>
        </w:rPr>
        <w:t>Sai Ram Ceka</w:t>
      </w:r>
      <w:r w:rsidR="00D6557D">
        <w:rPr>
          <w:rStyle w:val="Strong"/>
        </w:rPr>
        <w:t xml:space="preserve"> (24011574</w:t>
      </w:r>
      <w:r w:rsidR="003A0D03">
        <w:rPr>
          <w:rStyle w:val="Strong"/>
        </w:rPr>
        <w:t>)</w:t>
      </w:r>
      <w:r w:rsidRPr="00E3132F">
        <w:t xml:space="preserve"> — </w:t>
      </w:r>
      <w:r w:rsidR="0081032B" w:rsidRPr="0081032B">
        <w:t>Over this project I strengthened my ability to build and evaluate predictive models for SDG forecasting. I learned to design reproducible workflows using Linear Regression, Random Forest, and ARIMA, applying metrics like RMSE, R², AIC, and BIC to ensure reliable results. I improved my Python, Plotly, and Streamlit skills by turning model outputs into clear, interactive visualisations that highlight regional and goal-level trends.</w:t>
      </w:r>
      <w:r w:rsidR="0081032B">
        <w:t xml:space="preserve"> </w:t>
      </w:r>
      <w:r w:rsidR="0081032B" w:rsidRPr="0081032B">
        <w:t>I also learned to manage uncertainty transparently—treating forecasts as data-driven projections rather than fixed outcomes. Collaborating on integration with the main app enhanced my teamwork, documentation, and version control discipline. This combination of modelling accuracy, ethical interpretation, and collaborative workflow has strengthened my capacity to deliver rigorous and transparent analytical projects</w:t>
      </w:r>
      <w:r w:rsidR="00F553CC">
        <w:t>.</w:t>
      </w:r>
    </w:p>
    <w:p w14:paraId="5F106B7F" w14:textId="520E912E" w:rsidR="00F219EC" w:rsidRPr="00E3132F" w:rsidRDefault="00691550" w:rsidP="00772FBE">
      <w:pPr>
        <w:pStyle w:val="Heading1"/>
      </w:pPr>
      <w:bookmarkStart w:id="63" w:name="_Toc211306901"/>
      <w:r w:rsidRPr="00E3132F">
        <w:lastRenderedPageBreak/>
        <w:t>References</w:t>
      </w:r>
      <w:bookmarkEnd w:id="63"/>
    </w:p>
    <w:p w14:paraId="4B87BA50"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ArcGIS Developers. (2025). </w:t>
      </w:r>
      <w:r w:rsidRPr="00E3132F">
        <w:rPr>
          <w:rFonts w:cs="Times New Roman"/>
          <w:i/>
          <w:iCs/>
          <w:szCs w:val="24"/>
        </w:rPr>
        <w:t>ArcGIS REST API Feature Service</w:t>
      </w:r>
      <w:r w:rsidRPr="00E3132F">
        <w:rPr>
          <w:rFonts w:cs="Times New Roman"/>
          <w:szCs w:val="24"/>
        </w:rPr>
        <w:t xml:space="preserve">. Retrieved from </w:t>
      </w:r>
      <w:hyperlink r:id="rId56" w:history="1">
        <w:r w:rsidRPr="00E3132F">
          <w:rPr>
            <w:rStyle w:val="Hyperlink"/>
            <w:rFonts w:cs="Times New Roman"/>
            <w:szCs w:val="24"/>
          </w:rPr>
          <w:t>https://developers.arcgis.com/rest/services-reference/</w:t>
        </w:r>
      </w:hyperlink>
    </w:p>
    <w:p w14:paraId="31036E26"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Barbier, E. B., &amp; Burgess, J. C. (2017). </w:t>
      </w:r>
      <w:r w:rsidRPr="00E3132F">
        <w:rPr>
          <w:rFonts w:cs="Times New Roman"/>
          <w:i/>
          <w:iCs/>
          <w:szCs w:val="24"/>
        </w:rPr>
        <w:t>The Sustainable Development Goals and the systems approach to sustainability</w:t>
      </w:r>
      <w:r w:rsidRPr="00E3132F">
        <w:rPr>
          <w:rFonts w:cs="Times New Roman"/>
          <w:szCs w:val="24"/>
        </w:rPr>
        <w:t xml:space="preserve">. Economics, 11, 2017–28. </w:t>
      </w:r>
      <w:hyperlink r:id="rId57" w:history="1">
        <w:r w:rsidRPr="00E3132F">
          <w:rPr>
            <w:rStyle w:val="Hyperlink"/>
            <w:rFonts w:cs="Times New Roman"/>
            <w:szCs w:val="24"/>
          </w:rPr>
          <w:t>https://doi.org/10.5018/economics-ejournal.ja.2017-28</w:t>
        </w:r>
      </w:hyperlink>
    </w:p>
    <w:p w14:paraId="6BA56E89"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Barbier, E. B., &amp; Burgess, J. C. (2021). </w:t>
      </w:r>
      <w:r w:rsidRPr="00E3132F">
        <w:rPr>
          <w:rFonts w:cs="Times New Roman"/>
          <w:i/>
          <w:iCs/>
          <w:szCs w:val="24"/>
        </w:rPr>
        <w:t>Economics of the SDGs: Putting the Sustainable Development Goals into practice</w:t>
      </w:r>
      <w:r w:rsidRPr="00E3132F">
        <w:rPr>
          <w:rFonts w:cs="Times New Roman"/>
          <w:szCs w:val="24"/>
        </w:rPr>
        <w:t xml:space="preserve">. Palgrave Macmillan Cham. </w:t>
      </w:r>
      <w:hyperlink r:id="rId58" w:history="1">
        <w:r w:rsidRPr="00E3132F">
          <w:rPr>
            <w:rStyle w:val="Hyperlink"/>
            <w:rFonts w:cs="Times New Roman"/>
            <w:szCs w:val="24"/>
          </w:rPr>
          <w:t>https://doi.org/10.1007/978-3-030-78698-4</w:t>
        </w:r>
      </w:hyperlink>
    </w:p>
    <w:p w14:paraId="448E6997" w14:textId="77777777" w:rsidR="006E6844" w:rsidRPr="00E3132F" w:rsidRDefault="006E6844" w:rsidP="002A55AB">
      <w:pPr>
        <w:pStyle w:val="ListParagraph"/>
        <w:numPr>
          <w:ilvl w:val="0"/>
          <w:numId w:val="15"/>
        </w:numPr>
      </w:pPr>
      <w:r w:rsidRPr="00E3132F">
        <w:t xml:space="preserve">Boar, A., Bastida, R., &amp; Marimon, F. (2020). </w:t>
      </w:r>
      <w:r w:rsidRPr="00E3132F">
        <w:rPr>
          <w:i/>
          <w:iCs/>
        </w:rPr>
        <w:t>A systematic literature review: Relationships between the sharing economy, sustainability and Sustainable Development Goals</w:t>
      </w:r>
      <w:r w:rsidRPr="00E3132F">
        <w:t xml:space="preserve">. Sustainability, 12(17), 6744. </w:t>
      </w:r>
      <w:hyperlink r:id="rId59" w:history="1">
        <w:r w:rsidRPr="00E3132F">
          <w:rPr>
            <w:rStyle w:val="Hyperlink"/>
          </w:rPr>
          <w:t>https://doi.org/10.3390/su12176744</w:t>
        </w:r>
      </w:hyperlink>
    </w:p>
    <w:p w14:paraId="2675AE62"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Breuer, A., Malerba, D., Srigiri, S., &amp; Balasubramanian, P. (Eds.). (2022). </w:t>
      </w:r>
      <w:r w:rsidRPr="00E3132F">
        <w:rPr>
          <w:rFonts w:cs="Times New Roman"/>
          <w:i/>
          <w:iCs/>
          <w:szCs w:val="24"/>
        </w:rPr>
        <w:t>Governing the interlinkages between the SDGs: Approaches, opportunities and challenges</w:t>
      </w:r>
      <w:r w:rsidRPr="00E3132F">
        <w:rPr>
          <w:rFonts w:cs="Times New Roman"/>
          <w:szCs w:val="24"/>
        </w:rPr>
        <w:t xml:space="preserve">. Routledge. </w:t>
      </w:r>
      <w:hyperlink r:id="rId60" w:history="1">
        <w:r w:rsidRPr="00E3132F">
          <w:rPr>
            <w:rStyle w:val="Hyperlink"/>
            <w:rFonts w:cs="Times New Roman"/>
            <w:szCs w:val="24"/>
          </w:rPr>
          <w:t>https://doi.org/10.4324/9781003254683</w:t>
        </w:r>
      </w:hyperlink>
    </w:p>
    <w:p w14:paraId="0BAFA7FE" w14:textId="77777777" w:rsidR="006E6844" w:rsidRDefault="006E6844" w:rsidP="00345C1F">
      <w:pPr>
        <w:pStyle w:val="ListParagraph"/>
        <w:numPr>
          <w:ilvl w:val="0"/>
          <w:numId w:val="15"/>
        </w:numPr>
      </w:pPr>
      <w:r>
        <w:t>Ceka, Sai Ram</w:t>
      </w:r>
      <w:r w:rsidRPr="00BE2BC5">
        <w:t xml:space="preserve"> (2025). </w:t>
      </w:r>
      <w:r>
        <w:rPr>
          <w:i/>
          <w:iCs/>
        </w:rPr>
        <w:t xml:space="preserve">SDG Analysis </w:t>
      </w:r>
      <w:r w:rsidRPr="00BE2BC5">
        <w:t>[</w:t>
      </w:r>
      <w:r w:rsidRPr="00056C18">
        <w:t>Kaggle Notebook</w:t>
      </w:r>
      <w:r w:rsidRPr="00BE2BC5">
        <w:t xml:space="preserve">]. </w:t>
      </w:r>
      <w:r>
        <w:t xml:space="preserve">Kaggle. </w:t>
      </w:r>
      <w:hyperlink r:id="rId61" w:history="1">
        <w:r w:rsidRPr="00EF5031">
          <w:rPr>
            <w:rStyle w:val="Hyperlink"/>
          </w:rPr>
          <w:t>https://www.kaggle.com/code/sairamceka/sdg-analysis</w:t>
        </w:r>
      </w:hyperlink>
    </w:p>
    <w:p w14:paraId="6CCC6C33" w14:textId="77777777" w:rsidR="006E6844" w:rsidRDefault="006E6844" w:rsidP="00F55016">
      <w:pPr>
        <w:pStyle w:val="ListParagraph"/>
        <w:numPr>
          <w:ilvl w:val="0"/>
          <w:numId w:val="15"/>
        </w:numPr>
      </w:pPr>
      <w:r>
        <w:t>Ceka, Sai Ram</w:t>
      </w:r>
      <w:r w:rsidRPr="00BE2BC5">
        <w:t xml:space="preserve"> (2025). </w:t>
      </w:r>
      <w:r>
        <w:rPr>
          <w:i/>
          <w:iCs/>
        </w:rPr>
        <w:t>SDG Predictions App</w:t>
      </w:r>
      <w:r w:rsidRPr="00BE2BC5">
        <w:t xml:space="preserve"> (Version v1.0) [Source code]. GitH</w:t>
      </w:r>
      <w:r>
        <w:t xml:space="preserve">ub. </w:t>
      </w:r>
      <w:hyperlink r:id="rId62" w:history="1">
        <w:r w:rsidRPr="007C078D">
          <w:rPr>
            <w:rStyle w:val="Hyperlink"/>
          </w:rPr>
          <w:t>https://sdg-predictions.streamlit.app/</w:t>
        </w:r>
      </w:hyperlink>
    </w:p>
    <w:p w14:paraId="795FD1D1" w14:textId="77777777" w:rsidR="006E6844" w:rsidRDefault="006E6844" w:rsidP="004F539F">
      <w:pPr>
        <w:pStyle w:val="ListParagraph"/>
        <w:numPr>
          <w:ilvl w:val="0"/>
          <w:numId w:val="15"/>
        </w:numPr>
      </w:pPr>
      <w:r>
        <w:t>Ceka, Sai Ram</w:t>
      </w:r>
      <w:r w:rsidRPr="00BE2BC5">
        <w:t xml:space="preserve">. (2025). </w:t>
      </w:r>
      <w:r w:rsidRPr="004F539F">
        <w:rPr>
          <w:i/>
          <w:iCs/>
        </w:rPr>
        <w:t>SDG Predictions App</w:t>
      </w:r>
      <w:r w:rsidRPr="00BE2BC5">
        <w:t xml:space="preserve"> [</w:t>
      </w:r>
      <w:r>
        <w:t>App</w:t>
      </w:r>
      <w:r w:rsidRPr="00BE2BC5">
        <w:t xml:space="preserve">]. </w:t>
      </w:r>
      <w:r>
        <w:t xml:space="preserve">Streamlit. </w:t>
      </w:r>
      <w:hyperlink r:id="rId63" w:history="1">
        <w:r w:rsidRPr="005E30C7">
          <w:rPr>
            <w:rStyle w:val="Hyperlink"/>
          </w:rPr>
          <w:t>https://sdg-predictions.streamlit.app/</w:t>
        </w:r>
      </w:hyperlink>
    </w:p>
    <w:p w14:paraId="6C013157" w14:textId="77777777" w:rsidR="006E6844" w:rsidRPr="007C078D" w:rsidRDefault="006E6844" w:rsidP="006846D8">
      <w:pPr>
        <w:pStyle w:val="ListParagraph"/>
        <w:numPr>
          <w:ilvl w:val="0"/>
          <w:numId w:val="15"/>
        </w:numPr>
      </w:pPr>
      <w:r w:rsidRPr="006846D8">
        <w:rPr>
          <w:rFonts w:cs="Times New Roman"/>
          <w:szCs w:val="24"/>
        </w:rPr>
        <w:t xml:space="preserve">Finnveden, G., Verhoef, L., &amp; Newman, J. (Eds.). (2020). </w:t>
      </w:r>
      <w:r w:rsidRPr="006846D8">
        <w:rPr>
          <w:rFonts w:cs="Times New Roman"/>
          <w:i/>
          <w:iCs/>
          <w:szCs w:val="24"/>
        </w:rPr>
        <w:t>Sustainable development and higher education institutions: Acting with a purpose</w:t>
      </w:r>
      <w:r w:rsidRPr="006846D8">
        <w:rPr>
          <w:rFonts w:cs="Times New Roman"/>
          <w:szCs w:val="24"/>
        </w:rPr>
        <w:t xml:space="preserve">. MDPI. </w:t>
      </w:r>
      <w:hyperlink r:id="rId64" w:history="1">
        <w:r w:rsidRPr="006846D8">
          <w:rPr>
            <w:rStyle w:val="Hyperlink"/>
            <w:rFonts w:cs="Times New Roman"/>
            <w:szCs w:val="24"/>
          </w:rPr>
          <w:t>https://doi.org/10.3390/books978-3-03921-905-6</w:t>
        </w:r>
      </w:hyperlink>
    </w:p>
    <w:p w14:paraId="04CEBE89" w14:textId="77777777" w:rsidR="006E6844" w:rsidRPr="00E3132F" w:rsidRDefault="006E6844" w:rsidP="002A55AB">
      <w:pPr>
        <w:pStyle w:val="ListParagraph"/>
        <w:numPr>
          <w:ilvl w:val="0"/>
          <w:numId w:val="15"/>
        </w:numPr>
      </w:pPr>
      <w:r w:rsidRPr="00E3132F">
        <w:rPr>
          <w:rFonts w:cs="Times New Roman"/>
          <w:szCs w:val="24"/>
        </w:rPr>
        <w:t xml:space="preserve">Gehringer, A., &amp; Kowalski, S. (2024). </w:t>
      </w:r>
      <w:r w:rsidRPr="00E3132F">
        <w:rPr>
          <w:rFonts w:cs="Times New Roman"/>
          <w:i/>
          <w:iCs/>
          <w:szCs w:val="24"/>
        </w:rPr>
        <w:t>Mapping sustainability measurement: A review of the approaches, methods, and literature</w:t>
      </w:r>
      <w:r w:rsidRPr="00E3132F">
        <w:rPr>
          <w:rFonts w:cs="Times New Roman"/>
          <w:szCs w:val="24"/>
        </w:rPr>
        <w:t xml:space="preserve">. Springer. </w:t>
      </w:r>
      <w:hyperlink r:id="rId65" w:history="1">
        <w:r w:rsidRPr="00E3132F">
          <w:rPr>
            <w:rStyle w:val="Hyperlink"/>
            <w:rFonts w:cs="Times New Roman"/>
            <w:szCs w:val="24"/>
          </w:rPr>
          <w:t>https://doi.org/10.1007/978-3-031-47382-1</w:t>
        </w:r>
      </w:hyperlink>
    </w:p>
    <w:p w14:paraId="0A703EDA"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Harris, C. R., Millman, K. J., van der Walt, S. J., Gommers, R., Virtanen, P., Cournapeau, D., Oliphant, T. E. (2020). </w:t>
      </w:r>
      <w:r w:rsidRPr="00E3132F">
        <w:rPr>
          <w:rFonts w:cs="Times New Roman"/>
          <w:i/>
          <w:iCs/>
          <w:szCs w:val="24"/>
        </w:rPr>
        <w:t>Array programming with NumPy</w:t>
      </w:r>
      <w:r w:rsidRPr="00E3132F">
        <w:rPr>
          <w:rFonts w:cs="Times New Roman"/>
          <w:szCs w:val="24"/>
        </w:rPr>
        <w:t xml:space="preserve">. Nature, 585(7825), 357–362. </w:t>
      </w:r>
      <w:hyperlink r:id="rId66" w:history="1">
        <w:r w:rsidRPr="00E3132F">
          <w:rPr>
            <w:rStyle w:val="Hyperlink"/>
            <w:rFonts w:cs="Times New Roman"/>
            <w:szCs w:val="24"/>
          </w:rPr>
          <w:t>https://doi.org/10.1038/s41586-020-2649-2</w:t>
        </w:r>
      </w:hyperlink>
    </w:p>
    <w:p w14:paraId="0F27E3B3"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Hegre, H., Petrova, K., &amp; von Uexkull, N. (2020). Synergies and trade-offs in reaching the Sustainable Development Goals. </w:t>
      </w:r>
      <w:r w:rsidRPr="00E3132F">
        <w:rPr>
          <w:rFonts w:cs="Times New Roman"/>
          <w:i/>
          <w:iCs/>
          <w:szCs w:val="24"/>
        </w:rPr>
        <w:t>Sustainability, 12</w:t>
      </w:r>
      <w:r w:rsidRPr="00E3132F">
        <w:rPr>
          <w:rFonts w:cs="Times New Roman"/>
          <w:szCs w:val="24"/>
        </w:rPr>
        <w:t xml:space="preserve">(20), 8729. </w:t>
      </w:r>
      <w:hyperlink r:id="rId67" w:history="1">
        <w:r w:rsidRPr="00E3132F">
          <w:rPr>
            <w:rStyle w:val="Hyperlink"/>
            <w:rFonts w:cs="Times New Roman"/>
            <w:szCs w:val="24"/>
          </w:rPr>
          <w:t>https://doi.org/10.3390/su12208729</w:t>
        </w:r>
      </w:hyperlink>
    </w:p>
    <w:p w14:paraId="08570DD7"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lastRenderedPageBreak/>
        <w:t xml:space="preserve">International Council for Science. (2017). </w:t>
      </w:r>
      <w:r w:rsidRPr="00E3132F">
        <w:rPr>
          <w:rFonts w:cs="Times New Roman"/>
          <w:i/>
          <w:iCs/>
          <w:szCs w:val="24"/>
        </w:rPr>
        <w:t>A guide to SDG interactions: From science to implementation</w:t>
      </w:r>
      <w:r w:rsidRPr="00E3132F">
        <w:rPr>
          <w:rFonts w:cs="Times New Roman"/>
          <w:szCs w:val="24"/>
        </w:rPr>
        <w:t xml:space="preserve"> (D. J. Griggs, M. Nilsson, A. Stevance, &amp; D. McCollum, Eds.). International Council for Science. </w:t>
      </w:r>
      <w:hyperlink r:id="rId68" w:history="1">
        <w:r w:rsidRPr="00E3132F">
          <w:rPr>
            <w:rStyle w:val="Hyperlink"/>
            <w:rFonts w:cs="Times New Roman"/>
            <w:szCs w:val="24"/>
          </w:rPr>
          <w:t>https://council.science/publications/a-guide-to-sdg-interactions-from-science-to-implementation/</w:t>
        </w:r>
      </w:hyperlink>
    </w:p>
    <w:p w14:paraId="0EBAB358"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Microsoft. (2025). </w:t>
      </w:r>
      <w:r w:rsidRPr="00E3132F">
        <w:rPr>
          <w:rFonts w:cs="Times New Roman"/>
          <w:i/>
          <w:iCs/>
          <w:szCs w:val="24"/>
        </w:rPr>
        <w:t>Visual Studio Code</w:t>
      </w:r>
      <w:r w:rsidRPr="00E3132F">
        <w:rPr>
          <w:rFonts w:cs="Times New Roman"/>
          <w:szCs w:val="24"/>
        </w:rPr>
        <w:t xml:space="preserve"> (Version 1.104.1) [Computer software]. </w:t>
      </w:r>
      <w:hyperlink r:id="rId69" w:history="1">
        <w:r w:rsidRPr="00E3132F">
          <w:rPr>
            <w:rStyle w:val="Hyperlink"/>
            <w:rFonts w:cs="Times New Roman"/>
            <w:szCs w:val="24"/>
          </w:rPr>
          <w:t>https://code.visualstudio.com/</w:t>
        </w:r>
      </w:hyperlink>
    </w:p>
    <w:p w14:paraId="2B7F0053"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Niklasson, L. (2019). </w:t>
      </w:r>
      <w:r w:rsidRPr="00E3132F">
        <w:rPr>
          <w:rFonts w:cs="Times New Roman"/>
          <w:i/>
          <w:iCs/>
          <w:szCs w:val="24"/>
        </w:rPr>
        <w:t>Improving the Sustainable Development Goals: Strategies and the governance challenge</w:t>
      </w:r>
      <w:r w:rsidRPr="00E3132F">
        <w:rPr>
          <w:rFonts w:cs="Times New Roman"/>
          <w:szCs w:val="24"/>
        </w:rPr>
        <w:t xml:space="preserve">. Routledge. </w:t>
      </w:r>
      <w:hyperlink r:id="rId70" w:history="1">
        <w:r w:rsidRPr="00E3132F">
          <w:rPr>
            <w:rStyle w:val="Hyperlink"/>
            <w:rFonts w:cs="Times New Roman"/>
            <w:szCs w:val="24"/>
          </w:rPr>
          <w:t>https://doi.org/10.4324/9780429031700</w:t>
        </w:r>
      </w:hyperlink>
    </w:p>
    <w:p w14:paraId="423C4353" w14:textId="77777777" w:rsidR="006E6844" w:rsidRPr="00E3132F" w:rsidRDefault="006E6844" w:rsidP="002A55AB">
      <w:pPr>
        <w:pStyle w:val="ListParagraph"/>
        <w:numPr>
          <w:ilvl w:val="0"/>
          <w:numId w:val="15"/>
        </w:numPr>
        <w:rPr>
          <w:rFonts w:cs="Times New Roman"/>
          <w:szCs w:val="24"/>
        </w:rPr>
      </w:pPr>
      <w:r>
        <w:rPr>
          <w:rFonts w:cs="Times New Roman"/>
          <w:szCs w:val="24"/>
        </w:rPr>
        <w:t xml:space="preserve">NumPy Developers. </w:t>
      </w:r>
      <w:r w:rsidRPr="00E3132F">
        <w:rPr>
          <w:rFonts w:cs="Times New Roman"/>
          <w:szCs w:val="24"/>
        </w:rPr>
        <w:t xml:space="preserve">(2025). </w:t>
      </w:r>
      <w:r w:rsidRPr="00E3132F">
        <w:rPr>
          <w:rFonts w:cs="Times New Roman"/>
          <w:i/>
          <w:iCs/>
          <w:szCs w:val="24"/>
        </w:rPr>
        <w:t>NumPy</w:t>
      </w:r>
      <w:r w:rsidRPr="00E3132F">
        <w:rPr>
          <w:rFonts w:cs="Times New Roman"/>
          <w:szCs w:val="24"/>
        </w:rPr>
        <w:t xml:space="preserve"> (Version 2.3.2) [Computer software]. </w:t>
      </w:r>
      <w:hyperlink r:id="rId71" w:history="1">
        <w:r w:rsidRPr="00E3132F">
          <w:rPr>
            <w:rStyle w:val="Hyperlink"/>
            <w:rFonts w:cs="Times New Roman"/>
            <w:szCs w:val="24"/>
          </w:rPr>
          <w:t>https://numpy.org/</w:t>
        </w:r>
      </w:hyperlink>
    </w:p>
    <w:p w14:paraId="1CEF9275"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OpenAI. (2025). </w:t>
      </w:r>
      <w:r w:rsidRPr="00E3132F">
        <w:rPr>
          <w:rFonts w:cs="Times New Roman"/>
          <w:i/>
          <w:iCs/>
          <w:szCs w:val="24"/>
        </w:rPr>
        <w:t>OpenAI API</w:t>
      </w:r>
      <w:r w:rsidRPr="00E3132F">
        <w:rPr>
          <w:rFonts w:cs="Times New Roman"/>
          <w:szCs w:val="24"/>
        </w:rPr>
        <w:t xml:space="preserve"> (Version 1.108.1) [Computer software]. </w:t>
      </w:r>
      <w:hyperlink r:id="rId72" w:tgtFrame="_new" w:history="1">
        <w:r w:rsidRPr="00E3132F">
          <w:rPr>
            <w:rStyle w:val="Hyperlink"/>
            <w:rFonts w:cs="Times New Roman"/>
            <w:szCs w:val="24"/>
          </w:rPr>
          <w:t>https://platform.openai.com/</w:t>
        </w:r>
      </w:hyperlink>
    </w:p>
    <w:p w14:paraId="2DD25B09" w14:textId="77777777" w:rsidR="006E6844" w:rsidRPr="00E3132F" w:rsidRDefault="006E6844" w:rsidP="002A55AB">
      <w:pPr>
        <w:pStyle w:val="ListParagraph"/>
        <w:numPr>
          <w:ilvl w:val="0"/>
          <w:numId w:val="15"/>
        </w:numPr>
      </w:pPr>
      <w:r w:rsidRPr="00E3132F">
        <w:t xml:space="preserve">Organisation for Economic Co-operation and Development. (2019). </w:t>
      </w:r>
      <w:r w:rsidRPr="00E3132F">
        <w:rPr>
          <w:i/>
          <w:iCs/>
        </w:rPr>
        <w:t>Governance as an</w:t>
      </w:r>
      <w:r>
        <w:rPr>
          <w:i/>
          <w:iCs/>
        </w:rPr>
        <w:t xml:space="preserve"> </w:t>
      </w:r>
      <w:r w:rsidRPr="00E3132F">
        <w:rPr>
          <w:i/>
          <w:iCs/>
        </w:rPr>
        <w:t>SDG accelerator:</w:t>
      </w:r>
      <w:r>
        <w:rPr>
          <w:i/>
          <w:iCs/>
        </w:rPr>
        <w:t xml:space="preserve"> </w:t>
      </w:r>
      <w:r w:rsidRPr="00E3132F">
        <w:rPr>
          <w:i/>
          <w:iCs/>
        </w:rPr>
        <w:t>Country</w:t>
      </w:r>
      <w:r>
        <w:rPr>
          <w:i/>
          <w:iCs/>
        </w:rPr>
        <w:t xml:space="preserve"> </w:t>
      </w:r>
      <w:r w:rsidRPr="00E3132F">
        <w:rPr>
          <w:i/>
          <w:iCs/>
        </w:rPr>
        <w:t>experiences and tools</w:t>
      </w:r>
      <w:r w:rsidRPr="00E3132F">
        <w:t>.</w:t>
      </w:r>
      <w:r>
        <w:t xml:space="preserve"> </w:t>
      </w:r>
      <w:hyperlink r:id="rId73" w:history="1">
        <w:r w:rsidRPr="007F04C2">
          <w:rPr>
            <w:rStyle w:val="Hyperlink"/>
          </w:rPr>
          <w:t>https://doi.org/10.1787/0666b085-en</w:t>
        </w:r>
      </w:hyperlink>
    </w:p>
    <w:p w14:paraId="79FB3B83"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Pandas development team. (2025). </w:t>
      </w:r>
      <w:r w:rsidRPr="00E3132F">
        <w:rPr>
          <w:rFonts w:cs="Times New Roman"/>
          <w:i/>
          <w:iCs/>
          <w:szCs w:val="24"/>
        </w:rPr>
        <w:t>pandas</w:t>
      </w:r>
      <w:r w:rsidRPr="00E3132F">
        <w:rPr>
          <w:rFonts w:cs="Times New Roman"/>
          <w:szCs w:val="24"/>
        </w:rPr>
        <w:t xml:space="preserve"> (Version 2.3.1) [Computer software]. Zenodo. </w:t>
      </w:r>
      <w:hyperlink r:id="rId74" w:history="1">
        <w:r w:rsidRPr="00E3132F">
          <w:rPr>
            <w:rStyle w:val="Hyperlink"/>
            <w:rFonts w:cs="Times New Roman"/>
            <w:szCs w:val="24"/>
          </w:rPr>
          <w:t>https://doi.org/10.5281/zenodo.3509134</w:t>
        </w:r>
      </w:hyperlink>
    </w:p>
    <w:p w14:paraId="3627093A"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Parikh, P., Diep, L., Hofmann, P., Tomei, J., Campos, L. C., Teh, T.-H., Mulugetta, Y., Milligan, B., &amp; Lakhanpaul, M. (2021). </w:t>
      </w:r>
      <w:r w:rsidRPr="00E3132F">
        <w:rPr>
          <w:rFonts w:cs="Times New Roman"/>
          <w:i/>
          <w:iCs/>
          <w:szCs w:val="24"/>
        </w:rPr>
        <w:t>Synergies and trade-offs between sanitation and the sustainable development goals</w:t>
      </w:r>
      <w:r w:rsidRPr="00E3132F">
        <w:rPr>
          <w:rFonts w:cs="Times New Roman"/>
          <w:szCs w:val="24"/>
        </w:rPr>
        <w:t xml:space="preserve">. UCL Open Environment, 2. </w:t>
      </w:r>
      <w:hyperlink r:id="rId75" w:history="1">
        <w:r w:rsidRPr="00E3132F">
          <w:rPr>
            <w:rStyle w:val="Hyperlink"/>
            <w:rFonts w:cs="Times New Roman"/>
            <w:szCs w:val="24"/>
          </w:rPr>
          <w:t>https://doi.org/10.14324/111.444/ucloe.000016</w:t>
        </w:r>
      </w:hyperlink>
    </w:p>
    <w:p w14:paraId="1299BAA2"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Pedregosa, F., Varoquaux, G., Gramfort, A., Michel, V., Thirion, B., Grisel, O., Duchesnay, É. (2011). </w:t>
      </w:r>
      <w:r w:rsidRPr="00E3132F">
        <w:rPr>
          <w:rFonts w:cs="Times New Roman"/>
          <w:i/>
          <w:iCs/>
          <w:szCs w:val="24"/>
        </w:rPr>
        <w:t>Scikit-learn: Machine learning in Python</w:t>
      </w:r>
      <w:r w:rsidRPr="00E3132F">
        <w:rPr>
          <w:rFonts w:cs="Times New Roman"/>
          <w:szCs w:val="24"/>
        </w:rPr>
        <w:t>. Journal of Machine Learning Research, 12, 2825–2830.</w:t>
      </w:r>
    </w:p>
    <w:p w14:paraId="2E99940C"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Plotly Technologies Inc. (</w:t>
      </w:r>
      <w:r>
        <w:rPr>
          <w:rFonts w:cs="Times New Roman"/>
          <w:szCs w:val="24"/>
        </w:rPr>
        <w:t>2025</w:t>
      </w:r>
      <w:r w:rsidRPr="00E3132F">
        <w:rPr>
          <w:rFonts w:cs="Times New Roman"/>
          <w:szCs w:val="24"/>
        </w:rPr>
        <w:t xml:space="preserve">). </w:t>
      </w:r>
      <w:r w:rsidRPr="00E3132F">
        <w:rPr>
          <w:rFonts w:cs="Times New Roman"/>
          <w:i/>
          <w:iCs/>
          <w:szCs w:val="24"/>
        </w:rPr>
        <w:t>Plotly</w:t>
      </w:r>
      <w:r w:rsidRPr="00E3132F">
        <w:rPr>
          <w:rFonts w:cs="Times New Roman"/>
          <w:szCs w:val="24"/>
        </w:rPr>
        <w:t xml:space="preserve"> (Version 6.3.0) [Computer software]. </w:t>
      </w:r>
      <w:hyperlink r:id="rId76" w:history="1">
        <w:r w:rsidRPr="00E3132F">
          <w:rPr>
            <w:rStyle w:val="Hyperlink"/>
            <w:rFonts w:cs="Times New Roman"/>
            <w:szCs w:val="24"/>
          </w:rPr>
          <w:t>https://plotly.com/python/</w:t>
        </w:r>
      </w:hyperlink>
    </w:p>
    <w:p w14:paraId="54D156DE"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Python Software Foundation. (2025). </w:t>
      </w:r>
      <w:r w:rsidRPr="00E3132F">
        <w:rPr>
          <w:rFonts w:cs="Times New Roman"/>
          <w:i/>
          <w:iCs/>
          <w:szCs w:val="24"/>
        </w:rPr>
        <w:t>Python</w:t>
      </w:r>
      <w:r w:rsidRPr="00E3132F">
        <w:rPr>
          <w:rFonts w:cs="Times New Roman"/>
          <w:szCs w:val="24"/>
        </w:rPr>
        <w:t xml:space="preserve"> (Version</w:t>
      </w:r>
      <w:r>
        <w:rPr>
          <w:rFonts w:cs="Times New Roman"/>
          <w:szCs w:val="24"/>
        </w:rPr>
        <w:t>s</w:t>
      </w:r>
      <w:r w:rsidRPr="00E3132F">
        <w:rPr>
          <w:rFonts w:cs="Times New Roman"/>
          <w:szCs w:val="24"/>
        </w:rPr>
        <w:t xml:space="preserve"> 3.13.7) [Computer software]. </w:t>
      </w:r>
      <w:hyperlink r:id="rId77" w:tgtFrame="_new" w:history="1">
        <w:r w:rsidRPr="00E3132F">
          <w:rPr>
            <w:rStyle w:val="Hyperlink"/>
            <w:rFonts w:cs="Times New Roman"/>
            <w:szCs w:val="24"/>
          </w:rPr>
          <w:t>https://www.python.org/</w:t>
        </w:r>
      </w:hyperlink>
    </w:p>
    <w:p w14:paraId="7DFE5990" w14:textId="77777777" w:rsidR="006E6844" w:rsidRPr="00E3132F" w:rsidRDefault="006E6844" w:rsidP="002A55AB">
      <w:pPr>
        <w:pStyle w:val="ListParagraph"/>
        <w:numPr>
          <w:ilvl w:val="0"/>
          <w:numId w:val="15"/>
        </w:numPr>
      </w:pPr>
      <w:r w:rsidRPr="00E3132F">
        <w:rPr>
          <w:rFonts w:cs="Times New Roman"/>
          <w:szCs w:val="24"/>
        </w:rPr>
        <w:t xml:space="preserve">Sachs, J.D., Lafortune, G., Fuller, G., Iablonovski, G. (2025). </w:t>
      </w:r>
      <w:r w:rsidRPr="00E3132F">
        <w:rPr>
          <w:rFonts w:cs="Times New Roman"/>
          <w:i/>
          <w:iCs/>
          <w:szCs w:val="24"/>
        </w:rPr>
        <w:t>Financing Sustainable Development to 2030 and Mid-Century</w:t>
      </w:r>
      <w:r w:rsidRPr="00E3132F">
        <w:rPr>
          <w:rFonts w:cs="Times New Roman"/>
          <w:szCs w:val="24"/>
        </w:rPr>
        <w:t xml:space="preserve">. Sustainable Development Report 2025. Paris: SDSN, Dublin: Dublin University Press. DOI: </w:t>
      </w:r>
      <w:hyperlink r:id="rId78" w:history="1">
        <w:r w:rsidRPr="00E3132F">
          <w:rPr>
            <w:rStyle w:val="Hyperlink"/>
            <w:rFonts w:cs="Times New Roman"/>
            <w:szCs w:val="24"/>
          </w:rPr>
          <w:t>https://doi.org/10.25546/111909</w:t>
        </w:r>
      </w:hyperlink>
    </w:p>
    <w:p w14:paraId="21BEDE21"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SDSN. (2025). </w:t>
      </w:r>
      <w:r w:rsidRPr="00E3132F">
        <w:rPr>
          <w:rFonts w:cs="Times New Roman"/>
          <w:i/>
          <w:iCs/>
          <w:szCs w:val="24"/>
        </w:rPr>
        <w:t>SDG Index &amp; Dashboards — Data downloads</w:t>
      </w:r>
      <w:r w:rsidRPr="00E3132F">
        <w:rPr>
          <w:rFonts w:cs="Times New Roman"/>
          <w:szCs w:val="24"/>
        </w:rPr>
        <w:t xml:space="preserve">. </w:t>
      </w:r>
      <w:hyperlink r:id="rId79" w:tgtFrame="_new" w:history="1">
        <w:r w:rsidRPr="00E3132F">
          <w:rPr>
            <w:rStyle w:val="Hyperlink"/>
            <w:rFonts w:cs="Times New Roman"/>
            <w:szCs w:val="24"/>
          </w:rPr>
          <w:t>https://dashboards.sdgindex.org/downloads</w:t>
        </w:r>
      </w:hyperlink>
    </w:p>
    <w:p w14:paraId="325C525C" w14:textId="77777777" w:rsidR="006E6844" w:rsidRDefault="006E6844" w:rsidP="00F5696C">
      <w:pPr>
        <w:pStyle w:val="ListParagraph"/>
        <w:numPr>
          <w:ilvl w:val="0"/>
          <w:numId w:val="15"/>
        </w:numPr>
      </w:pPr>
      <w:r w:rsidRPr="00982987">
        <w:lastRenderedPageBreak/>
        <w:t xml:space="preserve">Seacor, J. E. (2025). </w:t>
      </w:r>
      <w:r>
        <w:rPr>
          <w:i/>
          <w:iCs/>
        </w:rPr>
        <w:t xml:space="preserve">Analyzing global SDG goals to identify correlations and trends. </w:t>
      </w:r>
      <w:r w:rsidRPr="00E62554">
        <w:t>[Kaggle notebook (v6)</w:t>
      </w:r>
      <w:r>
        <w:t>]</w:t>
      </w:r>
      <w:r w:rsidRPr="00982987">
        <w:t>. Kaggle.</w:t>
      </w:r>
      <w:r>
        <w:t xml:space="preserve"> </w:t>
      </w:r>
      <w:hyperlink r:id="rId80" w:history="1">
        <w:r w:rsidRPr="001F0CE0">
          <w:rPr>
            <w:rStyle w:val="Hyperlink"/>
          </w:rPr>
          <w:t>https://www.kaggle.com/code/jeseacor/analyzing-global-sdg-indicators</w:t>
        </w:r>
      </w:hyperlink>
    </w:p>
    <w:p w14:paraId="1AD05A02" w14:textId="77777777" w:rsidR="006E6844" w:rsidRDefault="006E6844" w:rsidP="000E0106">
      <w:pPr>
        <w:pStyle w:val="ListParagraph"/>
        <w:numPr>
          <w:ilvl w:val="0"/>
          <w:numId w:val="15"/>
        </w:numPr>
      </w:pPr>
      <w:r w:rsidRPr="00BE2BC5">
        <w:t xml:space="preserve">Seacor, J. E. (2025). </w:t>
      </w:r>
      <w:r>
        <w:rPr>
          <w:i/>
          <w:iCs/>
        </w:rPr>
        <w:t>GoalScope SDG Analytics Hub</w:t>
      </w:r>
      <w:r w:rsidRPr="00BE2BC5">
        <w:t xml:space="preserve"> (Version v1.0) [</w:t>
      </w:r>
      <w:r>
        <w:t>App</w:t>
      </w:r>
      <w:r w:rsidRPr="00BE2BC5">
        <w:t xml:space="preserve">]. </w:t>
      </w:r>
      <w:r>
        <w:t>Streamlit</w:t>
      </w:r>
      <w:r w:rsidRPr="00BE2BC5">
        <w:t xml:space="preserve">. </w:t>
      </w:r>
      <w:hyperlink r:id="rId81" w:history="1">
        <w:r w:rsidRPr="001F0CE0">
          <w:rPr>
            <w:rStyle w:val="Hyperlink"/>
          </w:rPr>
          <w:t>https://goalscope.streamlit.app/</w:t>
        </w:r>
      </w:hyperlink>
    </w:p>
    <w:p w14:paraId="4619B640" w14:textId="77777777" w:rsidR="006E6844" w:rsidRDefault="006E6844" w:rsidP="000E0106">
      <w:pPr>
        <w:pStyle w:val="ListParagraph"/>
        <w:numPr>
          <w:ilvl w:val="0"/>
          <w:numId w:val="15"/>
        </w:numPr>
      </w:pPr>
      <w:r w:rsidRPr="00BE2BC5">
        <w:t xml:space="preserve">Seacor, J. E. (2025). </w:t>
      </w:r>
      <w:r w:rsidRPr="000E0106">
        <w:rPr>
          <w:i/>
          <w:iCs/>
        </w:rPr>
        <w:t>GoalScope SDG Analytics Hub</w:t>
      </w:r>
      <w:r w:rsidRPr="00BE2BC5">
        <w:t xml:space="preserve"> (Version v1.0) [Source code]. GitHub. </w:t>
      </w:r>
      <w:hyperlink r:id="rId82" w:tgtFrame="_new" w:history="1">
        <w:r w:rsidRPr="00BE2BC5">
          <w:rPr>
            <w:rStyle w:val="Hyperlink"/>
          </w:rPr>
          <w:t>https://github.com/jeseacor/sdg_streamlit</w:t>
        </w:r>
      </w:hyperlink>
    </w:p>
    <w:p w14:paraId="63717F94"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Stockholm Resilience Centre. (2016, June 14). </w:t>
      </w:r>
      <w:r w:rsidRPr="00E3132F">
        <w:rPr>
          <w:rFonts w:cs="Times New Roman"/>
          <w:i/>
          <w:iCs/>
          <w:szCs w:val="24"/>
        </w:rPr>
        <w:t>The SDGs wedding cake</w:t>
      </w:r>
      <w:r w:rsidRPr="00E3132F">
        <w:rPr>
          <w:rFonts w:cs="Times New Roman"/>
          <w:szCs w:val="24"/>
        </w:rPr>
        <w:t xml:space="preserve">. </w:t>
      </w:r>
      <w:hyperlink r:id="rId83" w:tgtFrame="_new" w:history="1">
        <w:r w:rsidRPr="00E3132F">
          <w:rPr>
            <w:rStyle w:val="Hyperlink"/>
            <w:rFonts w:cs="Times New Roman"/>
            <w:szCs w:val="24"/>
          </w:rPr>
          <w:t>https://www.stockholmresilience.org/research/research-news/2016-06-14-the-sdgs-wedding-cake.html</w:t>
        </w:r>
      </w:hyperlink>
    </w:p>
    <w:p w14:paraId="143831CD"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Streamlit. (2025). </w:t>
      </w:r>
      <w:r w:rsidRPr="00E3132F">
        <w:rPr>
          <w:rFonts w:cs="Times New Roman"/>
          <w:i/>
          <w:iCs/>
          <w:szCs w:val="24"/>
        </w:rPr>
        <w:t>Streamlit documentation</w:t>
      </w:r>
      <w:r w:rsidRPr="00E3132F">
        <w:rPr>
          <w:rFonts w:cs="Times New Roman"/>
          <w:szCs w:val="24"/>
        </w:rPr>
        <w:t xml:space="preserve">. </w:t>
      </w:r>
      <w:hyperlink r:id="rId84" w:history="1">
        <w:r w:rsidRPr="00E3132F">
          <w:rPr>
            <w:rStyle w:val="Hyperlink"/>
            <w:rFonts w:cs="Times New Roman"/>
            <w:szCs w:val="24"/>
          </w:rPr>
          <w:t>https://docs.streamlit.io/</w:t>
        </w:r>
      </w:hyperlink>
    </w:p>
    <w:p w14:paraId="4ADB4191"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Swain, R. B., &amp; Dobers, P. (Eds.). (2025). </w:t>
      </w:r>
      <w:r w:rsidRPr="00E3132F">
        <w:rPr>
          <w:rFonts w:cs="Times New Roman"/>
          <w:i/>
          <w:iCs/>
          <w:szCs w:val="24"/>
        </w:rPr>
        <w:t>Routledge handbook of the UN Sustainable Development Goals research and policy</w:t>
      </w:r>
      <w:r w:rsidRPr="00E3132F">
        <w:rPr>
          <w:rFonts w:cs="Times New Roman"/>
          <w:szCs w:val="24"/>
        </w:rPr>
        <w:t xml:space="preserve">. Routledge. </w:t>
      </w:r>
      <w:hyperlink r:id="rId85" w:history="1">
        <w:r w:rsidRPr="00E3132F">
          <w:rPr>
            <w:rStyle w:val="Hyperlink"/>
            <w:rFonts w:cs="Times New Roman"/>
            <w:szCs w:val="24"/>
          </w:rPr>
          <w:t>https://doi.org/10.4324/9781003285472</w:t>
        </w:r>
      </w:hyperlink>
    </w:p>
    <w:p w14:paraId="586F2513" w14:textId="77777777" w:rsidR="006E6844" w:rsidRPr="00E3132F" w:rsidRDefault="006E6844" w:rsidP="002A55AB">
      <w:pPr>
        <w:pStyle w:val="ListParagraph"/>
        <w:numPr>
          <w:ilvl w:val="0"/>
          <w:numId w:val="15"/>
        </w:numPr>
      </w:pPr>
      <w:r w:rsidRPr="00E3132F">
        <w:t xml:space="preserve">Tauringana, V., and Moses, O. Eds. (2022). </w:t>
      </w:r>
      <w:r w:rsidRPr="00E3132F">
        <w:rPr>
          <w:i/>
          <w:iCs/>
        </w:rPr>
        <w:t>Environmental sustainability and Agenda 2030: Efforts, progress and prospects</w:t>
      </w:r>
      <w:r w:rsidRPr="00E3132F">
        <w:t xml:space="preserve">. Emerald Publishing. </w:t>
      </w:r>
      <w:hyperlink r:id="rId86" w:history="1">
        <w:r w:rsidRPr="00E3132F">
          <w:rPr>
            <w:rStyle w:val="Hyperlink"/>
          </w:rPr>
          <w:t>https://doi.org/10.1108/S1479-3598202210</w:t>
        </w:r>
      </w:hyperlink>
    </w:p>
    <w:p w14:paraId="608437AA" w14:textId="77777777" w:rsidR="006E6844" w:rsidRPr="00E3132F" w:rsidRDefault="006E6844" w:rsidP="002A55AB">
      <w:pPr>
        <w:pStyle w:val="ListParagraph"/>
        <w:numPr>
          <w:ilvl w:val="0"/>
          <w:numId w:val="15"/>
        </w:numPr>
        <w:rPr>
          <w:rFonts w:cs="Times New Roman"/>
          <w:szCs w:val="24"/>
        </w:rPr>
      </w:pPr>
      <w:r w:rsidRPr="00E3132F">
        <w:rPr>
          <w:rFonts w:cs="Times New Roman"/>
          <w:szCs w:val="24"/>
        </w:rPr>
        <w:t xml:space="preserve">United Nations Statistics Division. (2025). </w:t>
      </w:r>
      <w:r w:rsidRPr="00E3132F">
        <w:rPr>
          <w:rFonts w:cs="Times New Roman"/>
          <w:i/>
          <w:iCs/>
          <w:szCs w:val="24"/>
        </w:rPr>
        <w:t>UN SDG API</w:t>
      </w:r>
      <w:r w:rsidRPr="00E3132F">
        <w:rPr>
          <w:rFonts w:cs="Times New Roman"/>
          <w:szCs w:val="24"/>
        </w:rPr>
        <w:t xml:space="preserve">. Retrieved from </w:t>
      </w:r>
      <w:hyperlink r:id="rId87" w:history="1">
        <w:r w:rsidRPr="00E3132F">
          <w:rPr>
            <w:rStyle w:val="Hyperlink"/>
            <w:rFonts w:cs="Times New Roman"/>
            <w:szCs w:val="24"/>
          </w:rPr>
          <w:t>https://unstats.un.org/SDGAPI/swagger/</w:t>
        </w:r>
      </w:hyperlink>
    </w:p>
    <w:p w14:paraId="163C3037" w14:textId="77777777" w:rsidR="006E6844" w:rsidRDefault="006E6844" w:rsidP="004F539F">
      <w:pPr>
        <w:pStyle w:val="ListParagraph"/>
        <w:numPr>
          <w:ilvl w:val="0"/>
          <w:numId w:val="15"/>
        </w:numPr>
      </w:pPr>
      <w:r w:rsidRPr="004F539F">
        <w:rPr>
          <w:rFonts w:cs="Times New Roman"/>
          <w:szCs w:val="24"/>
        </w:rPr>
        <w:t xml:space="preserve">Zerunyan, F. V., &amp; Duzert, Y. (2024). </w:t>
      </w:r>
      <w:r w:rsidRPr="004F539F">
        <w:rPr>
          <w:rFonts w:cs="Times New Roman"/>
          <w:i/>
          <w:iCs/>
          <w:szCs w:val="24"/>
        </w:rPr>
        <w:t>Advancing and negotiating Sustainable Development Goals (SDGs): A practical toolkit</w:t>
      </w:r>
      <w:r w:rsidRPr="004F539F">
        <w:rPr>
          <w:rFonts w:cs="Times New Roman"/>
          <w:szCs w:val="24"/>
        </w:rPr>
        <w:t xml:space="preserve">. Routledge. </w:t>
      </w:r>
      <w:hyperlink r:id="rId88" w:history="1">
        <w:r w:rsidRPr="00EE5A50">
          <w:rPr>
            <w:rStyle w:val="Hyperlink"/>
            <w:rFonts w:cs="Times New Roman"/>
            <w:szCs w:val="24"/>
          </w:rPr>
          <w:t>https://doi.org/10.4324/9781003497097</w:t>
        </w:r>
      </w:hyperlink>
    </w:p>
    <w:p w14:paraId="0321504F" w14:textId="77777777" w:rsidR="00146B10" w:rsidRPr="00146B10" w:rsidRDefault="00146B10" w:rsidP="00146B10">
      <w:pPr>
        <w:rPr>
          <w:rFonts w:cs="Times New Roman"/>
          <w:szCs w:val="24"/>
        </w:rPr>
      </w:pPr>
    </w:p>
    <w:sectPr w:rsidR="00146B10" w:rsidRPr="00146B10" w:rsidSect="008047C4">
      <w:footerReference w:type="default" r:id="rId89"/>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C3361" w14:textId="77777777" w:rsidR="005265E5" w:rsidRDefault="005265E5" w:rsidP="00B33C54">
      <w:pPr>
        <w:spacing w:line="240" w:lineRule="auto"/>
      </w:pPr>
      <w:r>
        <w:separator/>
      </w:r>
    </w:p>
  </w:endnote>
  <w:endnote w:type="continuationSeparator" w:id="0">
    <w:p w14:paraId="3FF343FE" w14:textId="77777777" w:rsidR="005265E5" w:rsidRDefault="005265E5" w:rsidP="00B33C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048F1" w14:textId="56D8A402" w:rsidR="0083390D" w:rsidRPr="00DB3C14" w:rsidRDefault="00000000" w:rsidP="00FB3B98">
    <w:pPr>
      <w:pStyle w:val="Footer"/>
      <w:pBdr>
        <w:top w:val="single" w:sz="4" w:space="1" w:color="D9D9D9" w:themeColor="background1" w:themeShade="D9"/>
      </w:pBdr>
      <w:tabs>
        <w:tab w:val="clear" w:pos="4680"/>
        <w:tab w:val="clear" w:pos="9360"/>
        <w:tab w:val="right" w:pos="9026"/>
      </w:tabs>
      <w:jc w:val="left"/>
      <w:rPr>
        <w:b/>
        <w:bCs/>
      </w:rPr>
    </w:pPr>
    <w:sdt>
      <w:sdtPr>
        <w:rPr>
          <w:noProof w:val="0"/>
        </w:rPr>
        <w:id w:val="1217546763"/>
        <w:docPartObj>
          <w:docPartGallery w:val="Page Numbers (Bottom of Page)"/>
          <w:docPartUnique/>
        </w:docPartObj>
      </w:sdtPr>
      <w:sdtEndPr>
        <w:rPr>
          <w:noProof/>
          <w:color w:val="7F7F7F" w:themeColor="background1" w:themeShade="7F"/>
          <w:spacing w:val="60"/>
        </w:rPr>
      </w:sdtEndPr>
      <w:sdtContent>
        <w:r w:rsidR="00DB3C14">
          <w:rPr>
            <w:noProof w:val="0"/>
          </w:rPr>
          <w:fldChar w:fldCharType="begin"/>
        </w:r>
        <w:r w:rsidR="00DB3C14">
          <w:instrText xml:space="preserve"> PAGE   \* MERGEFORMAT </w:instrText>
        </w:r>
        <w:r w:rsidR="00DB3C14">
          <w:rPr>
            <w:noProof w:val="0"/>
          </w:rPr>
          <w:fldChar w:fldCharType="separate"/>
        </w:r>
        <w:r w:rsidR="00DB3C14">
          <w:rPr>
            <w:b/>
            <w:bCs/>
          </w:rPr>
          <w:t>2</w:t>
        </w:r>
        <w:r w:rsidR="00DB3C14">
          <w:rPr>
            <w:b/>
            <w:bCs/>
          </w:rPr>
          <w:fldChar w:fldCharType="end"/>
        </w:r>
        <w:r w:rsidR="00DB3C14">
          <w:rPr>
            <w:b/>
            <w:bCs/>
          </w:rPr>
          <w:t xml:space="preserve"> | </w:t>
        </w:r>
        <w:r w:rsidR="00DB3C14">
          <w:rPr>
            <w:color w:val="7F7F7F" w:themeColor="background1" w:themeShade="7F"/>
            <w:spacing w:val="60"/>
          </w:rPr>
          <w:t>Page</w:t>
        </w:r>
      </w:sdtContent>
    </w:sdt>
    <w:r w:rsidR="00FB3B98">
      <w:rPr>
        <w:color w:val="7F7F7F" w:themeColor="background1" w:themeShade="7F"/>
        <w:spacing w:val="6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D6034" w14:textId="77777777" w:rsidR="005265E5" w:rsidRDefault="005265E5" w:rsidP="00B33C54">
      <w:pPr>
        <w:spacing w:line="240" w:lineRule="auto"/>
      </w:pPr>
      <w:r>
        <w:separator/>
      </w:r>
    </w:p>
  </w:footnote>
  <w:footnote w:type="continuationSeparator" w:id="0">
    <w:p w14:paraId="2746DC38" w14:textId="77777777" w:rsidR="005265E5" w:rsidRDefault="005265E5" w:rsidP="00B33C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2E44" w14:textId="618EFC79" w:rsidR="005C6E60" w:rsidRDefault="00E224BE">
    <w:pPr>
      <w:pStyle w:val="Header"/>
    </w:pPr>
    <w:r>
      <w:t>Student ID: 24007226</w:t>
    </w:r>
    <w:r w:rsidR="00FB6F25">
      <w:t xml:space="preserve"> | </w:t>
    </w:r>
    <w:r w:rsidR="00084C12" w:rsidRPr="00084C12">
      <w:t>24011574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E771086"/>
    <w:multiLevelType w:val="multilevel"/>
    <w:tmpl w:val="537AF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047DDC"/>
    <w:multiLevelType w:val="hybridMultilevel"/>
    <w:tmpl w:val="D3B8B4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128F196C"/>
    <w:multiLevelType w:val="multilevel"/>
    <w:tmpl w:val="0D1E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D3AA7"/>
    <w:multiLevelType w:val="multilevel"/>
    <w:tmpl w:val="326243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2775B"/>
    <w:multiLevelType w:val="multilevel"/>
    <w:tmpl w:val="937C80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B3C1100"/>
    <w:multiLevelType w:val="multilevel"/>
    <w:tmpl w:val="D2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53F59"/>
    <w:multiLevelType w:val="multilevel"/>
    <w:tmpl w:val="EDF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83F1B"/>
    <w:multiLevelType w:val="multilevel"/>
    <w:tmpl w:val="710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52290"/>
    <w:multiLevelType w:val="hybridMultilevel"/>
    <w:tmpl w:val="CCFC541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5EC59B5"/>
    <w:multiLevelType w:val="hybridMultilevel"/>
    <w:tmpl w:val="BBF64CA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364B0A9E"/>
    <w:multiLevelType w:val="hybridMultilevel"/>
    <w:tmpl w:val="F03CB9D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398848F7"/>
    <w:multiLevelType w:val="hybridMultilevel"/>
    <w:tmpl w:val="1DFE1AB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A4404D8"/>
    <w:multiLevelType w:val="multilevel"/>
    <w:tmpl w:val="326243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867272"/>
    <w:multiLevelType w:val="multilevel"/>
    <w:tmpl w:val="83E6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12FB6"/>
    <w:multiLevelType w:val="hybridMultilevel"/>
    <w:tmpl w:val="51464AF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3DC0203F"/>
    <w:multiLevelType w:val="multilevel"/>
    <w:tmpl w:val="326243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4529AA"/>
    <w:multiLevelType w:val="multilevel"/>
    <w:tmpl w:val="3230E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A6481"/>
    <w:multiLevelType w:val="multilevel"/>
    <w:tmpl w:val="E7E6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27A3D"/>
    <w:multiLevelType w:val="multilevel"/>
    <w:tmpl w:val="A5D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E1E33"/>
    <w:multiLevelType w:val="multilevel"/>
    <w:tmpl w:val="A7E6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F5C5A"/>
    <w:multiLevelType w:val="multilevel"/>
    <w:tmpl w:val="76D8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663FF"/>
    <w:multiLevelType w:val="hybridMultilevel"/>
    <w:tmpl w:val="34C6E40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5A496E30"/>
    <w:multiLevelType w:val="multilevel"/>
    <w:tmpl w:val="CD9C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26925"/>
    <w:multiLevelType w:val="hybridMultilevel"/>
    <w:tmpl w:val="9C7E124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65140A0B"/>
    <w:multiLevelType w:val="hybridMultilevel"/>
    <w:tmpl w:val="558E86E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6D384E96"/>
    <w:multiLevelType w:val="hybridMultilevel"/>
    <w:tmpl w:val="FF38C0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70D72CB8"/>
    <w:multiLevelType w:val="multilevel"/>
    <w:tmpl w:val="890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11590"/>
    <w:multiLevelType w:val="hybridMultilevel"/>
    <w:tmpl w:val="45729CC6"/>
    <w:lvl w:ilvl="0" w:tplc="1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670764B"/>
    <w:multiLevelType w:val="multilevel"/>
    <w:tmpl w:val="DBACD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E1E1A"/>
    <w:multiLevelType w:val="hybridMultilevel"/>
    <w:tmpl w:val="DD7695D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153987742">
    <w:abstractNumId w:val="5"/>
  </w:num>
  <w:num w:numId="2" w16cid:durableId="1670518852">
    <w:abstractNumId w:val="3"/>
  </w:num>
  <w:num w:numId="3" w16cid:durableId="1017075124">
    <w:abstractNumId w:val="2"/>
  </w:num>
  <w:num w:numId="4" w16cid:durableId="1001002744">
    <w:abstractNumId w:val="4"/>
  </w:num>
  <w:num w:numId="5" w16cid:durableId="1219897651">
    <w:abstractNumId w:val="1"/>
  </w:num>
  <w:num w:numId="6" w16cid:durableId="108471205">
    <w:abstractNumId w:val="0"/>
  </w:num>
  <w:num w:numId="7" w16cid:durableId="2079402059">
    <w:abstractNumId w:val="12"/>
  </w:num>
  <w:num w:numId="8" w16cid:durableId="1642031783">
    <w:abstractNumId w:val="25"/>
  </w:num>
  <w:num w:numId="9" w16cid:durableId="548760504">
    <w:abstractNumId w:val="15"/>
  </w:num>
  <w:num w:numId="10" w16cid:durableId="1764912860">
    <w:abstractNumId w:val="20"/>
  </w:num>
  <w:num w:numId="11" w16cid:durableId="1536310724">
    <w:abstractNumId w:val="22"/>
  </w:num>
  <w:num w:numId="12" w16cid:durableId="1356886416">
    <w:abstractNumId w:val="9"/>
  </w:num>
  <w:num w:numId="13" w16cid:durableId="1941449644">
    <w:abstractNumId w:val="7"/>
  </w:num>
  <w:num w:numId="14" w16cid:durableId="333807304">
    <w:abstractNumId w:val="10"/>
  </w:num>
  <w:num w:numId="15" w16cid:durableId="1754617905">
    <w:abstractNumId w:val="33"/>
  </w:num>
  <w:num w:numId="16" w16cid:durableId="444083610">
    <w:abstractNumId w:val="19"/>
  </w:num>
  <w:num w:numId="17" w16cid:durableId="740372902">
    <w:abstractNumId w:val="29"/>
  </w:num>
  <w:num w:numId="18" w16cid:durableId="643316284">
    <w:abstractNumId w:val="13"/>
  </w:num>
  <w:num w:numId="19" w16cid:durableId="986514783">
    <w:abstractNumId w:val="32"/>
  </w:num>
  <w:num w:numId="20" w16cid:durableId="2131589094">
    <w:abstractNumId w:val="35"/>
  </w:num>
  <w:num w:numId="21" w16cid:durableId="1421639134">
    <w:abstractNumId w:val="26"/>
  </w:num>
  <w:num w:numId="22" w16cid:durableId="200366848">
    <w:abstractNumId w:val="21"/>
  </w:num>
  <w:num w:numId="23" w16cid:durableId="290017788">
    <w:abstractNumId w:val="18"/>
  </w:num>
  <w:num w:numId="24" w16cid:durableId="602346102">
    <w:abstractNumId w:val="11"/>
  </w:num>
  <w:num w:numId="25" w16cid:durableId="839810140">
    <w:abstractNumId w:val="28"/>
  </w:num>
  <w:num w:numId="26" w16cid:durableId="1199969922">
    <w:abstractNumId w:val="16"/>
  </w:num>
  <w:num w:numId="27" w16cid:durableId="1864661948">
    <w:abstractNumId w:val="14"/>
  </w:num>
  <w:num w:numId="28" w16cid:durableId="1063524874">
    <w:abstractNumId w:val="34"/>
  </w:num>
  <w:num w:numId="29" w16cid:durableId="1812551712">
    <w:abstractNumId w:val="23"/>
  </w:num>
  <w:num w:numId="30" w16cid:durableId="1364551089">
    <w:abstractNumId w:val="8"/>
  </w:num>
  <w:num w:numId="31" w16cid:durableId="1453205777">
    <w:abstractNumId w:val="33"/>
    <w:lvlOverride w:ilvl="0">
      <w:startOverride w:val="1"/>
    </w:lvlOverride>
    <w:lvlOverride w:ilvl="1"/>
    <w:lvlOverride w:ilvl="2"/>
    <w:lvlOverride w:ilvl="3"/>
    <w:lvlOverride w:ilvl="4"/>
    <w:lvlOverride w:ilvl="5"/>
    <w:lvlOverride w:ilvl="6"/>
    <w:lvlOverride w:ilvl="7"/>
    <w:lvlOverride w:ilvl="8"/>
  </w:num>
  <w:num w:numId="32" w16cid:durableId="1431005982">
    <w:abstractNumId w:val="17"/>
  </w:num>
  <w:num w:numId="33" w16cid:durableId="673456936">
    <w:abstractNumId w:val="31"/>
  </w:num>
  <w:num w:numId="34" w16cid:durableId="1177501278">
    <w:abstractNumId w:val="30"/>
  </w:num>
  <w:num w:numId="35" w16cid:durableId="36588650">
    <w:abstractNumId w:val="27"/>
  </w:num>
  <w:num w:numId="36" w16cid:durableId="1877279423">
    <w:abstractNumId w:val="24"/>
  </w:num>
  <w:num w:numId="37" w16cid:durableId="517352089">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ocumentProtection w:edit="trackedChanges" w:enforcement="1" w:cryptProviderType="rsaAES" w:cryptAlgorithmClass="hash" w:cryptAlgorithmType="typeAny" w:cryptAlgorithmSid="14" w:cryptSpinCount="100000" w:hash="6Sid5dOxnTjJdc7vBVStemTbylukGT8uO90Q2nZHmMjFLv+fpDPBPs9AZzhUvxswNFI7mk1X2KrYuBzHqNj79Q==" w:salt="XsH7MmJjvuIqZnxXeDfTC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C783DCE1-C777-4E31-BA70-F5ED1976D1B1}"/>
    <w:docVar w:name="dgnword-eventsink" w:val="2527739409792"/>
  </w:docVars>
  <w:rsids>
    <w:rsidRoot w:val="00B47730"/>
    <w:rsid w:val="00000825"/>
    <w:rsid w:val="00000E2D"/>
    <w:rsid w:val="00001CEA"/>
    <w:rsid w:val="0000235B"/>
    <w:rsid w:val="00003032"/>
    <w:rsid w:val="000043DF"/>
    <w:rsid w:val="00004C8A"/>
    <w:rsid w:val="000073C8"/>
    <w:rsid w:val="0001027C"/>
    <w:rsid w:val="00010B8F"/>
    <w:rsid w:val="00012541"/>
    <w:rsid w:val="00013836"/>
    <w:rsid w:val="000148D6"/>
    <w:rsid w:val="0002037B"/>
    <w:rsid w:val="00021047"/>
    <w:rsid w:val="0002163F"/>
    <w:rsid w:val="00021F9A"/>
    <w:rsid w:val="000223D3"/>
    <w:rsid w:val="00022486"/>
    <w:rsid w:val="00022635"/>
    <w:rsid w:val="000233AA"/>
    <w:rsid w:val="000236F3"/>
    <w:rsid w:val="00023E7F"/>
    <w:rsid w:val="000254AB"/>
    <w:rsid w:val="000259BB"/>
    <w:rsid w:val="00026411"/>
    <w:rsid w:val="00027A17"/>
    <w:rsid w:val="00027A24"/>
    <w:rsid w:val="0003006C"/>
    <w:rsid w:val="00030969"/>
    <w:rsid w:val="0003175F"/>
    <w:rsid w:val="00031BF6"/>
    <w:rsid w:val="0003322D"/>
    <w:rsid w:val="0003440F"/>
    <w:rsid w:val="00034616"/>
    <w:rsid w:val="0003596D"/>
    <w:rsid w:val="00035F35"/>
    <w:rsid w:val="00036886"/>
    <w:rsid w:val="00037842"/>
    <w:rsid w:val="0003798F"/>
    <w:rsid w:val="00041AB6"/>
    <w:rsid w:val="00042BFF"/>
    <w:rsid w:val="0004313E"/>
    <w:rsid w:val="0004417D"/>
    <w:rsid w:val="00044BFB"/>
    <w:rsid w:val="00046F27"/>
    <w:rsid w:val="00047D2D"/>
    <w:rsid w:val="00050E87"/>
    <w:rsid w:val="000514D3"/>
    <w:rsid w:val="00051D1A"/>
    <w:rsid w:val="00051D54"/>
    <w:rsid w:val="0005231E"/>
    <w:rsid w:val="00054994"/>
    <w:rsid w:val="000564F9"/>
    <w:rsid w:val="0005682C"/>
    <w:rsid w:val="00056C18"/>
    <w:rsid w:val="00057477"/>
    <w:rsid w:val="00057BF5"/>
    <w:rsid w:val="00057E67"/>
    <w:rsid w:val="00060330"/>
    <w:rsid w:val="0006063C"/>
    <w:rsid w:val="000614CF"/>
    <w:rsid w:val="00062FD2"/>
    <w:rsid w:val="00063570"/>
    <w:rsid w:val="0006364B"/>
    <w:rsid w:val="0006477C"/>
    <w:rsid w:val="000659AA"/>
    <w:rsid w:val="00066FE7"/>
    <w:rsid w:val="000674D6"/>
    <w:rsid w:val="00067B62"/>
    <w:rsid w:val="0007025A"/>
    <w:rsid w:val="0007055A"/>
    <w:rsid w:val="0007070C"/>
    <w:rsid w:val="000709F2"/>
    <w:rsid w:val="00070EC7"/>
    <w:rsid w:val="000748F5"/>
    <w:rsid w:val="00075B24"/>
    <w:rsid w:val="00076158"/>
    <w:rsid w:val="0007688A"/>
    <w:rsid w:val="00080334"/>
    <w:rsid w:val="00080D27"/>
    <w:rsid w:val="00082074"/>
    <w:rsid w:val="00083D3C"/>
    <w:rsid w:val="000841D3"/>
    <w:rsid w:val="00084C12"/>
    <w:rsid w:val="0008614F"/>
    <w:rsid w:val="00090C32"/>
    <w:rsid w:val="00096145"/>
    <w:rsid w:val="00096F94"/>
    <w:rsid w:val="000A0BD4"/>
    <w:rsid w:val="000A21F6"/>
    <w:rsid w:val="000A22A3"/>
    <w:rsid w:val="000A26FE"/>
    <w:rsid w:val="000A4BB1"/>
    <w:rsid w:val="000A7AA9"/>
    <w:rsid w:val="000A7C6F"/>
    <w:rsid w:val="000A7FCE"/>
    <w:rsid w:val="000B0876"/>
    <w:rsid w:val="000B2622"/>
    <w:rsid w:val="000B2FA1"/>
    <w:rsid w:val="000B364C"/>
    <w:rsid w:val="000B38B5"/>
    <w:rsid w:val="000B4809"/>
    <w:rsid w:val="000B4A40"/>
    <w:rsid w:val="000B7142"/>
    <w:rsid w:val="000C0009"/>
    <w:rsid w:val="000C0096"/>
    <w:rsid w:val="000C0251"/>
    <w:rsid w:val="000C36E3"/>
    <w:rsid w:val="000C40F4"/>
    <w:rsid w:val="000C42D8"/>
    <w:rsid w:val="000D08CC"/>
    <w:rsid w:val="000D098F"/>
    <w:rsid w:val="000D1AB3"/>
    <w:rsid w:val="000D2EF3"/>
    <w:rsid w:val="000D32FB"/>
    <w:rsid w:val="000D3E18"/>
    <w:rsid w:val="000D44CA"/>
    <w:rsid w:val="000D5C74"/>
    <w:rsid w:val="000D6151"/>
    <w:rsid w:val="000D7073"/>
    <w:rsid w:val="000E0106"/>
    <w:rsid w:val="000E0CB2"/>
    <w:rsid w:val="000E0D10"/>
    <w:rsid w:val="000E163C"/>
    <w:rsid w:val="000E2455"/>
    <w:rsid w:val="000E31B7"/>
    <w:rsid w:val="000E39E1"/>
    <w:rsid w:val="000E3B1C"/>
    <w:rsid w:val="000E6789"/>
    <w:rsid w:val="000F0041"/>
    <w:rsid w:val="000F0158"/>
    <w:rsid w:val="000F16FC"/>
    <w:rsid w:val="000F1B1E"/>
    <w:rsid w:val="000F1FC4"/>
    <w:rsid w:val="000F204B"/>
    <w:rsid w:val="000F31D7"/>
    <w:rsid w:val="000F3C28"/>
    <w:rsid w:val="000F7393"/>
    <w:rsid w:val="001019AF"/>
    <w:rsid w:val="0010496F"/>
    <w:rsid w:val="00105FB2"/>
    <w:rsid w:val="001076A9"/>
    <w:rsid w:val="00107792"/>
    <w:rsid w:val="001078C2"/>
    <w:rsid w:val="00107FC3"/>
    <w:rsid w:val="00110D50"/>
    <w:rsid w:val="0011163C"/>
    <w:rsid w:val="00113493"/>
    <w:rsid w:val="00113810"/>
    <w:rsid w:val="001140A7"/>
    <w:rsid w:val="00114DA2"/>
    <w:rsid w:val="001161C9"/>
    <w:rsid w:val="001164D1"/>
    <w:rsid w:val="00116955"/>
    <w:rsid w:val="001238D9"/>
    <w:rsid w:val="00124C4E"/>
    <w:rsid w:val="001252AE"/>
    <w:rsid w:val="0012596A"/>
    <w:rsid w:val="00125A34"/>
    <w:rsid w:val="00125E72"/>
    <w:rsid w:val="00126830"/>
    <w:rsid w:val="00127C87"/>
    <w:rsid w:val="00127C90"/>
    <w:rsid w:val="0013058F"/>
    <w:rsid w:val="00130774"/>
    <w:rsid w:val="00130DE6"/>
    <w:rsid w:val="0013128B"/>
    <w:rsid w:val="00131339"/>
    <w:rsid w:val="00131CA6"/>
    <w:rsid w:val="00131DAA"/>
    <w:rsid w:val="001336AE"/>
    <w:rsid w:val="00134B82"/>
    <w:rsid w:val="00134FB2"/>
    <w:rsid w:val="001368A8"/>
    <w:rsid w:val="00140A41"/>
    <w:rsid w:val="00141288"/>
    <w:rsid w:val="00141CAA"/>
    <w:rsid w:val="00142617"/>
    <w:rsid w:val="00142E58"/>
    <w:rsid w:val="00143563"/>
    <w:rsid w:val="00143733"/>
    <w:rsid w:val="00143A24"/>
    <w:rsid w:val="001440BB"/>
    <w:rsid w:val="0014430C"/>
    <w:rsid w:val="00144F13"/>
    <w:rsid w:val="001458C8"/>
    <w:rsid w:val="00146B10"/>
    <w:rsid w:val="00147426"/>
    <w:rsid w:val="0015074B"/>
    <w:rsid w:val="001521A5"/>
    <w:rsid w:val="00153F4A"/>
    <w:rsid w:val="00154A65"/>
    <w:rsid w:val="00154ECC"/>
    <w:rsid w:val="001562A3"/>
    <w:rsid w:val="001564E7"/>
    <w:rsid w:val="00156FDF"/>
    <w:rsid w:val="0015739B"/>
    <w:rsid w:val="00160EB9"/>
    <w:rsid w:val="001659D8"/>
    <w:rsid w:val="00167A0A"/>
    <w:rsid w:val="00171801"/>
    <w:rsid w:val="00171DC6"/>
    <w:rsid w:val="00172A2B"/>
    <w:rsid w:val="00173C19"/>
    <w:rsid w:val="00173D34"/>
    <w:rsid w:val="00174330"/>
    <w:rsid w:val="001745A4"/>
    <w:rsid w:val="00174BAF"/>
    <w:rsid w:val="00174D7E"/>
    <w:rsid w:val="00175752"/>
    <w:rsid w:val="00176844"/>
    <w:rsid w:val="00176EB2"/>
    <w:rsid w:val="00177724"/>
    <w:rsid w:val="001811F0"/>
    <w:rsid w:val="0018192C"/>
    <w:rsid w:val="00183820"/>
    <w:rsid w:val="0018449A"/>
    <w:rsid w:val="001844E2"/>
    <w:rsid w:val="00187BD9"/>
    <w:rsid w:val="001913EE"/>
    <w:rsid w:val="00191428"/>
    <w:rsid w:val="001934BA"/>
    <w:rsid w:val="00193ADE"/>
    <w:rsid w:val="001962A7"/>
    <w:rsid w:val="00196514"/>
    <w:rsid w:val="001979BB"/>
    <w:rsid w:val="00197AFE"/>
    <w:rsid w:val="00197BF2"/>
    <w:rsid w:val="001A064A"/>
    <w:rsid w:val="001A0EF8"/>
    <w:rsid w:val="001A17D7"/>
    <w:rsid w:val="001A1B48"/>
    <w:rsid w:val="001A21F8"/>
    <w:rsid w:val="001A2A44"/>
    <w:rsid w:val="001A4D60"/>
    <w:rsid w:val="001A676A"/>
    <w:rsid w:val="001A6B68"/>
    <w:rsid w:val="001A7122"/>
    <w:rsid w:val="001A7807"/>
    <w:rsid w:val="001A7CBE"/>
    <w:rsid w:val="001B04A3"/>
    <w:rsid w:val="001B0CBF"/>
    <w:rsid w:val="001B183F"/>
    <w:rsid w:val="001B1B90"/>
    <w:rsid w:val="001B45EE"/>
    <w:rsid w:val="001B4997"/>
    <w:rsid w:val="001B566F"/>
    <w:rsid w:val="001B62E2"/>
    <w:rsid w:val="001B6C1E"/>
    <w:rsid w:val="001B721B"/>
    <w:rsid w:val="001C02E5"/>
    <w:rsid w:val="001C165A"/>
    <w:rsid w:val="001C25CD"/>
    <w:rsid w:val="001C3C93"/>
    <w:rsid w:val="001C412C"/>
    <w:rsid w:val="001C65C7"/>
    <w:rsid w:val="001C6CC5"/>
    <w:rsid w:val="001C7DE7"/>
    <w:rsid w:val="001D22C1"/>
    <w:rsid w:val="001D2D04"/>
    <w:rsid w:val="001D3D4E"/>
    <w:rsid w:val="001D6434"/>
    <w:rsid w:val="001D6EE0"/>
    <w:rsid w:val="001E06CB"/>
    <w:rsid w:val="001E077B"/>
    <w:rsid w:val="001E2C27"/>
    <w:rsid w:val="001E31BA"/>
    <w:rsid w:val="001E49A3"/>
    <w:rsid w:val="001E5BCB"/>
    <w:rsid w:val="001E63A8"/>
    <w:rsid w:val="001E68D6"/>
    <w:rsid w:val="001E6FFF"/>
    <w:rsid w:val="001E7125"/>
    <w:rsid w:val="001E718C"/>
    <w:rsid w:val="001E7A6B"/>
    <w:rsid w:val="001F04AF"/>
    <w:rsid w:val="001F0590"/>
    <w:rsid w:val="001F0AEA"/>
    <w:rsid w:val="001F0F24"/>
    <w:rsid w:val="001F2A15"/>
    <w:rsid w:val="001F2B20"/>
    <w:rsid w:val="001F4189"/>
    <w:rsid w:val="001F5329"/>
    <w:rsid w:val="001F60CC"/>
    <w:rsid w:val="0020144B"/>
    <w:rsid w:val="00201A69"/>
    <w:rsid w:val="00202C52"/>
    <w:rsid w:val="0020388A"/>
    <w:rsid w:val="0020434F"/>
    <w:rsid w:val="00204643"/>
    <w:rsid w:val="002048E0"/>
    <w:rsid w:val="00204929"/>
    <w:rsid w:val="00204935"/>
    <w:rsid w:val="00204BC8"/>
    <w:rsid w:val="00206219"/>
    <w:rsid w:val="0020678A"/>
    <w:rsid w:val="00207C8E"/>
    <w:rsid w:val="002111E6"/>
    <w:rsid w:val="002115A7"/>
    <w:rsid w:val="00211F6D"/>
    <w:rsid w:val="002122FB"/>
    <w:rsid w:val="00212E77"/>
    <w:rsid w:val="002157BC"/>
    <w:rsid w:val="00220504"/>
    <w:rsid w:val="00220D49"/>
    <w:rsid w:val="00222642"/>
    <w:rsid w:val="002249FF"/>
    <w:rsid w:val="00224EC4"/>
    <w:rsid w:val="002250B2"/>
    <w:rsid w:val="00225C3E"/>
    <w:rsid w:val="00225C80"/>
    <w:rsid w:val="00226B99"/>
    <w:rsid w:val="00227433"/>
    <w:rsid w:val="00231B29"/>
    <w:rsid w:val="002322E0"/>
    <w:rsid w:val="00233A0A"/>
    <w:rsid w:val="002340C0"/>
    <w:rsid w:val="0023476F"/>
    <w:rsid w:val="00234936"/>
    <w:rsid w:val="002368F4"/>
    <w:rsid w:val="0024030A"/>
    <w:rsid w:val="002415A1"/>
    <w:rsid w:val="00241FDE"/>
    <w:rsid w:val="0024231C"/>
    <w:rsid w:val="00242B2F"/>
    <w:rsid w:val="002431FF"/>
    <w:rsid w:val="0024427A"/>
    <w:rsid w:val="00245B2E"/>
    <w:rsid w:val="00246186"/>
    <w:rsid w:val="002465FA"/>
    <w:rsid w:val="00247B2A"/>
    <w:rsid w:val="00250534"/>
    <w:rsid w:val="00252035"/>
    <w:rsid w:val="002534AD"/>
    <w:rsid w:val="002538FF"/>
    <w:rsid w:val="00253AD6"/>
    <w:rsid w:val="002565AA"/>
    <w:rsid w:val="00257B87"/>
    <w:rsid w:val="00260104"/>
    <w:rsid w:val="00261B85"/>
    <w:rsid w:val="00263758"/>
    <w:rsid w:val="00266C02"/>
    <w:rsid w:val="00270BE8"/>
    <w:rsid w:val="00270FC9"/>
    <w:rsid w:val="0027120E"/>
    <w:rsid w:val="00271EE4"/>
    <w:rsid w:val="00271F8A"/>
    <w:rsid w:val="0027214A"/>
    <w:rsid w:val="0027663C"/>
    <w:rsid w:val="002801E2"/>
    <w:rsid w:val="0028170E"/>
    <w:rsid w:val="00281C5C"/>
    <w:rsid w:val="00282D0F"/>
    <w:rsid w:val="00282EDD"/>
    <w:rsid w:val="0028335A"/>
    <w:rsid w:val="00283683"/>
    <w:rsid w:val="002843D3"/>
    <w:rsid w:val="00285082"/>
    <w:rsid w:val="002855E2"/>
    <w:rsid w:val="00285EAF"/>
    <w:rsid w:val="002864B2"/>
    <w:rsid w:val="002871B5"/>
    <w:rsid w:val="00290BCA"/>
    <w:rsid w:val="00296168"/>
    <w:rsid w:val="0029639D"/>
    <w:rsid w:val="002A0B47"/>
    <w:rsid w:val="002A0BE0"/>
    <w:rsid w:val="002A1587"/>
    <w:rsid w:val="002A17D3"/>
    <w:rsid w:val="002A17E0"/>
    <w:rsid w:val="002A29B8"/>
    <w:rsid w:val="002A2E9C"/>
    <w:rsid w:val="002A55AB"/>
    <w:rsid w:val="002A675C"/>
    <w:rsid w:val="002A6D28"/>
    <w:rsid w:val="002A74CD"/>
    <w:rsid w:val="002B165D"/>
    <w:rsid w:val="002B3587"/>
    <w:rsid w:val="002B4224"/>
    <w:rsid w:val="002B4D90"/>
    <w:rsid w:val="002B5018"/>
    <w:rsid w:val="002B6669"/>
    <w:rsid w:val="002B6CBC"/>
    <w:rsid w:val="002C067C"/>
    <w:rsid w:val="002C0C34"/>
    <w:rsid w:val="002C1307"/>
    <w:rsid w:val="002C28AC"/>
    <w:rsid w:val="002C2BC8"/>
    <w:rsid w:val="002C388F"/>
    <w:rsid w:val="002C3BDD"/>
    <w:rsid w:val="002C6379"/>
    <w:rsid w:val="002C6A73"/>
    <w:rsid w:val="002C6E6A"/>
    <w:rsid w:val="002D19E9"/>
    <w:rsid w:val="002D2322"/>
    <w:rsid w:val="002D2E30"/>
    <w:rsid w:val="002D40D1"/>
    <w:rsid w:val="002D4AA1"/>
    <w:rsid w:val="002D5846"/>
    <w:rsid w:val="002D6452"/>
    <w:rsid w:val="002D78D7"/>
    <w:rsid w:val="002E02DE"/>
    <w:rsid w:val="002E19CA"/>
    <w:rsid w:val="002E246B"/>
    <w:rsid w:val="002E2788"/>
    <w:rsid w:val="002E32D4"/>
    <w:rsid w:val="002E4332"/>
    <w:rsid w:val="002E5DB4"/>
    <w:rsid w:val="002E6313"/>
    <w:rsid w:val="002F1059"/>
    <w:rsid w:val="002F172E"/>
    <w:rsid w:val="002F1937"/>
    <w:rsid w:val="002F2269"/>
    <w:rsid w:val="002F266A"/>
    <w:rsid w:val="002F2A6D"/>
    <w:rsid w:val="002F5463"/>
    <w:rsid w:val="002F60D0"/>
    <w:rsid w:val="002F703B"/>
    <w:rsid w:val="002F7601"/>
    <w:rsid w:val="002F7A23"/>
    <w:rsid w:val="00302AD4"/>
    <w:rsid w:val="00303C03"/>
    <w:rsid w:val="00303E49"/>
    <w:rsid w:val="0030472E"/>
    <w:rsid w:val="003056FD"/>
    <w:rsid w:val="00305BB9"/>
    <w:rsid w:val="00306F6F"/>
    <w:rsid w:val="00307056"/>
    <w:rsid w:val="00307945"/>
    <w:rsid w:val="00307F50"/>
    <w:rsid w:val="00310374"/>
    <w:rsid w:val="00311A80"/>
    <w:rsid w:val="00314486"/>
    <w:rsid w:val="00315B67"/>
    <w:rsid w:val="00315EDC"/>
    <w:rsid w:val="00316BE9"/>
    <w:rsid w:val="00320B7F"/>
    <w:rsid w:val="00321138"/>
    <w:rsid w:val="00321756"/>
    <w:rsid w:val="00321FF2"/>
    <w:rsid w:val="003239BD"/>
    <w:rsid w:val="00325621"/>
    <w:rsid w:val="00325A64"/>
    <w:rsid w:val="00326E1B"/>
    <w:rsid w:val="00326F90"/>
    <w:rsid w:val="00327D94"/>
    <w:rsid w:val="00327E5F"/>
    <w:rsid w:val="00330128"/>
    <w:rsid w:val="00330D06"/>
    <w:rsid w:val="00331953"/>
    <w:rsid w:val="00332A4C"/>
    <w:rsid w:val="00334F32"/>
    <w:rsid w:val="00334FDA"/>
    <w:rsid w:val="0033564D"/>
    <w:rsid w:val="00337688"/>
    <w:rsid w:val="00340009"/>
    <w:rsid w:val="00342C36"/>
    <w:rsid w:val="00345C1F"/>
    <w:rsid w:val="00346805"/>
    <w:rsid w:val="00346A4D"/>
    <w:rsid w:val="00347BE9"/>
    <w:rsid w:val="00351CB1"/>
    <w:rsid w:val="00351CCD"/>
    <w:rsid w:val="003522E7"/>
    <w:rsid w:val="0035510F"/>
    <w:rsid w:val="00355486"/>
    <w:rsid w:val="003554AE"/>
    <w:rsid w:val="00355DFA"/>
    <w:rsid w:val="003576CE"/>
    <w:rsid w:val="00360893"/>
    <w:rsid w:val="00362444"/>
    <w:rsid w:val="00363150"/>
    <w:rsid w:val="003645B0"/>
    <w:rsid w:val="00364FCA"/>
    <w:rsid w:val="00366E20"/>
    <w:rsid w:val="003670B8"/>
    <w:rsid w:val="00367183"/>
    <w:rsid w:val="00370A28"/>
    <w:rsid w:val="00371CC8"/>
    <w:rsid w:val="00371E14"/>
    <w:rsid w:val="003729F4"/>
    <w:rsid w:val="00373B2F"/>
    <w:rsid w:val="00373D25"/>
    <w:rsid w:val="003744D2"/>
    <w:rsid w:val="00374501"/>
    <w:rsid w:val="0037504C"/>
    <w:rsid w:val="00375ADB"/>
    <w:rsid w:val="00380CCC"/>
    <w:rsid w:val="00383EAB"/>
    <w:rsid w:val="003841D5"/>
    <w:rsid w:val="0038427C"/>
    <w:rsid w:val="00384484"/>
    <w:rsid w:val="00384DBD"/>
    <w:rsid w:val="00385B97"/>
    <w:rsid w:val="00386A88"/>
    <w:rsid w:val="00386AF8"/>
    <w:rsid w:val="00391E86"/>
    <w:rsid w:val="00392FC8"/>
    <w:rsid w:val="00393F59"/>
    <w:rsid w:val="003944D1"/>
    <w:rsid w:val="00394B6D"/>
    <w:rsid w:val="00394C85"/>
    <w:rsid w:val="0039512D"/>
    <w:rsid w:val="0039527B"/>
    <w:rsid w:val="00395569"/>
    <w:rsid w:val="0039704F"/>
    <w:rsid w:val="0039790A"/>
    <w:rsid w:val="00397C76"/>
    <w:rsid w:val="003A06E0"/>
    <w:rsid w:val="003A08F0"/>
    <w:rsid w:val="003A0D03"/>
    <w:rsid w:val="003A13F1"/>
    <w:rsid w:val="003A1B3F"/>
    <w:rsid w:val="003A4775"/>
    <w:rsid w:val="003A5695"/>
    <w:rsid w:val="003A665C"/>
    <w:rsid w:val="003A7753"/>
    <w:rsid w:val="003A7874"/>
    <w:rsid w:val="003A7D67"/>
    <w:rsid w:val="003A7FA8"/>
    <w:rsid w:val="003B1217"/>
    <w:rsid w:val="003B17E8"/>
    <w:rsid w:val="003B306B"/>
    <w:rsid w:val="003B4DDE"/>
    <w:rsid w:val="003B5468"/>
    <w:rsid w:val="003B5AB2"/>
    <w:rsid w:val="003B7091"/>
    <w:rsid w:val="003B77B5"/>
    <w:rsid w:val="003C086E"/>
    <w:rsid w:val="003C1475"/>
    <w:rsid w:val="003C1600"/>
    <w:rsid w:val="003C25F5"/>
    <w:rsid w:val="003C4CD7"/>
    <w:rsid w:val="003C61C0"/>
    <w:rsid w:val="003C6323"/>
    <w:rsid w:val="003C6C4C"/>
    <w:rsid w:val="003D05A8"/>
    <w:rsid w:val="003D1075"/>
    <w:rsid w:val="003D1B76"/>
    <w:rsid w:val="003D2C03"/>
    <w:rsid w:val="003D3C49"/>
    <w:rsid w:val="003D6A71"/>
    <w:rsid w:val="003E1BC3"/>
    <w:rsid w:val="003E2240"/>
    <w:rsid w:val="003E338A"/>
    <w:rsid w:val="003E36FE"/>
    <w:rsid w:val="003E58E4"/>
    <w:rsid w:val="003E5B68"/>
    <w:rsid w:val="003E6A01"/>
    <w:rsid w:val="003F0EA8"/>
    <w:rsid w:val="003F1CC6"/>
    <w:rsid w:val="003F2686"/>
    <w:rsid w:val="003F2EAF"/>
    <w:rsid w:val="003F30F3"/>
    <w:rsid w:val="003F3D54"/>
    <w:rsid w:val="003F3FEB"/>
    <w:rsid w:val="003F43AF"/>
    <w:rsid w:val="003F4A48"/>
    <w:rsid w:val="003F4D63"/>
    <w:rsid w:val="00403819"/>
    <w:rsid w:val="00406356"/>
    <w:rsid w:val="004070A5"/>
    <w:rsid w:val="00407CEB"/>
    <w:rsid w:val="0041081A"/>
    <w:rsid w:val="00411057"/>
    <w:rsid w:val="00411126"/>
    <w:rsid w:val="00411D13"/>
    <w:rsid w:val="0041327D"/>
    <w:rsid w:val="00414687"/>
    <w:rsid w:val="00414AC8"/>
    <w:rsid w:val="00415C52"/>
    <w:rsid w:val="00415D83"/>
    <w:rsid w:val="004175A9"/>
    <w:rsid w:val="00417604"/>
    <w:rsid w:val="004178B9"/>
    <w:rsid w:val="00423044"/>
    <w:rsid w:val="0042437A"/>
    <w:rsid w:val="00424FEB"/>
    <w:rsid w:val="0043208E"/>
    <w:rsid w:val="00434F6D"/>
    <w:rsid w:val="00437D36"/>
    <w:rsid w:val="00441014"/>
    <w:rsid w:val="00441E79"/>
    <w:rsid w:val="00444744"/>
    <w:rsid w:val="00444E7C"/>
    <w:rsid w:val="00445F64"/>
    <w:rsid w:val="00450CD5"/>
    <w:rsid w:val="00451FBD"/>
    <w:rsid w:val="004525DD"/>
    <w:rsid w:val="00452C8F"/>
    <w:rsid w:val="00452D7A"/>
    <w:rsid w:val="0045340F"/>
    <w:rsid w:val="00456109"/>
    <w:rsid w:val="00457126"/>
    <w:rsid w:val="00460870"/>
    <w:rsid w:val="004610FC"/>
    <w:rsid w:val="00461136"/>
    <w:rsid w:val="0046145E"/>
    <w:rsid w:val="004632D6"/>
    <w:rsid w:val="0046357E"/>
    <w:rsid w:val="00464347"/>
    <w:rsid w:val="00464C89"/>
    <w:rsid w:val="00465072"/>
    <w:rsid w:val="00465DEA"/>
    <w:rsid w:val="004668EC"/>
    <w:rsid w:val="0046720F"/>
    <w:rsid w:val="00470DA2"/>
    <w:rsid w:val="00471A16"/>
    <w:rsid w:val="00472013"/>
    <w:rsid w:val="004725C3"/>
    <w:rsid w:val="004730ED"/>
    <w:rsid w:val="0047362A"/>
    <w:rsid w:val="00473C87"/>
    <w:rsid w:val="004741F9"/>
    <w:rsid w:val="004748EA"/>
    <w:rsid w:val="004751E1"/>
    <w:rsid w:val="00475631"/>
    <w:rsid w:val="004773FB"/>
    <w:rsid w:val="0048105D"/>
    <w:rsid w:val="00486DC9"/>
    <w:rsid w:val="004875B5"/>
    <w:rsid w:val="00487BE5"/>
    <w:rsid w:val="00491343"/>
    <w:rsid w:val="00491F89"/>
    <w:rsid w:val="0049208D"/>
    <w:rsid w:val="00496DB3"/>
    <w:rsid w:val="00497D1C"/>
    <w:rsid w:val="00497E04"/>
    <w:rsid w:val="00497EC0"/>
    <w:rsid w:val="004A005C"/>
    <w:rsid w:val="004A13EA"/>
    <w:rsid w:val="004A15A8"/>
    <w:rsid w:val="004A2195"/>
    <w:rsid w:val="004A2D3A"/>
    <w:rsid w:val="004A40D9"/>
    <w:rsid w:val="004A4BD4"/>
    <w:rsid w:val="004A6271"/>
    <w:rsid w:val="004A6A62"/>
    <w:rsid w:val="004A7552"/>
    <w:rsid w:val="004A7593"/>
    <w:rsid w:val="004B0EA4"/>
    <w:rsid w:val="004B1B30"/>
    <w:rsid w:val="004B2D62"/>
    <w:rsid w:val="004B44D2"/>
    <w:rsid w:val="004B47ED"/>
    <w:rsid w:val="004B4B00"/>
    <w:rsid w:val="004B5F7A"/>
    <w:rsid w:val="004B6FCE"/>
    <w:rsid w:val="004C0274"/>
    <w:rsid w:val="004C06A8"/>
    <w:rsid w:val="004C07E3"/>
    <w:rsid w:val="004C17C8"/>
    <w:rsid w:val="004C3775"/>
    <w:rsid w:val="004C4BFB"/>
    <w:rsid w:val="004C567A"/>
    <w:rsid w:val="004C58FD"/>
    <w:rsid w:val="004C6359"/>
    <w:rsid w:val="004C7B33"/>
    <w:rsid w:val="004D0119"/>
    <w:rsid w:val="004D2DEB"/>
    <w:rsid w:val="004D3D40"/>
    <w:rsid w:val="004E0A17"/>
    <w:rsid w:val="004E14C7"/>
    <w:rsid w:val="004E1ADE"/>
    <w:rsid w:val="004E2A13"/>
    <w:rsid w:val="004E2D6A"/>
    <w:rsid w:val="004E51C0"/>
    <w:rsid w:val="004E5ABC"/>
    <w:rsid w:val="004E5AC9"/>
    <w:rsid w:val="004E63A5"/>
    <w:rsid w:val="004E67B7"/>
    <w:rsid w:val="004E68B5"/>
    <w:rsid w:val="004F0783"/>
    <w:rsid w:val="004F539F"/>
    <w:rsid w:val="004F60A1"/>
    <w:rsid w:val="004F6F30"/>
    <w:rsid w:val="0050031B"/>
    <w:rsid w:val="0050058C"/>
    <w:rsid w:val="0050128B"/>
    <w:rsid w:val="005018C4"/>
    <w:rsid w:val="0050191F"/>
    <w:rsid w:val="005019D0"/>
    <w:rsid w:val="00501C86"/>
    <w:rsid w:val="00502467"/>
    <w:rsid w:val="005025EE"/>
    <w:rsid w:val="00504063"/>
    <w:rsid w:val="005050F2"/>
    <w:rsid w:val="00506559"/>
    <w:rsid w:val="005076EA"/>
    <w:rsid w:val="00507B4C"/>
    <w:rsid w:val="00507E03"/>
    <w:rsid w:val="00510BBC"/>
    <w:rsid w:val="005112F8"/>
    <w:rsid w:val="005120AC"/>
    <w:rsid w:val="00513BC4"/>
    <w:rsid w:val="005141E3"/>
    <w:rsid w:val="0051462A"/>
    <w:rsid w:val="00517070"/>
    <w:rsid w:val="005176A2"/>
    <w:rsid w:val="00517939"/>
    <w:rsid w:val="0052258E"/>
    <w:rsid w:val="00522762"/>
    <w:rsid w:val="0052313F"/>
    <w:rsid w:val="00523566"/>
    <w:rsid w:val="005238EC"/>
    <w:rsid w:val="00523EE1"/>
    <w:rsid w:val="005240BC"/>
    <w:rsid w:val="00524C00"/>
    <w:rsid w:val="005260C3"/>
    <w:rsid w:val="005265E5"/>
    <w:rsid w:val="0052710C"/>
    <w:rsid w:val="00527831"/>
    <w:rsid w:val="00530618"/>
    <w:rsid w:val="0053196F"/>
    <w:rsid w:val="00533350"/>
    <w:rsid w:val="00533D92"/>
    <w:rsid w:val="005344D1"/>
    <w:rsid w:val="00537641"/>
    <w:rsid w:val="005402D7"/>
    <w:rsid w:val="005404B2"/>
    <w:rsid w:val="005429C3"/>
    <w:rsid w:val="00543130"/>
    <w:rsid w:val="005432B0"/>
    <w:rsid w:val="00543AA6"/>
    <w:rsid w:val="00544370"/>
    <w:rsid w:val="00545899"/>
    <w:rsid w:val="00545AE0"/>
    <w:rsid w:val="00547348"/>
    <w:rsid w:val="00547E58"/>
    <w:rsid w:val="00547E7F"/>
    <w:rsid w:val="0055029C"/>
    <w:rsid w:val="00551A2E"/>
    <w:rsid w:val="00551B36"/>
    <w:rsid w:val="00552975"/>
    <w:rsid w:val="00552F37"/>
    <w:rsid w:val="00553120"/>
    <w:rsid w:val="005533B1"/>
    <w:rsid w:val="005537DA"/>
    <w:rsid w:val="00554885"/>
    <w:rsid w:val="00554F28"/>
    <w:rsid w:val="00557038"/>
    <w:rsid w:val="00557965"/>
    <w:rsid w:val="005615E3"/>
    <w:rsid w:val="00563213"/>
    <w:rsid w:val="0056435C"/>
    <w:rsid w:val="00564A30"/>
    <w:rsid w:val="00564E39"/>
    <w:rsid w:val="00564F1D"/>
    <w:rsid w:val="0056532C"/>
    <w:rsid w:val="00566FDF"/>
    <w:rsid w:val="00567475"/>
    <w:rsid w:val="005714F9"/>
    <w:rsid w:val="005723A8"/>
    <w:rsid w:val="005729B2"/>
    <w:rsid w:val="00572ABB"/>
    <w:rsid w:val="005733C5"/>
    <w:rsid w:val="00573EEC"/>
    <w:rsid w:val="005770F3"/>
    <w:rsid w:val="0058049B"/>
    <w:rsid w:val="00581901"/>
    <w:rsid w:val="00583BCF"/>
    <w:rsid w:val="00583E75"/>
    <w:rsid w:val="00584D94"/>
    <w:rsid w:val="0058500C"/>
    <w:rsid w:val="00585340"/>
    <w:rsid w:val="00585472"/>
    <w:rsid w:val="0059017D"/>
    <w:rsid w:val="005901A7"/>
    <w:rsid w:val="00590A7B"/>
    <w:rsid w:val="00590CE2"/>
    <w:rsid w:val="00591169"/>
    <w:rsid w:val="005928E9"/>
    <w:rsid w:val="005932AF"/>
    <w:rsid w:val="0059401A"/>
    <w:rsid w:val="00596CEB"/>
    <w:rsid w:val="005A0C46"/>
    <w:rsid w:val="005A1611"/>
    <w:rsid w:val="005A2C68"/>
    <w:rsid w:val="005A5D7D"/>
    <w:rsid w:val="005A6123"/>
    <w:rsid w:val="005B05CD"/>
    <w:rsid w:val="005B0E56"/>
    <w:rsid w:val="005B1CE1"/>
    <w:rsid w:val="005B1F97"/>
    <w:rsid w:val="005B2411"/>
    <w:rsid w:val="005B40A7"/>
    <w:rsid w:val="005B4235"/>
    <w:rsid w:val="005B4D8D"/>
    <w:rsid w:val="005B5629"/>
    <w:rsid w:val="005B65CD"/>
    <w:rsid w:val="005B6A79"/>
    <w:rsid w:val="005C0974"/>
    <w:rsid w:val="005C213A"/>
    <w:rsid w:val="005C2E43"/>
    <w:rsid w:val="005C3636"/>
    <w:rsid w:val="005C37D2"/>
    <w:rsid w:val="005C3850"/>
    <w:rsid w:val="005C6715"/>
    <w:rsid w:val="005C6E60"/>
    <w:rsid w:val="005D0232"/>
    <w:rsid w:val="005D0873"/>
    <w:rsid w:val="005D089A"/>
    <w:rsid w:val="005D0B25"/>
    <w:rsid w:val="005D1050"/>
    <w:rsid w:val="005D1B20"/>
    <w:rsid w:val="005D2FA4"/>
    <w:rsid w:val="005D33AB"/>
    <w:rsid w:val="005D3CC4"/>
    <w:rsid w:val="005D47EC"/>
    <w:rsid w:val="005D696E"/>
    <w:rsid w:val="005D69B6"/>
    <w:rsid w:val="005D7987"/>
    <w:rsid w:val="005E1008"/>
    <w:rsid w:val="005E1F88"/>
    <w:rsid w:val="005E208D"/>
    <w:rsid w:val="005E30C7"/>
    <w:rsid w:val="005E3A5F"/>
    <w:rsid w:val="005E3DBB"/>
    <w:rsid w:val="005E5431"/>
    <w:rsid w:val="005E5F19"/>
    <w:rsid w:val="005E6738"/>
    <w:rsid w:val="005F0C4F"/>
    <w:rsid w:val="005F1768"/>
    <w:rsid w:val="005F1AB2"/>
    <w:rsid w:val="005F1D42"/>
    <w:rsid w:val="005F5650"/>
    <w:rsid w:val="005F6B84"/>
    <w:rsid w:val="00601D5E"/>
    <w:rsid w:val="00602D3F"/>
    <w:rsid w:val="0060342D"/>
    <w:rsid w:val="00603A24"/>
    <w:rsid w:val="00604627"/>
    <w:rsid w:val="00605058"/>
    <w:rsid w:val="00606148"/>
    <w:rsid w:val="00606454"/>
    <w:rsid w:val="0060792B"/>
    <w:rsid w:val="006129AE"/>
    <w:rsid w:val="00612B73"/>
    <w:rsid w:val="00612CD7"/>
    <w:rsid w:val="00613697"/>
    <w:rsid w:val="006140EE"/>
    <w:rsid w:val="0061466B"/>
    <w:rsid w:val="0061478E"/>
    <w:rsid w:val="00620862"/>
    <w:rsid w:val="00620B90"/>
    <w:rsid w:val="00623B93"/>
    <w:rsid w:val="006242F5"/>
    <w:rsid w:val="00624524"/>
    <w:rsid w:val="006245D2"/>
    <w:rsid w:val="00625A03"/>
    <w:rsid w:val="00625B43"/>
    <w:rsid w:val="00626413"/>
    <w:rsid w:val="00626443"/>
    <w:rsid w:val="00627556"/>
    <w:rsid w:val="00630BEA"/>
    <w:rsid w:val="00631B67"/>
    <w:rsid w:val="00634198"/>
    <w:rsid w:val="00634439"/>
    <w:rsid w:val="00634510"/>
    <w:rsid w:val="00634C42"/>
    <w:rsid w:val="00634D34"/>
    <w:rsid w:val="00634DED"/>
    <w:rsid w:val="006353DB"/>
    <w:rsid w:val="0063611E"/>
    <w:rsid w:val="00637328"/>
    <w:rsid w:val="006373E3"/>
    <w:rsid w:val="00637D87"/>
    <w:rsid w:val="0064068A"/>
    <w:rsid w:val="00640872"/>
    <w:rsid w:val="006422A3"/>
    <w:rsid w:val="0064232F"/>
    <w:rsid w:val="0064298C"/>
    <w:rsid w:val="00643505"/>
    <w:rsid w:val="00643A00"/>
    <w:rsid w:val="00643A5C"/>
    <w:rsid w:val="00644269"/>
    <w:rsid w:val="006446E3"/>
    <w:rsid w:val="00650574"/>
    <w:rsid w:val="006508DD"/>
    <w:rsid w:val="0065112F"/>
    <w:rsid w:val="00651144"/>
    <w:rsid w:val="00656089"/>
    <w:rsid w:val="00656679"/>
    <w:rsid w:val="00657830"/>
    <w:rsid w:val="00660F2B"/>
    <w:rsid w:val="006610F9"/>
    <w:rsid w:val="00661675"/>
    <w:rsid w:val="00662CAE"/>
    <w:rsid w:val="00663015"/>
    <w:rsid w:val="006640DA"/>
    <w:rsid w:val="00664478"/>
    <w:rsid w:val="00664F75"/>
    <w:rsid w:val="006650C9"/>
    <w:rsid w:val="00665151"/>
    <w:rsid w:val="00665210"/>
    <w:rsid w:val="00667A40"/>
    <w:rsid w:val="00671AAC"/>
    <w:rsid w:val="006739EF"/>
    <w:rsid w:val="00673F2E"/>
    <w:rsid w:val="0067492E"/>
    <w:rsid w:val="00674CA3"/>
    <w:rsid w:val="00677133"/>
    <w:rsid w:val="006773DF"/>
    <w:rsid w:val="00680AAA"/>
    <w:rsid w:val="00681F32"/>
    <w:rsid w:val="00682D42"/>
    <w:rsid w:val="0068392E"/>
    <w:rsid w:val="00683D92"/>
    <w:rsid w:val="006846D8"/>
    <w:rsid w:val="0068556D"/>
    <w:rsid w:val="00685AA1"/>
    <w:rsid w:val="00690F26"/>
    <w:rsid w:val="00690F2C"/>
    <w:rsid w:val="00691550"/>
    <w:rsid w:val="0069272F"/>
    <w:rsid w:val="00693482"/>
    <w:rsid w:val="00694B54"/>
    <w:rsid w:val="006969FD"/>
    <w:rsid w:val="006A3C0F"/>
    <w:rsid w:val="006A3C65"/>
    <w:rsid w:val="006A79EA"/>
    <w:rsid w:val="006B283B"/>
    <w:rsid w:val="006B4073"/>
    <w:rsid w:val="006B409F"/>
    <w:rsid w:val="006B7CFD"/>
    <w:rsid w:val="006C0188"/>
    <w:rsid w:val="006C04E2"/>
    <w:rsid w:val="006C09D2"/>
    <w:rsid w:val="006C1532"/>
    <w:rsid w:val="006C2F1B"/>
    <w:rsid w:val="006C33D2"/>
    <w:rsid w:val="006C372D"/>
    <w:rsid w:val="006C3EEB"/>
    <w:rsid w:val="006C5308"/>
    <w:rsid w:val="006C5AA8"/>
    <w:rsid w:val="006C7293"/>
    <w:rsid w:val="006D1146"/>
    <w:rsid w:val="006D271A"/>
    <w:rsid w:val="006D47AB"/>
    <w:rsid w:val="006D4E2B"/>
    <w:rsid w:val="006D503D"/>
    <w:rsid w:val="006D546F"/>
    <w:rsid w:val="006D6539"/>
    <w:rsid w:val="006E034F"/>
    <w:rsid w:val="006E1557"/>
    <w:rsid w:val="006E62AD"/>
    <w:rsid w:val="006E6844"/>
    <w:rsid w:val="006E6BE6"/>
    <w:rsid w:val="006E7D12"/>
    <w:rsid w:val="006F0624"/>
    <w:rsid w:val="006F0C71"/>
    <w:rsid w:val="006F0E5F"/>
    <w:rsid w:val="006F1E72"/>
    <w:rsid w:val="006F39FB"/>
    <w:rsid w:val="006F52AD"/>
    <w:rsid w:val="006F59E2"/>
    <w:rsid w:val="00700354"/>
    <w:rsid w:val="00701B2A"/>
    <w:rsid w:val="007029C5"/>
    <w:rsid w:val="00703874"/>
    <w:rsid w:val="007039FC"/>
    <w:rsid w:val="00705918"/>
    <w:rsid w:val="007070AF"/>
    <w:rsid w:val="0071166D"/>
    <w:rsid w:val="0071475D"/>
    <w:rsid w:val="00715A64"/>
    <w:rsid w:val="007175B9"/>
    <w:rsid w:val="007223A3"/>
    <w:rsid w:val="00722889"/>
    <w:rsid w:val="00722D5B"/>
    <w:rsid w:val="00722E2A"/>
    <w:rsid w:val="00723804"/>
    <w:rsid w:val="007240B9"/>
    <w:rsid w:val="00724499"/>
    <w:rsid w:val="007254AB"/>
    <w:rsid w:val="007256E3"/>
    <w:rsid w:val="00725AEE"/>
    <w:rsid w:val="007302BC"/>
    <w:rsid w:val="00731302"/>
    <w:rsid w:val="00731C1F"/>
    <w:rsid w:val="00732C8E"/>
    <w:rsid w:val="00736218"/>
    <w:rsid w:val="00736641"/>
    <w:rsid w:val="0073691F"/>
    <w:rsid w:val="00736C8A"/>
    <w:rsid w:val="00736EA1"/>
    <w:rsid w:val="007371DA"/>
    <w:rsid w:val="00737337"/>
    <w:rsid w:val="007377F8"/>
    <w:rsid w:val="0074080C"/>
    <w:rsid w:val="00740857"/>
    <w:rsid w:val="007413D1"/>
    <w:rsid w:val="007417F9"/>
    <w:rsid w:val="00742247"/>
    <w:rsid w:val="007422C1"/>
    <w:rsid w:val="00742D28"/>
    <w:rsid w:val="00743A14"/>
    <w:rsid w:val="00744D1E"/>
    <w:rsid w:val="007456C5"/>
    <w:rsid w:val="007460A2"/>
    <w:rsid w:val="007462A1"/>
    <w:rsid w:val="007462AF"/>
    <w:rsid w:val="00746CDB"/>
    <w:rsid w:val="00746F38"/>
    <w:rsid w:val="0074733B"/>
    <w:rsid w:val="0075149F"/>
    <w:rsid w:val="007517D4"/>
    <w:rsid w:val="00752318"/>
    <w:rsid w:val="00753C82"/>
    <w:rsid w:val="00753CD1"/>
    <w:rsid w:val="00754FEA"/>
    <w:rsid w:val="00756A89"/>
    <w:rsid w:val="00757075"/>
    <w:rsid w:val="007627B9"/>
    <w:rsid w:val="007637CB"/>
    <w:rsid w:val="0076436E"/>
    <w:rsid w:val="00765451"/>
    <w:rsid w:val="00765E65"/>
    <w:rsid w:val="00766B80"/>
    <w:rsid w:val="00766E2D"/>
    <w:rsid w:val="0076719A"/>
    <w:rsid w:val="0076728A"/>
    <w:rsid w:val="00767766"/>
    <w:rsid w:val="00767780"/>
    <w:rsid w:val="007700AE"/>
    <w:rsid w:val="007707D2"/>
    <w:rsid w:val="00771CD1"/>
    <w:rsid w:val="00772401"/>
    <w:rsid w:val="00772FBE"/>
    <w:rsid w:val="007742D1"/>
    <w:rsid w:val="00775014"/>
    <w:rsid w:val="00775524"/>
    <w:rsid w:val="00775CF3"/>
    <w:rsid w:val="00775EC9"/>
    <w:rsid w:val="007767AF"/>
    <w:rsid w:val="007769F7"/>
    <w:rsid w:val="00776AE9"/>
    <w:rsid w:val="00780308"/>
    <w:rsid w:val="00780519"/>
    <w:rsid w:val="007809BD"/>
    <w:rsid w:val="00780C2B"/>
    <w:rsid w:val="00782A27"/>
    <w:rsid w:val="00782C97"/>
    <w:rsid w:val="00782DCA"/>
    <w:rsid w:val="00782E57"/>
    <w:rsid w:val="00782EB8"/>
    <w:rsid w:val="0078329A"/>
    <w:rsid w:val="0078486B"/>
    <w:rsid w:val="00785F58"/>
    <w:rsid w:val="007861C6"/>
    <w:rsid w:val="00787AEC"/>
    <w:rsid w:val="007902C7"/>
    <w:rsid w:val="00790302"/>
    <w:rsid w:val="00791265"/>
    <w:rsid w:val="007917DD"/>
    <w:rsid w:val="0079284D"/>
    <w:rsid w:val="00792DEE"/>
    <w:rsid w:val="00796D78"/>
    <w:rsid w:val="00796E56"/>
    <w:rsid w:val="00796FC5"/>
    <w:rsid w:val="00797237"/>
    <w:rsid w:val="00797842"/>
    <w:rsid w:val="00797ECD"/>
    <w:rsid w:val="007A011D"/>
    <w:rsid w:val="007A02B1"/>
    <w:rsid w:val="007A053F"/>
    <w:rsid w:val="007A2BBE"/>
    <w:rsid w:val="007A2D21"/>
    <w:rsid w:val="007A472C"/>
    <w:rsid w:val="007A5FEB"/>
    <w:rsid w:val="007A61BD"/>
    <w:rsid w:val="007A624A"/>
    <w:rsid w:val="007A63E4"/>
    <w:rsid w:val="007A6E30"/>
    <w:rsid w:val="007A7A11"/>
    <w:rsid w:val="007B0695"/>
    <w:rsid w:val="007B3C18"/>
    <w:rsid w:val="007B55BD"/>
    <w:rsid w:val="007B5990"/>
    <w:rsid w:val="007B5C13"/>
    <w:rsid w:val="007B64F7"/>
    <w:rsid w:val="007B7354"/>
    <w:rsid w:val="007B757C"/>
    <w:rsid w:val="007C078D"/>
    <w:rsid w:val="007C110A"/>
    <w:rsid w:val="007C13B4"/>
    <w:rsid w:val="007C2A43"/>
    <w:rsid w:val="007C326F"/>
    <w:rsid w:val="007C3D25"/>
    <w:rsid w:val="007D0051"/>
    <w:rsid w:val="007D0FAD"/>
    <w:rsid w:val="007D2AED"/>
    <w:rsid w:val="007D3FFE"/>
    <w:rsid w:val="007D434F"/>
    <w:rsid w:val="007D5808"/>
    <w:rsid w:val="007D6797"/>
    <w:rsid w:val="007D6C70"/>
    <w:rsid w:val="007D6D0F"/>
    <w:rsid w:val="007E0400"/>
    <w:rsid w:val="007E0DBA"/>
    <w:rsid w:val="007E1053"/>
    <w:rsid w:val="007E33E5"/>
    <w:rsid w:val="007E3AE0"/>
    <w:rsid w:val="007E3DE3"/>
    <w:rsid w:val="007E3E9F"/>
    <w:rsid w:val="007E491C"/>
    <w:rsid w:val="007E63E9"/>
    <w:rsid w:val="007E70D2"/>
    <w:rsid w:val="007E722D"/>
    <w:rsid w:val="007F0DFB"/>
    <w:rsid w:val="007F4109"/>
    <w:rsid w:val="007F44D5"/>
    <w:rsid w:val="007F4CAF"/>
    <w:rsid w:val="007F4DF7"/>
    <w:rsid w:val="007F5D46"/>
    <w:rsid w:val="007F6C64"/>
    <w:rsid w:val="007F7850"/>
    <w:rsid w:val="00800409"/>
    <w:rsid w:val="0080071B"/>
    <w:rsid w:val="008014A1"/>
    <w:rsid w:val="00801B1D"/>
    <w:rsid w:val="0080284D"/>
    <w:rsid w:val="008047C4"/>
    <w:rsid w:val="00805FAF"/>
    <w:rsid w:val="0080634E"/>
    <w:rsid w:val="0081032B"/>
    <w:rsid w:val="008113D9"/>
    <w:rsid w:val="008120BE"/>
    <w:rsid w:val="0081253E"/>
    <w:rsid w:val="0081402E"/>
    <w:rsid w:val="008149CD"/>
    <w:rsid w:val="00814BE6"/>
    <w:rsid w:val="0081586C"/>
    <w:rsid w:val="00815FBC"/>
    <w:rsid w:val="0081626E"/>
    <w:rsid w:val="00817CBC"/>
    <w:rsid w:val="00820AB0"/>
    <w:rsid w:val="00821324"/>
    <w:rsid w:val="008222E9"/>
    <w:rsid w:val="0082396B"/>
    <w:rsid w:val="00823E7D"/>
    <w:rsid w:val="00824242"/>
    <w:rsid w:val="00824C14"/>
    <w:rsid w:val="0082661D"/>
    <w:rsid w:val="008308EE"/>
    <w:rsid w:val="00831C12"/>
    <w:rsid w:val="00832C8D"/>
    <w:rsid w:val="0083354E"/>
    <w:rsid w:val="0083390D"/>
    <w:rsid w:val="00834309"/>
    <w:rsid w:val="0083485D"/>
    <w:rsid w:val="00835EC7"/>
    <w:rsid w:val="008368CF"/>
    <w:rsid w:val="0083715C"/>
    <w:rsid w:val="0084062F"/>
    <w:rsid w:val="00840F76"/>
    <w:rsid w:val="00842168"/>
    <w:rsid w:val="00843F1A"/>
    <w:rsid w:val="008441EC"/>
    <w:rsid w:val="00844913"/>
    <w:rsid w:val="0084534D"/>
    <w:rsid w:val="008467E8"/>
    <w:rsid w:val="00846D01"/>
    <w:rsid w:val="0084702C"/>
    <w:rsid w:val="008471F4"/>
    <w:rsid w:val="008477AE"/>
    <w:rsid w:val="008501E1"/>
    <w:rsid w:val="00850900"/>
    <w:rsid w:val="00852B96"/>
    <w:rsid w:val="0085404D"/>
    <w:rsid w:val="00855478"/>
    <w:rsid w:val="008568EF"/>
    <w:rsid w:val="00857A78"/>
    <w:rsid w:val="0086073E"/>
    <w:rsid w:val="00860B4B"/>
    <w:rsid w:val="00860FC4"/>
    <w:rsid w:val="008626D8"/>
    <w:rsid w:val="00862A49"/>
    <w:rsid w:val="00864CB2"/>
    <w:rsid w:val="0086665F"/>
    <w:rsid w:val="008667B3"/>
    <w:rsid w:val="00866D83"/>
    <w:rsid w:val="00870B22"/>
    <w:rsid w:val="00871171"/>
    <w:rsid w:val="00871199"/>
    <w:rsid w:val="00872943"/>
    <w:rsid w:val="00872C44"/>
    <w:rsid w:val="00873BDF"/>
    <w:rsid w:val="008742F3"/>
    <w:rsid w:val="00875FE7"/>
    <w:rsid w:val="00876855"/>
    <w:rsid w:val="0087690E"/>
    <w:rsid w:val="008770DE"/>
    <w:rsid w:val="00877AA9"/>
    <w:rsid w:val="0088003D"/>
    <w:rsid w:val="00880681"/>
    <w:rsid w:val="0088155D"/>
    <w:rsid w:val="00881FE8"/>
    <w:rsid w:val="00883407"/>
    <w:rsid w:val="0088493D"/>
    <w:rsid w:val="00885387"/>
    <w:rsid w:val="00886BF6"/>
    <w:rsid w:val="00887981"/>
    <w:rsid w:val="008944FD"/>
    <w:rsid w:val="00894856"/>
    <w:rsid w:val="008949AD"/>
    <w:rsid w:val="00895DBD"/>
    <w:rsid w:val="0089682A"/>
    <w:rsid w:val="00896F76"/>
    <w:rsid w:val="008974B2"/>
    <w:rsid w:val="008A054B"/>
    <w:rsid w:val="008A1232"/>
    <w:rsid w:val="008A1E07"/>
    <w:rsid w:val="008A43F6"/>
    <w:rsid w:val="008A61E8"/>
    <w:rsid w:val="008A6D44"/>
    <w:rsid w:val="008A7AA3"/>
    <w:rsid w:val="008B0B55"/>
    <w:rsid w:val="008B1B9D"/>
    <w:rsid w:val="008B26E3"/>
    <w:rsid w:val="008B27CA"/>
    <w:rsid w:val="008B484B"/>
    <w:rsid w:val="008B517D"/>
    <w:rsid w:val="008B55B2"/>
    <w:rsid w:val="008B67F3"/>
    <w:rsid w:val="008B6C4C"/>
    <w:rsid w:val="008B7DB2"/>
    <w:rsid w:val="008C018B"/>
    <w:rsid w:val="008C06C3"/>
    <w:rsid w:val="008C0E33"/>
    <w:rsid w:val="008C1DEA"/>
    <w:rsid w:val="008C206D"/>
    <w:rsid w:val="008C2921"/>
    <w:rsid w:val="008C3BCB"/>
    <w:rsid w:val="008C5AFA"/>
    <w:rsid w:val="008C74CF"/>
    <w:rsid w:val="008C77B8"/>
    <w:rsid w:val="008C7831"/>
    <w:rsid w:val="008D0600"/>
    <w:rsid w:val="008D0C8E"/>
    <w:rsid w:val="008D192D"/>
    <w:rsid w:val="008D4201"/>
    <w:rsid w:val="008D49B4"/>
    <w:rsid w:val="008D4B03"/>
    <w:rsid w:val="008D55D4"/>
    <w:rsid w:val="008D686F"/>
    <w:rsid w:val="008D6D1E"/>
    <w:rsid w:val="008D774F"/>
    <w:rsid w:val="008E06B5"/>
    <w:rsid w:val="008E1915"/>
    <w:rsid w:val="008E2D42"/>
    <w:rsid w:val="008E4387"/>
    <w:rsid w:val="008E439D"/>
    <w:rsid w:val="008E5935"/>
    <w:rsid w:val="008E5DAE"/>
    <w:rsid w:val="008E5FC2"/>
    <w:rsid w:val="008E7D62"/>
    <w:rsid w:val="008F080A"/>
    <w:rsid w:val="008F0B78"/>
    <w:rsid w:val="008F1FC9"/>
    <w:rsid w:val="008F2E10"/>
    <w:rsid w:val="008F3E33"/>
    <w:rsid w:val="008F5D74"/>
    <w:rsid w:val="008F715F"/>
    <w:rsid w:val="008F7C47"/>
    <w:rsid w:val="00900F38"/>
    <w:rsid w:val="00901E00"/>
    <w:rsid w:val="00902305"/>
    <w:rsid w:val="009029E5"/>
    <w:rsid w:val="0090331D"/>
    <w:rsid w:val="00904CA9"/>
    <w:rsid w:val="0090557E"/>
    <w:rsid w:val="00905EA6"/>
    <w:rsid w:val="00905F16"/>
    <w:rsid w:val="0090617F"/>
    <w:rsid w:val="00907587"/>
    <w:rsid w:val="00910EBB"/>
    <w:rsid w:val="00915559"/>
    <w:rsid w:val="00916A2E"/>
    <w:rsid w:val="00916D2B"/>
    <w:rsid w:val="009171A1"/>
    <w:rsid w:val="00920279"/>
    <w:rsid w:val="00920807"/>
    <w:rsid w:val="009217AA"/>
    <w:rsid w:val="00921E58"/>
    <w:rsid w:val="009227BE"/>
    <w:rsid w:val="00925E59"/>
    <w:rsid w:val="009261BD"/>
    <w:rsid w:val="009262B9"/>
    <w:rsid w:val="00927715"/>
    <w:rsid w:val="00927DBA"/>
    <w:rsid w:val="0093046A"/>
    <w:rsid w:val="00930677"/>
    <w:rsid w:val="00933388"/>
    <w:rsid w:val="009334A8"/>
    <w:rsid w:val="00934B8F"/>
    <w:rsid w:val="00935039"/>
    <w:rsid w:val="00935A10"/>
    <w:rsid w:val="00936393"/>
    <w:rsid w:val="00937649"/>
    <w:rsid w:val="0094291F"/>
    <w:rsid w:val="009479F1"/>
    <w:rsid w:val="00947BC7"/>
    <w:rsid w:val="00951936"/>
    <w:rsid w:val="009520CC"/>
    <w:rsid w:val="009542EE"/>
    <w:rsid w:val="00954E35"/>
    <w:rsid w:val="00954EF2"/>
    <w:rsid w:val="00955397"/>
    <w:rsid w:val="00955486"/>
    <w:rsid w:val="00955C0C"/>
    <w:rsid w:val="00956625"/>
    <w:rsid w:val="0095784F"/>
    <w:rsid w:val="0096099D"/>
    <w:rsid w:val="00960CAD"/>
    <w:rsid w:val="00961D6E"/>
    <w:rsid w:val="009628BC"/>
    <w:rsid w:val="00963075"/>
    <w:rsid w:val="00966A3B"/>
    <w:rsid w:val="00970C9E"/>
    <w:rsid w:val="00970DF4"/>
    <w:rsid w:val="00972AEF"/>
    <w:rsid w:val="00973EA8"/>
    <w:rsid w:val="00975F0A"/>
    <w:rsid w:val="009766A5"/>
    <w:rsid w:val="00977B5E"/>
    <w:rsid w:val="00981356"/>
    <w:rsid w:val="009813A0"/>
    <w:rsid w:val="00981DF7"/>
    <w:rsid w:val="00981E49"/>
    <w:rsid w:val="00982987"/>
    <w:rsid w:val="00983C64"/>
    <w:rsid w:val="00983CC8"/>
    <w:rsid w:val="00985068"/>
    <w:rsid w:val="00986A6E"/>
    <w:rsid w:val="00987385"/>
    <w:rsid w:val="009928B5"/>
    <w:rsid w:val="00993752"/>
    <w:rsid w:val="0099480E"/>
    <w:rsid w:val="009A07C9"/>
    <w:rsid w:val="009A1007"/>
    <w:rsid w:val="009A15AC"/>
    <w:rsid w:val="009A1C91"/>
    <w:rsid w:val="009A4E7D"/>
    <w:rsid w:val="009A5157"/>
    <w:rsid w:val="009A6C66"/>
    <w:rsid w:val="009B0776"/>
    <w:rsid w:val="009B1AAD"/>
    <w:rsid w:val="009B2114"/>
    <w:rsid w:val="009B27AB"/>
    <w:rsid w:val="009B3834"/>
    <w:rsid w:val="009B3940"/>
    <w:rsid w:val="009B3E30"/>
    <w:rsid w:val="009B3FF8"/>
    <w:rsid w:val="009B5640"/>
    <w:rsid w:val="009B68D1"/>
    <w:rsid w:val="009C03FA"/>
    <w:rsid w:val="009C0B0A"/>
    <w:rsid w:val="009C0B6C"/>
    <w:rsid w:val="009C27E3"/>
    <w:rsid w:val="009C3818"/>
    <w:rsid w:val="009D015A"/>
    <w:rsid w:val="009D0BB7"/>
    <w:rsid w:val="009D0DFA"/>
    <w:rsid w:val="009D2283"/>
    <w:rsid w:val="009D2F3C"/>
    <w:rsid w:val="009D40C4"/>
    <w:rsid w:val="009D447A"/>
    <w:rsid w:val="009D5E19"/>
    <w:rsid w:val="009D6984"/>
    <w:rsid w:val="009E2E38"/>
    <w:rsid w:val="009E3F71"/>
    <w:rsid w:val="009E5A5C"/>
    <w:rsid w:val="009E637A"/>
    <w:rsid w:val="009E63A7"/>
    <w:rsid w:val="009E7D84"/>
    <w:rsid w:val="009F0CFA"/>
    <w:rsid w:val="009F1070"/>
    <w:rsid w:val="009F1752"/>
    <w:rsid w:val="009F2511"/>
    <w:rsid w:val="009F36CF"/>
    <w:rsid w:val="009F6463"/>
    <w:rsid w:val="009F79A4"/>
    <w:rsid w:val="009F7FC5"/>
    <w:rsid w:val="00A0028D"/>
    <w:rsid w:val="00A00AE8"/>
    <w:rsid w:val="00A011D3"/>
    <w:rsid w:val="00A06BAC"/>
    <w:rsid w:val="00A06BFF"/>
    <w:rsid w:val="00A06F09"/>
    <w:rsid w:val="00A07A20"/>
    <w:rsid w:val="00A101BC"/>
    <w:rsid w:val="00A1032A"/>
    <w:rsid w:val="00A126FA"/>
    <w:rsid w:val="00A14065"/>
    <w:rsid w:val="00A1564F"/>
    <w:rsid w:val="00A160AA"/>
    <w:rsid w:val="00A16D0D"/>
    <w:rsid w:val="00A1721F"/>
    <w:rsid w:val="00A17C88"/>
    <w:rsid w:val="00A209B1"/>
    <w:rsid w:val="00A21B8D"/>
    <w:rsid w:val="00A21F9D"/>
    <w:rsid w:val="00A22B36"/>
    <w:rsid w:val="00A25C4B"/>
    <w:rsid w:val="00A276E6"/>
    <w:rsid w:val="00A30A9F"/>
    <w:rsid w:val="00A31035"/>
    <w:rsid w:val="00A3221D"/>
    <w:rsid w:val="00A32FAB"/>
    <w:rsid w:val="00A35240"/>
    <w:rsid w:val="00A4020B"/>
    <w:rsid w:val="00A42076"/>
    <w:rsid w:val="00A43D99"/>
    <w:rsid w:val="00A477B8"/>
    <w:rsid w:val="00A50F50"/>
    <w:rsid w:val="00A5100C"/>
    <w:rsid w:val="00A515B8"/>
    <w:rsid w:val="00A52BF5"/>
    <w:rsid w:val="00A5347F"/>
    <w:rsid w:val="00A53840"/>
    <w:rsid w:val="00A53F6C"/>
    <w:rsid w:val="00A54CE6"/>
    <w:rsid w:val="00A57D4E"/>
    <w:rsid w:val="00A604C7"/>
    <w:rsid w:val="00A63C77"/>
    <w:rsid w:val="00A64B57"/>
    <w:rsid w:val="00A64E28"/>
    <w:rsid w:val="00A65609"/>
    <w:rsid w:val="00A665CE"/>
    <w:rsid w:val="00A666F8"/>
    <w:rsid w:val="00A66775"/>
    <w:rsid w:val="00A66AEE"/>
    <w:rsid w:val="00A66C14"/>
    <w:rsid w:val="00A66CF1"/>
    <w:rsid w:val="00A671E4"/>
    <w:rsid w:val="00A702CA"/>
    <w:rsid w:val="00A71A8E"/>
    <w:rsid w:val="00A72CC6"/>
    <w:rsid w:val="00A73014"/>
    <w:rsid w:val="00A73CE8"/>
    <w:rsid w:val="00A74630"/>
    <w:rsid w:val="00A74CC8"/>
    <w:rsid w:val="00A75791"/>
    <w:rsid w:val="00A75CC0"/>
    <w:rsid w:val="00A766D9"/>
    <w:rsid w:val="00A769A9"/>
    <w:rsid w:val="00A76B6A"/>
    <w:rsid w:val="00A807AB"/>
    <w:rsid w:val="00A81800"/>
    <w:rsid w:val="00A82E69"/>
    <w:rsid w:val="00A84C97"/>
    <w:rsid w:val="00A85286"/>
    <w:rsid w:val="00A853AF"/>
    <w:rsid w:val="00A8574B"/>
    <w:rsid w:val="00A85AB4"/>
    <w:rsid w:val="00A9008B"/>
    <w:rsid w:val="00A923FA"/>
    <w:rsid w:val="00A92DC8"/>
    <w:rsid w:val="00A92FA8"/>
    <w:rsid w:val="00A935D3"/>
    <w:rsid w:val="00A9498E"/>
    <w:rsid w:val="00A94A16"/>
    <w:rsid w:val="00A95338"/>
    <w:rsid w:val="00A9627E"/>
    <w:rsid w:val="00AA088C"/>
    <w:rsid w:val="00AA1D8D"/>
    <w:rsid w:val="00AA3532"/>
    <w:rsid w:val="00AA3D98"/>
    <w:rsid w:val="00AA3DB6"/>
    <w:rsid w:val="00AA57E3"/>
    <w:rsid w:val="00AA5B25"/>
    <w:rsid w:val="00AA5B6F"/>
    <w:rsid w:val="00AA6509"/>
    <w:rsid w:val="00AA69D4"/>
    <w:rsid w:val="00AA73A2"/>
    <w:rsid w:val="00AB495E"/>
    <w:rsid w:val="00AB5AEB"/>
    <w:rsid w:val="00AB5FB0"/>
    <w:rsid w:val="00AB647E"/>
    <w:rsid w:val="00AB758C"/>
    <w:rsid w:val="00AC4E7D"/>
    <w:rsid w:val="00AC6614"/>
    <w:rsid w:val="00AC6A79"/>
    <w:rsid w:val="00AD0CC0"/>
    <w:rsid w:val="00AD1DC6"/>
    <w:rsid w:val="00AD4718"/>
    <w:rsid w:val="00AD56E7"/>
    <w:rsid w:val="00AD5FB6"/>
    <w:rsid w:val="00AD6BB8"/>
    <w:rsid w:val="00AE001D"/>
    <w:rsid w:val="00AE2BD7"/>
    <w:rsid w:val="00AE30C0"/>
    <w:rsid w:val="00AE34D9"/>
    <w:rsid w:val="00AE42C1"/>
    <w:rsid w:val="00AE5A84"/>
    <w:rsid w:val="00AE669F"/>
    <w:rsid w:val="00AE6861"/>
    <w:rsid w:val="00AE6A2D"/>
    <w:rsid w:val="00AE7468"/>
    <w:rsid w:val="00AF0D51"/>
    <w:rsid w:val="00AF14E2"/>
    <w:rsid w:val="00AF2905"/>
    <w:rsid w:val="00AF2DC7"/>
    <w:rsid w:val="00AF2EEE"/>
    <w:rsid w:val="00AF322B"/>
    <w:rsid w:val="00AF34AE"/>
    <w:rsid w:val="00AF4B7A"/>
    <w:rsid w:val="00AF54A6"/>
    <w:rsid w:val="00AF614B"/>
    <w:rsid w:val="00AF65EF"/>
    <w:rsid w:val="00AF7526"/>
    <w:rsid w:val="00AF7CAC"/>
    <w:rsid w:val="00B017E2"/>
    <w:rsid w:val="00B01F60"/>
    <w:rsid w:val="00B02E51"/>
    <w:rsid w:val="00B03687"/>
    <w:rsid w:val="00B047A4"/>
    <w:rsid w:val="00B055DB"/>
    <w:rsid w:val="00B05B1E"/>
    <w:rsid w:val="00B07F08"/>
    <w:rsid w:val="00B10474"/>
    <w:rsid w:val="00B1208E"/>
    <w:rsid w:val="00B122D4"/>
    <w:rsid w:val="00B13280"/>
    <w:rsid w:val="00B1380C"/>
    <w:rsid w:val="00B161D3"/>
    <w:rsid w:val="00B16B3B"/>
    <w:rsid w:val="00B20D8C"/>
    <w:rsid w:val="00B22D0F"/>
    <w:rsid w:val="00B2336F"/>
    <w:rsid w:val="00B23AA7"/>
    <w:rsid w:val="00B23AF4"/>
    <w:rsid w:val="00B25544"/>
    <w:rsid w:val="00B25CD6"/>
    <w:rsid w:val="00B26346"/>
    <w:rsid w:val="00B26882"/>
    <w:rsid w:val="00B3017A"/>
    <w:rsid w:val="00B30E66"/>
    <w:rsid w:val="00B312EC"/>
    <w:rsid w:val="00B32151"/>
    <w:rsid w:val="00B3239C"/>
    <w:rsid w:val="00B33B20"/>
    <w:rsid w:val="00B33C54"/>
    <w:rsid w:val="00B37DB5"/>
    <w:rsid w:val="00B410DC"/>
    <w:rsid w:val="00B4567E"/>
    <w:rsid w:val="00B459A7"/>
    <w:rsid w:val="00B47047"/>
    <w:rsid w:val="00B47730"/>
    <w:rsid w:val="00B47D4B"/>
    <w:rsid w:val="00B5086C"/>
    <w:rsid w:val="00B551AB"/>
    <w:rsid w:val="00B57CBA"/>
    <w:rsid w:val="00B61668"/>
    <w:rsid w:val="00B63AAD"/>
    <w:rsid w:val="00B63B9B"/>
    <w:rsid w:val="00B6539B"/>
    <w:rsid w:val="00B653FF"/>
    <w:rsid w:val="00B65C08"/>
    <w:rsid w:val="00B66902"/>
    <w:rsid w:val="00B66D79"/>
    <w:rsid w:val="00B676AB"/>
    <w:rsid w:val="00B70148"/>
    <w:rsid w:val="00B72076"/>
    <w:rsid w:val="00B72664"/>
    <w:rsid w:val="00B72691"/>
    <w:rsid w:val="00B72AF6"/>
    <w:rsid w:val="00B736D8"/>
    <w:rsid w:val="00B74578"/>
    <w:rsid w:val="00B74BD9"/>
    <w:rsid w:val="00B74E96"/>
    <w:rsid w:val="00B74F79"/>
    <w:rsid w:val="00B752B7"/>
    <w:rsid w:val="00B76365"/>
    <w:rsid w:val="00B76750"/>
    <w:rsid w:val="00B770CC"/>
    <w:rsid w:val="00B77749"/>
    <w:rsid w:val="00B77CFE"/>
    <w:rsid w:val="00B83841"/>
    <w:rsid w:val="00B853F1"/>
    <w:rsid w:val="00B859A5"/>
    <w:rsid w:val="00B85DE7"/>
    <w:rsid w:val="00B86810"/>
    <w:rsid w:val="00B87ABA"/>
    <w:rsid w:val="00B91085"/>
    <w:rsid w:val="00B912A1"/>
    <w:rsid w:val="00B91CD1"/>
    <w:rsid w:val="00B940B3"/>
    <w:rsid w:val="00B953EE"/>
    <w:rsid w:val="00B964E1"/>
    <w:rsid w:val="00B96B0A"/>
    <w:rsid w:val="00B973DE"/>
    <w:rsid w:val="00B9745F"/>
    <w:rsid w:val="00BA0261"/>
    <w:rsid w:val="00BA033D"/>
    <w:rsid w:val="00BA136E"/>
    <w:rsid w:val="00BA30E1"/>
    <w:rsid w:val="00BA379C"/>
    <w:rsid w:val="00BA6212"/>
    <w:rsid w:val="00BA6216"/>
    <w:rsid w:val="00BA624E"/>
    <w:rsid w:val="00BA7882"/>
    <w:rsid w:val="00BA7899"/>
    <w:rsid w:val="00BB1196"/>
    <w:rsid w:val="00BB1A79"/>
    <w:rsid w:val="00BB1C64"/>
    <w:rsid w:val="00BB2386"/>
    <w:rsid w:val="00BB2B7E"/>
    <w:rsid w:val="00BB2E4B"/>
    <w:rsid w:val="00BB31BA"/>
    <w:rsid w:val="00BB5195"/>
    <w:rsid w:val="00BB57C4"/>
    <w:rsid w:val="00BB7112"/>
    <w:rsid w:val="00BB7C7D"/>
    <w:rsid w:val="00BC1167"/>
    <w:rsid w:val="00BC157D"/>
    <w:rsid w:val="00BC1A33"/>
    <w:rsid w:val="00BC209D"/>
    <w:rsid w:val="00BC5C89"/>
    <w:rsid w:val="00BC6E88"/>
    <w:rsid w:val="00BC7318"/>
    <w:rsid w:val="00BC7A3A"/>
    <w:rsid w:val="00BC7E13"/>
    <w:rsid w:val="00BD109A"/>
    <w:rsid w:val="00BD1A80"/>
    <w:rsid w:val="00BD26F5"/>
    <w:rsid w:val="00BD3235"/>
    <w:rsid w:val="00BD49FF"/>
    <w:rsid w:val="00BD5434"/>
    <w:rsid w:val="00BD6150"/>
    <w:rsid w:val="00BD6C0F"/>
    <w:rsid w:val="00BD6C65"/>
    <w:rsid w:val="00BD6F3B"/>
    <w:rsid w:val="00BE0AAE"/>
    <w:rsid w:val="00BE25B1"/>
    <w:rsid w:val="00BE2BC5"/>
    <w:rsid w:val="00BF1D9B"/>
    <w:rsid w:val="00BF27AB"/>
    <w:rsid w:val="00BF2A72"/>
    <w:rsid w:val="00BF34F5"/>
    <w:rsid w:val="00BF3DA6"/>
    <w:rsid w:val="00BF3E1D"/>
    <w:rsid w:val="00BF4FBD"/>
    <w:rsid w:val="00BF68DA"/>
    <w:rsid w:val="00BF71FF"/>
    <w:rsid w:val="00C04BD1"/>
    <w:rsid w:val="00C05306"/>
    <w:rsid w:val="00C0552B"/>
    <w:rsid w:val="00C05D98"/>
    <w:rsid w:val="00C06BE7"/>
    <w:rsid w:val="00C070E4"/>
    <w:rsid w:val="00C10DC5"/>
    <w:rsid w:val="00C110E6"/>
    <w:rsid w:val="00C12A6E"/>
    <w:rsid w:val="00C13127"/>
    <w:rsid w:val="00C13844"/>
    <w:rsid w:val="00C14B32"/>
    <w:rsid w:val="00C202E0"/>
    <w:rsid w:val="00C21F8A"/>
    <w:rsid w:val="00C22F1E"/>
    <w:rsid w:val="00C23698"/>
    <w:rsid w:val="00C2447A"/>
    <w:rsid w:val="00C24896"/>
    <w:rsid w:val="00C24B16"/>
    <w:rsid w:val="00C25B63"/>
    <w:rsid w:val="00C25C6D"/>
    <w:rsid w:val="00C26460"/>
    <w:rsid w:val="00C26856"/>
    <w:rsid w:val="00C27F75"/>
    <w:rsid w:val="00C32110"/>
    <w:rsid w:val="00C32551"/>
    <w:rsid w:val="00C32FD8"/>
    <w:rsid w:val="00C3397D"/>
    <w:rsid w:val="00C34B00"/>
    <w:rsid w:val="00C367A5"/>
    <w:rsid w:val="00C371AD"/>
    <w:rsid w:val="00C40631"/>
    <w:rsid w:val="00C40D57"/>
    <w:rsid w:val="00C410C1"/>
    <w:rsid w:val="00C42B43"/>
    <w:rsid w:val="00C44EF2"/>
    <w:rsid w:val="00C4643E"/>
    <w:rsid w:val="00C4733D"/>
    <w:rsid w:val="00C50121"/>
    <w:rsid w:val="00C50DC3"/>
    <w:rsid w:val="00C51132"/>
    <w:rsid w:val="00C5126D"/>
    <w:rsid w:val="00C51817"/>
    <w:rsid w:val="00C53000"/>
    <w:rsid w:val="00C547EC"/>
    <w:rsid w:val="00C54869"/>
    <w:rsid w:val="00C56780"/>
    <w:rsid w:val="00C5678B"/>
    <w:rsid w:val="00C56B58"/>
    <w:rsid w:val="00C60100"/>
    <w:rsid w:val="00C61EB1"/>
    <w:rsid w:val="00C62A08"/>
    <w:rsid w:val="00C632FC"/>
    <w:rsid w:val="00C64595"/>
    <w:rsid w:val="00C64A3C"/>
    <w:rsid w:val="00C65712"/>
    <w:rsid w:val="00C659F1"/>
    <w:rsid w:val="00C65DF2"/>
    <w:rsid w:val="00C664B9"/>
    <w:rsid w:val="00C6657F"/>
    <w:rsid w:val="00C66DF1"/>
    <w:rsid w:val="00C67769"/>
    <w:rsid w:val="00C71BFB"/>
    <w:rsid w:val="00C71C0E"/>
    <w:rsid w:val="00C72180"/>
    <w:rsid w:val="00C73320"/>
    <w:rsid w:val="00C7452D"/>
    <w:rsid w:val="00C75085"/>
    <w:rsid w:val="00C75B65"/>
    <w:rsid w:val="00C80553"/>
    <w:rsid w:val="00C81A15"/>
    <w:rsid w:val="00C82A1A"/>
    <w:rsid w:val="00C83DE3"/>
    <w:rsid w:val="00C84232"/>
    <w:rsid w:val="00C8446A"/>
    <w:rsid w:val="00C8481A"/>
    <w:rsid w:val="00C84CA6"/>
    <w:rsid w:val="00C86958"/>
    <w:rsid w:val="00C90685"/>
    <w:rsid w:val="00C9235A"/>
    <w:rsid w:val="00C92E5F"/>
    <w:rsid w:val="00C9368C"/>
    <w:rsid w:val="00C93899"/>
    <w:rsid w:val="00C94EB5"/>
    <w:rsid w:val="00C9595E"/>
    <w:rsid w:val="00C95F42"/>
    <w:rsid w:val="00C963AE"/>
    <w:rsid w:val="00C96E7E"/>
    <w:rsid w:val="00C97C89"/>
    <w:rsid w:val="00C97F02"/>
    <w:rsid w:val="00CA02B2"/>
    <w:rsid w:val="00CA0F26"/>
    <w:rsid w:val="00CA105C"/>
    <w:rsid w:val="00CA1932"/>
    <w:rsid w:val="00CA20BC"/>
    <w:rsid w:val="00CA2213"/>
    <w:rsid w:val="00CA226E"/>
    <w:rsid w:val="00CA2A22"/>
    <w:rsid w:val="00CA2EF9"/>
    <w:rsid w:val="00CA2F17"/>
    <w:rsid w:val="00CA364B"/>
    <w:rsid w:val="00CA5012"/>
    <w:rsid w:val="00CA6877"/>
    <w:rsid w:val="00CA7135"/>
    <w:rsid w:val="00CB03D0"/>
    <w:rsid w:val="00CB0664"/>
    <w:rsid w:val="00CB0DBE"/>
    <w:rsid w:val="00CB2083"/>
    <w:rsid w:val="00CB55AA"/>
    <w:rsid w:val="00CC0388"/>
    <w:rsid w:val="00CC11DE"/>
    <w:rsid w:val="00CC4B1D"/>
    <w:rsid w:val="00CC5268"/>
    <w:rsid w:val="00CC643F"/>
    <w:rsid w:val="00CC77EC"/>
    <w:rsid w:val="00CC7C76"/>
    <w:rsid w:val="00CD1037"/>
    <w:rsid w:val="00CD1AA1"/>
    <w:rsid w:val="00CD1FA8"/>
    <w:rsid w:val="00CD2320"/>
    <w:rsid w:val="00CD336B"/>
    <w:rsid w:val="00CD53BE"/>
    <w:rsid w:val="00CD72E3"/>
    <w:rsid w:val="00CD7E56"/>
    <w:rsid w:val="00CE0B45"/>
    <w:rsid w:val="00CE0C36"/>
    <w:rsid w:val="00CE107A"/>
    <w:rsid w:val="00CE10D8"/>
    <w:rsid w:val="00CE57E1"/>
    <w:rsid w:val="00CE6566"/>
    <w:rsid w:val="00CE7371"/>
    <w:rsid w:val="00CF026D"/>
    <w:rsid w:val="00CF0C2F"/>
    <w:rsid w:val="00CF1B92"/>
    <w:rsid w:val="00CF2F09"/>
    <w:rsid w:val="00CF33E8"/>
    <w:rsid w:val="00CF5060"/>
    <w:rsid w:val="00CF5719"/>
    <w:rsid w:val="00CF662B"/>
    <w:rsid w:val="00D026D3"/>
    <w:rsid w:val="00D03544"/>
    <w:rsid w:val="00D071A4"/>
    <w:rsid w:val="00D107DA"/>
    <w:rsid w:val="00D10B1D"/>
    <w:rsid w:val="00D11319"/>
    <w:rsid w:val="00D114A2"/>
    <w:rsid w:val="00D114C5"/>
    <w:rsid w:val="00D1184F"/>
    <w:rsid w:val="00D13FBF"/>
    <w:rsid w:val="00D159BE"/>
    <w:rsid w:val="00D15DFD"/>
    <w:rsid w:val="00D15F28"/>
    <w:rsid w:val="00D161E2"/>
    <w:rsid w:val="00D16892"/>
    <w:rsid w:val="00D168F2"/>
    <w:rsid w:val="00D16B74"/>
    <w:rsid w:val="00D20025"/>
    <w:rsid w:val="00D2193C"/>
    <w:rsid w:val="00D2213F"/>
    <w:rsid w:val="00D22F0B"/>
    <w:rsid w:val="00D25DAA"/>
    <w:rsid w:val="00D26105"/>
    <w:rsid w:val="00D274CF"/>
    <w:rsid w:val="00D3050E"/>
    <w:rsid w:val="00D32883"/>
    <w:rsid w:val="00D33ED6"/>
    <w:rsid w:val="00D36E17"/>
    <w:rsid w:val="00D40FA1"/>
    <w:rsid w:val="00D42886"/>
    <w:rsid w:val="00D44C81"/>
    <w:rsid w:val="00D44EAF"/>
    <w:rsid w:val="00D44EC2"/>
    <w:rsid w:val="00D44FA3"/>
    <w:rsid w:val="00D50A00"/>
    <w:rsid w:val="00D5163E"/>
    <w:rsid w:val="00D5359C"/>
    <w:rsid w:val="00D53C7D"/>
    <w:rsid w:val="00D54394"/>
    <w:rsid w:val="00D54C0E"/>
    <w:rsid w:val="00D54D2A"/>
    <w:rsid w:val="00D54E52"/>
    <w:rsid w:val="00D5651B"/>
    <w:rsid w:val="00D60073"/>
    <w:rsid w:val="00D6051E"/>
    <w:rsid w:val="00D607B5"/>
    <w:rsid w:val="00D62AEE"/>
    <w:rsid w:val="00D62D0E"/>
    <w:rsid w:val="00D63918"/>
    <w:rsid w:val="00D6441E"/>
    <w:rsid w:val="00D64773"/>
    <w:rsid w:val="00D64C6D"/>
    <w:rsid w:val="00D6557D"/>
    <w:rsid w:val="00D6597E"/>
    <w:rsid w:val="00D659A9"/>
    <w:rsid w:val="00D6734D"/>
    <w:rsid w:val="00D707C7"/>
    <w:rsid w:val="00D7128B"/>
    <w:rsid w:val="00D73259"/>
    <w:rsid w:val="00D77359"/>
    <w:rsid w:val="00D77D8F"/>
    <w:rsid w:val="00D80997"/>
    <w:rsid w:val="00D80BEA"/>
    <w:rsid w:val="00D823C8"/>
    <w:rsid w:val="00D82895"/>
    <w:rsid w:val="00D82CA8"/>
    <w:rsid w:val="00D8436C"/>
    <w:rsid w:val="00D85CD2"/>
    <w:rsid w:val="00D85E0D"/>
    <w:rsid w:val="00D86C25"/>
    <w:rsid w:val="00D90035"/>
    <w:rsid w:val="00D913DE"/>
    <w:rsid w:val="00D914BE"/>
    <w:rsid w:val="00D91AF4"/>
    <w:rsid w:val="00D91E9A"/>
    <w:rsid w:val="00D92A41"/>
    <w:rsid w:val="00D92AB5"/>
    <w:rsid w:val="00D95597"/>
    <w:rsid w:val="00D95E64"/>
    <w:rsid w:val="00D9602A"/>
    <w:rsid w:val="00D96675"/>
    <w:rsid w:val="00D96ACA"/>
    <w:rsid w:val="00DA0E99"/>
    <w:rsid w:val="00DA1F4E"/>
    <w:rsid w:val="00DA2193"/>
    <w:rsid w:val="00DA238D"/>
    <w:rsid w:val="00DA4263"/>
    <w:rsid w:val="00DA67F1"/>
    <w:rsid w:val="00DA76C0"/>
    <w:rsid w:val="00DB0C12"/>
    <w:rsid w:val="00DB1235"/>
    <w:rsid w:val="00DB1A31"/>
    <w:rsid w:val="00DB1C4E"/>
    <w:rsid w:val="00DB2313"/>
    <w:rsid w:val="00DB3047"/>
    <w:rsid w:val="00DB3C14"/>
    <w:rsid w:val="00DB3F72"/>
    <w:rsid w:val="00DB43FF"/>
    <w:rsid w:val="00DB57D1"/>
    <w:rsid w:val="00DB65CE"/>
    <w:rsid w:val="00DC01B9"/>
    <w:rsid w:val="00DC0CCE"/>
    <w:rsid w:val="00DC1662"/>
    <w:rsid w:val="00DC4260"/>
    <w:rsid w:val="00DC636C"/>
    <w:rsid w:val="00DC69D9"/>
    <w:rsid w:val="00DD0C46"/>
    <w:rsid w:val="00DD21D6"/>
    <w:rsid w:val="00DD23F9"/>
    <w:rsid w:val="00DD2505"/>
    <w:rsid w:val="00DD28AE"/>
    <w:rsid w:val="00DD2D0C"/>
    <w:rsid w:val="00DD2F93"/>
    <w:rsid w:val="00DD3408"/>
    <w:rsid w:val="00DD3FED"/>
    <w:rsid w:val="00DD450D"/>
    <w:rsid w:val="00DD6547"/>
    <w:rsid w:val="00DE2A76"/>
    <w:rsid w:val="00DE4F25"/>
    <w:rsid w:val="00DE732A"/>
    <w:rsid w:val="00DF032D"/>
    <w:rsid w:val="00DF13E8"/>
    <w:rsid w:val="00DF1544"/>
    <w:rsid w:val="00DF1605"/>
    <w:rsid w:val="00DF1779"/>
    <w:rsid w:val="00DF48A7"/>
    <w:rsid w:val="00DF7704"/>
    <w:rsid w:val="00E00B1F"/>
    <w:rsid w:val="00E01466"/>
    <w:rsid w:val="00E01ED7"/>
    <w:rsid w:val="00E02BDA"/>
    <w:rsid w:val="00E034E5"/>
    <w:rsid w:val="00E04DBD"/>
    <w:rsid w:val="00E05B42"/>
    <w:rsid w:val="00E1088B"/>
    <w:rsid w:val="00E12BA2"/>
    <w:rsid w:val="00E14854"/>
    <w:rsid w:val="00E156D9"/>
    <w:rsid w:val="00E164C9"/>
    <w:rsid w:val="00E17040"/>
    <w:rsid w:val="00E17A12"/>
    <w:rsid w:val="00E2009D"/>
    <w:rsid w:val="00E210A3"/>
    <w:rsid w:val="00E21140"/>
    <w:rsid w:val="00E220A3"/>
    <w:rsid w:val="00E224BE"/>
    <w:rsid w:val="00E2315F"/>
    <w:rsid w:val="00E23C79"/>
    <w:rsid w:val="00E2494B"/>
    <w:rsid w:val="00E25188"/>
    <w:rsid w:val="00E259A8"/>
    <w:rsid w:val="00E264B6"/>
    <w:rsid w:val="00E269BE"/>
    <w:rsid w:val="00E278E2"/>
    <w:rsid w:val="00E30452"/>
    <w:rsid w:val="00E30866"/>
    <w:rsid w:val="00E3132F"/>
    <w:rsid w:val="00E320A3"/>
    <w:rsid w:val="00E331B8"/>
    <w:rsid w:val="00E34BEB"/>
    <w:rsid w:val="00E35EEF"/>
    <w:rsid w:val="00E35F3D"/>
    <w:rsid w:val="00E36060"/>
    <w:rsid w:val="00E3759F"/>
    <w:rsid w:val="00E40688"/>
    <w:rsid w:val="00E40B51"/>
    <w:rsid w:val="00E41415"/>
    <w:rsid w:val="00E416FE"/>
    <w:rsid w:val="00E417AC"/>
    <w:rsid w:val="00E41CF7"/>
    <w:rsid w:val="00E42169"/>
    <w:rsid w:val="00E42EE4"/>
    <w:rsid w:val="00E433A2"/>
    <w:rsid w:val="00E43D27"/>
    <w:rsid w:val="00E45B74"/>
    <w:rsid w:val="00E46C47"/>
    <w:rsid w:val="00E46D5F"/>
    <w:rsid w:val="00E47ABC"/>
    <w:rsid w:val="00E52924"/>
    <w:rsid w:val="00E52E36"/>
    <w:rsid w:val="00E536A1"/>
    <w:rsid w:val="00E60CB9"/>
    <w:rsid w:val="00E62554"/>
    <w:rsid w:val="00E651BC"/>
    <w:rsid w:val="00E6692D"/>
    <w:rsid w:val="00E66EBC"/>
    <w:rsid w:val="00E7095A"/>
    <w:rsid w:val="00E70F91"/>
    <w:rsid w:val="00E7146B"/>
    <w:rsid w:val="00E7267A"/>
    <w:rsid w:val="00E72A9A"/>
    <w:rsid w:val="00E72ADC"/>
    <w:rsid w:val="00E73ADE"/>
    <w:rsid w:val="00E80498"/>
    <w:rsid w:val="00E81E90"/>
    <w:rsid w:val="00E82045"/>
    <w:rsid w:val="00E825F8"/>
    <w:rsid w:val="00E82C25"/>
    <w:rsid w:val="00E8437A"/>
    <w:rsid w:val="00E8500F"/>
    <w:rsid w:val="00E85703"/>
    <w:rsid w:val="00E869ED"/>
    <w:rsid w:val="00E874E0"/>
    <w:rsid w:val="00E87B8A"/>
    <w:rsid w:val="00E90C74"/>
    <w:rsid w:val="00E9266B"/>
    <w:rsid w:val="00E93CD8"/>
    <w:rsid w:val="00E940D5"/>
    <w:rsid w:val="00EA14F1"/>
    <w:rsid w:val="00EA175B"/>
    <w:rsid w:val="00EA1D8A"/>
    <w:rsid w:val="00EA4770"/>
    <w:rsid w:val="00EA551F"/>
    <w:rsid w:val="00EA6796"/>
    <w:rsid w:val="00EA6999"/>
    <w:rsid w:val="00EB1156"/>
    <w:rsid w:val="00EB19D3"/>
    <w:rsid w:val="00EB323E"/>
    <w:rsid w:val="00EB45D3"/>
    <w:rsid w:val="00EB65D8"/>
    <w:rsid w:val="00EB77EB"/>
    <w:rsid w:val="00EC0D01"/>
    <w:rsid w:val="00EC21A6"/>
    <w:rsid w:val="00EC2B67"/>
    <w:rsid w:val="00EC328D"/>
    <w:rsid w:val="00EC7473"/>
    <w:rsid w:val="00ED1126"/>
    <w:rsid w:val="00ED295B"/>
    <w:rsid w:val="00ED4C22"/>
    <w:rsid w:val="00ED50A6"/>
    <w:rsid w:val="00ED5460"/>
    <w:rsid w:val="00ED5B90"/>
    <w:rsid w:val="00ED5F57"/>
    <w:rsid w:val="00ED6813"/>
    <w:rsid w:val="00ED77D6"/>
    <w:rsid w:val="00EE0246"/>
    <w:rsid w:val="00EE0270"/>
    <w:rsid w:val="00EE1D44"/>
    <w:rsid w:val="00EE1E67"/>
    <w:rsid w:val="00EE25A8"/>
    <w:rsid w:val="00EE27EA"/>
    <w:rsid w:val="00EE34C7"/>
    <w:rsid w:val="00EE4325"/>
    <w:rsid w:val="00EE49B8"/>
    <w:rsid w:val="00EE79FD"/>
    <w:rsid w:val="00EE7A16"/>
    <w:rsid w:val="00EF07E9"/>
    <w:rsid w:val="00EF1B03"/>
    <w:rsid w:val="00EF3D18"/>
    <w:rsid w:val="00EF55DC"/>
    <w:rsid w:val="00EF56E6"/>
    <w:rsid w:val="00EF5FFF"/>
    <w:rsid w:val="00F00374"/>
    <w:rsid w:val="00F017E0"/>
    <w:rsid w:val="00F0276D"/>
    <w:rsid w:val="00F04B48"/>
    <w:rsid w:val="00F0515B"/>
    <w:rsid w:val="00F054DC"/>
    <w:rsid w:val="00F05606"/>
    <w:rsid w:val="00F070B3"/>
    <w:rsid w:val="00F07595"/>
    <w:rsid w:val="00F115F6"/>
    <w:rsid w:val="00F11D71"/>
    <w:rsid w:val="00F121E3"/>
    <w:rsid w:val="00F12B38"/>
    <w:rsid w:val="00F138FF"/>
    <w:rsid w:val="00F16222"/>
    <w:rsid w:val="00F166F8"/>
    <w:rsid w:val="00F174F0"/>
    <w:rsid w:val="00F17B3F"/>
    <w:rsid w:val="00F2172B"/>
    <w:rsid w:val="00F219EC"/>
    <w:rsid w:val="00F21F73"/>
    <w:rsid w:val="00F22024"/>
    <w:rsid w:val="00F2396D"/>
    <w:rsid w:val="00F23B8E"/>
    <w:rsid w:val="00F27366"/>
    <w:rsid w:val="00F27947"/>
    <w:rsid w:val="00F279B2"/>
    <w:rsid w:val="00F27F2C"/>
    <w:rsid w:val="00F30211"/>
    <w:rsid w:val="00F302C9"/>
    <w:rsid w:val="00F31E93"/>
    <w:rsid w:val="00F36AB9"/>
    <w:rsid w:val="00F36C0B"/>
    <w:rsid w:val="00F36DBA"/>
    <w:rsid w:val="00F36F98"/>
    <w:rsid w:val="00F4006D"/>
    <w:rsid w:val="00F44378"/>
    <w:rsid w:val="00F451D3"/>
    <w:rsid w:val="00F45E3C"/>
    <w:rsid w:val="00F46AD0"/>
    <w:rsid w:val="00F51760"/>
    <w:rsid w:val="00F51BB4"/>
    <w:rsid w:val="00F51D88"/>
    <w:rsid w:val="00F5375F"/>
    <w:rsid w:val="00F53BE6"/>
    <w:rsid w:val="00F53F28"/>
    <w:rsid w:val="00F540FA"/>
    <w:rsid w:val="00F55016"/>
    <w:rsid w:val="00F553CC"/>
    <w:rsid w:val="00F56605"/>
    <w:rsid w:val="00F5678F"/>
    <w:rsid w:val="00F5696C"/>
    <w:rsid w:val="00F570D4"/>
    <w:rsid w:val="00F575B1"/>
    <w:rsid w:val="00F57A1D"/>
    <w:rsid w:val="00F62C50"/>
    <w:rsid w:val="00F62E4D"/>
    <w:rsid w:val="00F6430A"/>
    <w:rsid w:val="00F6526E"/>
    <w:rsid w:val="00F65B2E"/>
    <w:rsid w:val="00F66E62"/>
    <w:rsid w:val="00F66E71"/>
    <w:rsid w:val="00F6770D"/>
    <w:rsid w:val="00F705FF"/>
    <w:rsid w:val="00F71569"/>
    <w:rsid w:val="00F71875"/>
    <w:rsid w:val="00F71AC5"/>
    <w:rsid w:val="00F71BA6"/>
    <w:rsid w:val="00F72480"/>
    <w:rsid w:val="00F77067"/>
    <w:rsid w:val="00F77B69"/>
    <w:rsid w:val="00F80C46"/>
    <w:rsid w:val="00F82F72"/>
    <w:rsid w:val="00F836CB"/>
    <w:rsid w:val="00F836D5"/>
    <w:rsid w:val="00F841DD"/>
    <w:rsid w:val="00F854EE"/>
    <w:rsid w:val="00F877E2"/>
    <w:rsid w:val="00F91CF6"/>
    <w:rsid w:val="00F92804"/>
    <w:rsid w:val="00F93155"/>
    <w:rsid w:val="00F93636"/>
    <w:rsid w:val="00F95647"/>
    <w:rsid w:val="00F9570B"/>
    <w:rsid w:val="00F9631D"/>
    <w:rsid w:val="00F9737F"/>
    <w:rsid w:val="00FA0AA2"/>
    <w:rsid w:val="00FA4FBD"/>
    <w:rsid w:val="00FA54A9"/>
    <w:rsid w:val="00FA60E6"/>
    <w:rsid w:val="00FA7227"/>
    <w:rsid w:val="00FA7C15"/>
    <w:rsid w:val="00FA7CF0"/>
    <w:rsid w:val="00FA7E59"/>
    <w:rsid w:val="00FB0197"/>
    <w:rsid w:val="00FB019C"/>
    <w:rsid w:val="00FB17DE"/>
    <w:rsid w:val="00FB1891"/>
    <w:rsid w:val="00FB202C"/>
    <w:rsid w:val="00FB2E9A"/>
    <w:rsid w:val="00FB3B98"/>
    <w:rsid w:val="00FB48D5"/>
    <w:rsid w:val="00FB59B1"/>
    <w:rsid w:val="00FB5FA9"/>
    <w:rsid w:val="00FB6F25"/>
    <w:rsid w:val="00FB7392"/>
    <w:rsid w:val="00FC2196"/>
    <w:rsid w:val="00FC2EF5"/>
    <w:rsid w:val="00FC30E2"/>
    <w:rsid w:val="00FC47EB"/>
    <w:rsid w:val="00FC5084"/>
    <w:rsid w:val="00FC66DE"/>
    <w:rsid w:val="00FC693F"/>
    <w:rsid w:val="00FC69B5"/>
    <w:rsid w:val="00FC6AED"/>
    <w:rsid w:val="00FC6FB0"/>
    <w:rsid w:val="00FD2695"/>
    <w:rsid w:val="00FD26F7"/>
    <w:rsid w:val="00FD2C91"/>
    <w:rsid w:val="00FD310B"/>
    <w:rsid w:val="00FD35B6"/>
    <w:rsid w:val="00FD42C6"/>
    <w:rsid w:val="00FD5A37"/>
    <w:rsid w:val="00FD690D"/>
    <w:rsid w:val="00FD703A"/>
    <w:rsid w:val="00FE1CC6"/>
    <w:rsid w:val="00FE2327"/>
    <w:rsid w:val="00FE3F0E"/>
    <w:rsid w:val="00FE738F"/>
    <w:rsid w:val="00FE75DA"/>
    <w:rsid w:val="00FF03C5"/>
    <w:rsid w:val="00FF1747"/>
    <w:rsid w:val="00FF1AC9"/>
    <w:rsid w:val="00FF259D"/>
    <w:rsid w:val="00FF42A4"/>
    <w:rsid w:val="00FF4C4C"/>
    <w:rsid w:val="00FF5264"/>
    <w:rsid w:val="00FF5FD3"/>
    <w:rsid w:val="00FF76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6BBCB699-CB0B-4F7C-8087-0D7F830C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BEA"/>
    <w:pPr>
      <w:spacing w:after="0" w:line="360" w:lineRule="auto"/>
      <w:jc w:val="both"/>
    </w:pPr>
    <w:rPr>
      <w:rFonts w:ascii="Times New Roman" w:hAnsi="Times New Roman"/>
      <w:noProof/>
      <w:sz w:val="24"/>
      <w:lang w:val="en-NZ"/>
    </w:rPr>
  </w:style>
  <w:style w:type="paragraph" w:styleId="Heading1">
    <w:name w:val="heading 1"/>
    <w:basedOn w:val="Normal"/>
    <w:next w:val="Normal"/>
    <w:link w:val="Heading1Char"/>
    <w:uiPriority w:val="9"/>
    <w:qFormat/>
    <w:rsid w:val="00247B2A"/>
    <w:pPr>
      <w:keepNext/>
      <w:keepLines/>
      <w:numPr>
        <w:numId w:val="14"/>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247B2A"/>
    <w:pPr>
      <w:keepNext/>
      <w:keepLines/>
      <w:numPr>
        <w:ilvl w:val="1"/>
        <w:numId w:val="14"/>
      </w:numPr>
      <w:spacing w:before="36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247B2A"/>
    <w:pPr>
      <w:keepNext/>
      <w:keepLines/>
      <w:numPr>
        <w:ilvl w:val="2"/>
        <w:numId w:val="14"/>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247B2A"/>
    <w:pPr>
      <w:keepNext/>
      <w:keepLines/>
      <w:numPr>
        <w:ilvl w:val="3"/>
        <w:numId w:val="14"/>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247B2A"/>
    <w:pPr>
      <w:keepNext/>
      <w:keepLines/>
      <w:numPr>
        <w:ilvl w:val="4"/>
        <w:numId w:val="14"/>
      </w:numPr>
      <w:spacing w:before="20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247B2A"/>
    <w:pPr>
      <w:keepNext/>
      <w:keepLines/>
      <w:numPr>
        <w:ilvl w:val="5"/>
        <w:numId w:val="14"/>
      </w:numPr>
      <w:spacing w:before="20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247B2A"/>
    <w:pPr>
      <w:keepNext/>
      <w:keepLines/>
      <w:numPr>
        <w:ilvl w:val="6"/>
        <w:numId w:val="1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47B2A"/>
    <w:pPr>
      <w:keepNext/>
      <w:keepLines/>
      <w:numPr>
        <w:ilvl w:val="7"/>
        <w:numId w:val="1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47B2A"/>
    <w:pPr>
      <w:keepNext/>
      <w:keepLines/>
      <w:numPr>
        <w:ilvl w:val="8"/>
        <w:numId w:val="1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247B2A"/>
    <w:pPr>
      <w:spacing w:after="0" w:line="240" w:lineRule="auto"/>
    </w:pPr>
  </w:style>
  <w:style w:type="character" w:customStyle="1" w:styleId="Heading1Char">
    <w:name w:val="Heading 1 Char"/>
    <w:basedOn w:val="DefaultParagraphFont"/>
    <w:link w:val="Heading1"/>
    <w:uiPriority w:val="9"/>
    <w:rsid w:val="00247B2A"/>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247B2A"/>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247B2A"/>
    <w:rPr>
      <w:rFonts w:asciiTheme="majorHAnsi" w:eastAsiaTheme="majorEastAsia" w:hAnsiTheme="majorHAnsi" w:cstheme="majorBidi"/>
      <w:b/>
      <w:bCs/>
      <w:color w:val="000000" w:themeColor="text1"/>
      <w:sz w:val="24"/>
    </w:rPr>
  </w:style>
  <w:style w:type="paragraph" w:styleId="Title">
    <w:name w:val="Title"/>
    <w:basedOn w:val="Normal"/>
    <w:next w:val="Normal"/>
    <w:link w:val="TitleChar"/>
    <w:uiPriority w:val="10"/>
    <w:qFormat/>
    <w:rsid w:val="00247B2A"/>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47B2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47B2A"/>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47B2A"/>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247B2A"/>
    <w:pPr>
      <w:spacing w:before="160"/>
      <w:ind w:left="720" w:right="720"/>
    </w:pPr>
    <w:rPr>
      <w:i/>
      <w:iCs/>
      <w:color w:val="000000" w:themeColor="text1"/>
    </w:rPr>
  </w:style>
  <w:style w:type="character" w:customStyle="1" w:styleId="QuoteChar">
    <w:name w:val="Quote Char"/>
    <w:basedOn w:val="DefaultParagraphFont"/>
    <w:link w:val="Quote"/>
    <w:uiPriority w:val="29"/>
    <w:rsid w:val="00247B2A"/>
    <w:rPr>
      <w:i/>
      <w:iCs/>
      <w:color w:val="000000" w:themeColor="text1"/>
    </w:rPr>
  </w:style>
  <w:style w:type="character" w:customStyle="1" w:styleId="Heading4Char">
    <w:name w:val="Heading 4 Char"/>
    <w:basedOn w:val="DefaultParagraphFont"/>
    <w:link w:val="Heading4"/>
    <w:uiPriority w:val="9"/>
    <w:rsid w:val="00247B2A"/>
    <w:rPr>
      <w:rFonts w:asciiTheme="majorHAnsi" w:eastAsiaTheme="majorEastAsia" w:hAnsiTheme="majorHAnsi" w:cstheme="majorBidi"/>
      <w:b/>
      <w:bCs/>
      <w:i/>
      <w:iCs/>
      <w:color w:val="000000" w:themeColor="text1"/>
      <w:sz w:val="24"/>
    </w:rPr>
  </w:style>
  <w:style w:type="character" w:customStyle="1" w:styleId="Heading5Char">
    <w:name w:val="Heading 5 Char"/>
    <w:basedOn w:val="DefaultParagraphFont"/>
    <w:link w:val="Heading5"/>
    <w:uiPriority w:val="9"/>
    <w:rsid w:val="00247B2A"/>
    <w:rPr>
      <w:rFonts w:asciiTheme="majorHAnsi" w:eastAsiaTheme="majorEastAsia" w:hAnsiTheme="majorHAnsi" w:cstheme="majorBidi"/>
      <w:color w:val="17365D" w:themeColor="text2" w:themeShade="BF"/>
      <w:sz w:val="24"/>
    </w:rPr>
  </w:style>
  <w:style w:type="character" w:customStyle="1" w:styleId="Heading6Char">
    <w:name w:val="Heading 6 Char"/>
    <w:basedOn w:val="DefaultParagraphFont"/>
    <w:link w:val="Heading6"/>
    <w:uiPriority w:val="9"/>
    <w:semiHidden/>
    <w:rsid w:val="00247B2A"/>
    <w:rPr>
      <w:rFonts w:asciiTheme="majorHAnsi" w:eastAsiaTheme="majorEastAsia" w:hAnsiTheme="majorHAnsi" w:cstheme="majorBidi"/>
      <w:i/>
      <w:iCs/>
      <w:color w:val="17365D" w:themeColor="text2" w:themeShade="BF"/>
      <w:sz w:val="24"/>
    </w:rPr>
  </w:style>
  <w:style w:type="character" w:customStyle="1" w:styleId="Heading7Char">
    <w:name w:val="Heading 7 Char"/>
    <w:basedOn w:val="DefaultParagraphFont"/>
    <w:link w:val="Heading7"/>
    <w:uiPriority w:val="9"/>
    <w:semiHidden/>
    <w:rsid w:val="00247B2A"/>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247B2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47B2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247B2A"/>
    <w:pPr>
      <w:spacing w:after="200" w:line="240" w:lineRule="auto"/>
    </w:pPr>
    <w:rPr>
      <w:i/>
      <w:iCs/>
      <w:color w:val="1F497D" w:themeColor="text2"/>
      <w:sz w:val="18"/>
      <w:szCs w:val="18"/>
    </w:rPr>
  </w:style>
  <w:style w:type="character" w:styleId="Strong">
    <w:name w:val="Strong"/>
    <w:basedOn w:val="DefaultParagraphFont"/>
    <w:uiPriority w:val="22"/>
    <w:qFormat/>
    <w:rsid w:val="00247B2A"/>
    <w:rPr>
      <w:b/>
      <w:bCs/>
      <w:color w:val="000000" w:themeColor="text1"/>
    </w:rPr>
  </w:style>
  <w:style w:type="character" w:styleId="Emphasis">
    <w:name w:val="Emphasis"/>
    <w:basedOn w:val="DefaultParagraphFont"/>
    <w:uiPriority w:val="20"/>
    <w:qFormat/>
    <w:rsid w:val="00247B2A"/>
    <w:rPr>
      <w:i/>
      <w:iCs/>
      <w:color w:val="auto"/>
    </w:rPr>
  </w:style>
  <w:style w:type="paragraph" w:styleId="IntenseQuote">
    <w:name w:val="Intense Quote"/>
    <w:basedOn w:val="Normal"/>
    <w:next w:val="Normal"/>
    <w:link w:val="IntenseQuoteChar"/>
    <w:uiPriority w:val="30"/>
    <w:qFormat/>
    <w:rsid w:val="00247B2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47B2A"/>
    <w:rPr>
      <w:color w:val="000000" w:themeColor="text1"/>
      <w:shd w:val="clear" w:color="auto" w:fill="F2F2F2" w:themeFill="background1" w:themeFillShade="F2"/>
    </w:rPr>
  </w:style>
  <w:style w:type="character" w:styleId="SubtleEmphasis">
    <w:name w:val="Subtle Emphasis"/>
    <w:basedOn w:val="DefaultParagraphFont"/>
    <w:uiPriority w:val="19"/>
    <w:qFormat/>
    <w:rsid w:val="00247B2A"/>
    <w:rPr>
      <w:i/>
      <w:iCs/>
      <w:color w:val="404040" w:themeColor="text1" w:themeTint="BF"/>
    </w:rPr>
  </w:style>
  <w:style w:type="character" w:styleId="IntenseEmphasis">
    <w:name w:val="Intense Emphasis"/>
    <w:basedOn w:val="DefaultParagraphFont"/>
    <w:uiPriority w:val="21"/>
    <w:qFormat/>
    <w:rsid w:val="00247B2A"/>
    <w:rPr>
      <w:b/>
      <w:bCs/>
      <w:i/>
      <w:iCs/>
      <w:caps/>
    </w:rPr>
  </w:style>
  <w:style w:type="character" w:styleId="SubtleReference">
    <w:name w:val="Subtle Reference"/>
    <w:basedOn w:val="DefaultParagraphFont"/>
    <w:uiPriority w:val="31"/>
    <w:qFormat/>
    <w:rsid w:val="00247B2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47B2A"/>
    <w:rPr>
      <w:b/>
      <w:bCs/>
      <w:smallCaps/>
      <w:u w:val="single"/>
    </w:rPr>
  </w:style>
  <w:style w:type="character" w:styleId="BookTitle">
    <w:name w:val="Book Title"/>
    <w:basedOn w:val="DefaultParagraphFont"/>
    <w:uiPriority w:val="33"/>
    <w:qFormat/>
    <w:rsid w:val="00247B2A"/>
    <w:rPr>
      <w:b w:val="0"/>
      <w:bCs w:val="0"/>
      <w:smallCaps/>
      <w:spacing w:val="5"/>
    </w:rPr>
  </w:style>
  <w:style w:type="paragraph" w:styleId="TOCHeading">
    <w:name w:val="TOC Heading"/>
    <w:basedOn w:val="Heading1"/>
    <w:next w:val="Normal"/>
    <w:uiPriority w:val="39"/>
    <w:unhideWhenUsed/>
    <w:qFormat/>
    <w:rsid w:val="00247B2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932AF"/>
    <w:rPr>
      <w:rFonts w:cs="Times New Roman"/>
      <w:szCs w:val="24"/>
    </w:rPr>
  </w:style>
  <w:style w:type="character" w:customStyle="1" w:styleId="NoSpacingChar">
    <w:name w:val="No Spacing Char"/>
    <w:basedOn w:val="DefaultParagraphFont"/>
    <w:link w:val="NoSpacing"/>
    <w:uiPriority w:val="1"/>
    <w:rsid w:val="003F3D54"/>
  </w:style>
  <w:style w:type="character" w:styleId="Hyperlink">
    <w:name w:val="Hyperlink"/>
    <w:basedOn w:val="DefaultParagraphFont"/>
    <w:uiPriority w:val="99"/>
    <w:unhideWhenUsed/>
    <w:rsid w:val="00A126FA"/>
    <w:rPr>
      <w:color w:val="0000FF" w:themeColor="hyperlink"/>
      <w:u w:val="single"/>
    </w:rPr>
  </w:style>
  <w:style w:type="character" w:styleId="UnresolvedMention">
    <w:name w:val="Unresolved Mention"/>
    <w:basedOn w:val="DefaultParagraphFont"/>
    <w:uiPriority w:val="99"/>
    <w:semiHidden/>
    <w:unhideWhenUsed/>
    <w:rsid w:val="00A126FA"/>
    <w:rPr>
      <w:color w:val="605E5C"/>
      <w:shd w:val="clear" w:color="auto" w:fill="E1DFDD"/>
    </w:rPr>
  </w:style>
  <w:style w:type="character" w:styleId="FollowedHyperlink">
    <w:name w:val="FollowedHyperlink"/>
    <w:basedOn w:val="DefaultParagraphFont"/>
    <w:uiPriority w:val="99"/>
    <w:semiHidden/>
    <w:unhideWhenUsed/>
    <w:rsid w:val="00D25DAA"/>
    <w:rPr>
      <w:color w:val="800080" w:themeColor="followedHyperlink"/>
      <w:u w:val="single"/>
    </w:rPr>
  </w:style>
  <w:style w:type="paragraph" w:styleId="TOC1">
    <w:name w:val="toc 1"/>
    <w:basedOn w:val="Normal"/>
    <w:next w:val="Normal"/>
    <w:autoRedefine/>
    <w:uiPriority w:val="39"/>
    <w:unhideWhenUsed/>
    <w:rsid w:val="00A935D3"/>
    <w:pPr>
      <w:tabs>
        <w:tab w:val="left" w:pos="440"/>
        <w:tab w:val="right" w:leader="dot" w:pos="9016"/>
      </w:tabs>
    </w:pPr>
  </w:style>
  <w:style w:type="paragraph" w:styleId="TOC2">
    <w:name w:val="toc 2"/>
    <w:basedOn w:val="Normal"/>
    <w:next w:val="Normal"/>
    <w:autoRedefine/>
    <w:uiPriority w:val="39"/>
    <w:unhideWhenUsed/>
    <w:rsid w:val="00041AB6"/>
    <w:pPr>
      <w:tabs>
        <w:tab w:val="left" w:pos="960"/>
        <w:tab w:val="right" w:leader="dot" w:pos="9016"/>
      </w:tabs>
      <w:spacing w:line="240" w:lineRule="auto"/>
      <w:ind w:left="221"/>
    </w:pPr>
  </w:style>
  <w:style w:type="paragraph" w:styleId="TOC3">
    <w:name w:val="toc 3"/>
    <w:basedOn w:val="Normal"/>
    <w:next w:val="Normal"/>
    <w:autoRedefine/>
    <w:uiPriority w:val="39"/>
    <w:unhideWhenUsed/>
    <w:rsid w:val="00F0515B"/>
    <w:pPr>
      <w:spacing w:line="259" w:lineRule="auto"/>
      <w:ind w:left="440"/>
    </w:pPr>
    <w:rPr>
      <w:rFonts w:cs="Times New Roman"/>
    </w:rPr>
  </w:style>
  <w:style w:type="character" w:styleId="PlaceholderText">
    <w:name w:val="Placeholder Text"/>
    <w:basedOn w:val="DefaultParagraphFont"/>
    <w:uiPriority w:val="99"/>
    <w:semiHidden/>
    <w:rsid w:val="00325621"/>
    <w:rPr>
      <w:color w:val="666666"/>
    </w:rPr>
  </w:style>
  <w:style w:type="paragraph" w:styleId="Revision">
    <w:name w:val="Revision"/>
    <w:hidden/>
    <w:uiPriority w:val="99"/>
    <w:semiHidden/>
    <w:rsid w:val="00F77067"/>
    <w:pPr>
      <w:spacing w:after="0" w:line="240" w:lineRule="auto"/>
    </w:pPr>
    <w:rPr>
      <w:rFonts w:ascii="Times New Roman" w:hAnsi="Times New Roman"/>
      <w:sz w:val="24"/>
    </w:rPr>
  </w:style>
  <w:style w:type="character" w:styleId="HTMLCode">
    <w:name w:val="HTML Code"/>
    <w:basedOn w:val="DefaultParagraphFont"/>
    <w:uiPriority w:val="99"/>
    <w:semiHidden/>
    <w:unhideWhenUsed/>
    <w:rsid w:val="00533D92"/>
    <w:rPr>
      <w:rFonts w:ascii="Courier New" w:eastAsia="Times New Roman" w:hAnsi="Courier New" w:cs="Courier New"/>
      <w:sz w:val="20"/>
      <w:szCs w:val="20"/>
    </w:rPr>
  </w:style>
  <w:style w:type="character" w:customStyle="1" w:styleId="relative">
    <w:name w:val="relative"/>
    <w:basedOn w:val="DefaultParagraphFont"/>
    <w:rsid w:val="00533D92"/>
  </w:style>
  <w:style w:type="paragraph" w:customStyle="1" w:styleId="not-prose">
    <w:name w:val="not-prose"/>
    <w:basedOn w:val="Normal"/>
    <w:rsid w:val="00533D92"/>
    <w:pPr>
      <w:spacing w:line="240" w:lineRule="auto"/>
      <w:jc w:val="left"/>
    </w:pPr>
    <w:rPr>
      <w:rFonts w:eastAsia="Times New Roman" w:cs="Times New Roman"/>
      <w:szCs w:val="24"/>
      <w:lang w:eastAsia="en-NZ"/>
    </w:rPr>
  </w:style>
  <w:style w:type="character" w:customStyle="1" w:styleId="citation-73">
    <w:name w:val="citation-73"/>
    <w:basedOn w:val="DefaultParagraphFont"/>
    <w:rsid w:val="001745A4"/>
  </w:style>
  <w:style w:type="character" w:customStyle="1" w:styleId="citation-72">
    <w:name w:val="citation-72"/>
    <w:basedOn w:val="DefaultParagraphFont"/>
    <w:rsid w:val="001745A4"/>
  </w:style>
  <w:style w:type="character" w:customStyle="1" w:styleId="citation-71">
    <w:name w:val="citation-71"/>
    <w:basedOn w:val="DefaultParagraphFont"/>
    <w:rsid w:val="001745A4"/>
  </w:style>
  <w:style w:type="character" w:customStyle="1" w:styleId="citation-70">
    <w:name w:val="citation-70"/>
    <w:basedOn w:val="DefaultParagraphFont"/>
    <w:rsid w:val="001745A4"/>
  </w:style>
  <w:style w:type="character" w:customStyle="1" w:styleId="citation-69">
    <w:name w:val="citation-69"/>
    <w:basedOn w:val="DefaultParagraphFont"/>
    <w:rsid w:val="001745A4"/>
  </w:style>
  <w:style w:type="table" w:styleId="PlainTable1">
    <w:name w:val="Plain Table 1"/>
    <w:basedOn w:val="TableNormal"/>
    <w:uiPriority w:val="99"/>
    <w:rsid w:val="00925E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1404">
      <w:bodyDiv w:val="1"/>
      <w:marLeft w:val="0"/>
      <w:marRight w:val="0"/>
      <w:marTop w:val="0"/>
      <w:marBottom w:val="0"/>
      <w:divBdr>
        <w:top w:val="none" w:sz="0" w:space="0" w:color="auto"/>
        <w:left w:val="none" w:sz="0" w:space="0" w:color="auto"/>
        <w:bottom w:val="none" w:sz="0" w:space="0" w:color="auto"/>
        <w:right w:val="none" w:sz="0" w:space="0" w:color="auto"/>
      </w:divBdr>
    </w:div>
    <w:div w:id="9531394">
      <w:bodyDiv w:val="1"/>
      <w:marLeft w:val="0"/>
      <w:marRight w:val="0"/>
      <w:marTop w:val="0"/>
      <w:marBottom w:val="0"/>
      <w:divBdr>
        <w:top w:val="none" w:sz="0" w:space="0" w:color="auto"/>
        <w:left w:val="none" w:sz="0" w:space="0" w:color="auto"/>
        <w:bottom w:val="none" w:sz="0" w:space="0" w:color="auto"/>
        <w:right w:val="none" w:sz="0" w:space="0" w:color="auto"/>
      </w:divBdr>
    </w:div>
    <w:div w:id="40174068">
      <w:bodyDiv w:val="1"/>
      <w:marLeft w:val="0"/>
      <w:marRight w:val="0"/>
      <w:marTop w:val="0"/>
      <w:marBottom w:val="0"/>
      <w:divBdr>
        <w:top w:val="none" w:sz="0" w:space="0" w:color="auto"/>
        <w:left w:val="none" w:sz="0" w:space="0" w:color="auto"/>
        <w:bottom w:val="none" w:sz="0" w:space="0" w:color="auto"/>
        <w:right w:val="none" w:sz="0" w:space="0" w:color="auto"/>
      </w:divBdr>
    </w:div>
    <w:div w:id="237860052">
      <w:bodyDiv w:val="1"/>
      <w:marLeft w:val="0"/>
      <w:marRight w:val="0"/>
      <w:marTop w:val="0"/>
      <w:marBottom w:val="0"/>
      <w:divBdr>
        <w:top w:val="none" w:sz="0" w:space="0" w:color="auto"/>
        <w:left w:val="none" w:sz="0" w:space="0" w:color="auto"/>
        <w:bottom w:val="none" w:sz="0" w:space="0" w:color="auto"/>
        <w:right w:val="none" w:sz="0" w:space="0" w:color="auto"/>
      </w:divBdr>
    </w:div>
    <w:div w:id="307515289">
      <w:bodyDiv w:val="1"/>
      <w:marLeft w:val="0"/>
      <w:marRight w:val="0"/>
      <w:marTop w:val="0"/>
      <w:marBottom w:val="0"/>
      <w:divBdr>
        <w:top w:val="none" w:sz="0" w:space="0" w:color="auto"/>
        <w:left w:val="none" w:sz="0" w:space="0" w:color="auto"/>
        <w:bottom w:val="none" w:sz="0" w:space="0" w:color="auto"/>
        <w:right w:val="none" w:sz="0" w:space="0" w:color="auto"/>
      </w:divBdr>
    </w:div>
    <w:div w:id="356271425">
      <w:bodyDiv w:val="1"/>
      <w:marLeft w:val="0"/>
      <w:marRight w:val="0"/>
      <w:marTop w:val="0"/>
      <w:marBottom w:val="0"/>
      <w:divBdr>
        <w:top w:val="none" w:sz="0" w:space="0" w:color="auto"/>
        <w:left w:val="none" w:sz="0" w:space="0" w:color="auto"/>
        <w:bottom w:val="none" w:sz="0" w:space="0" w:color="auto"/>
        <w:right w:val="none" w:sz="0" w:space="0" w:color="auto"/>
      </w:divBdr>
    </w:div>
    <w:div w:id="440493511">
      <w:bodyDiv w:val="1"/>
      <w:marLeft w:val="0"/>
      <w:marRight w:val="0"/>
      <w:marTop w:val="0"/>
      <w:marBottom w:val="0"/>
      <w:divBdr>
        <w:top w:val="none" w:sz="0" w:space="0" w:color="auto"/>
        <w:left w:val="none" w:sz="0" w:space="0" w:color="auto"/>
        <w:bottom w:val="none" w:sz="0" w:space="0" w:color="auto"/>
        <w:right w:val="none" w:sz="0" w:space="0" w:color="auto"/>
      </w:divBdr>
    </w:div>
    <w:div w:id="463430118">
      <w:bodyDiv w:val="1"/>
      <w:marLeft w:val="0"/>
      <w:marRight w:val="0"/>
      <w:marTop w:val="0"/>
      <w:marBottom w:val="0"/>
      <w:divBdr>
        <w:top w:val="none" w:sz="0" w:space="0" w:color="auto"/>
        <w:left w:val="none" w:sz="0" w:space="0" w:color="auto"/>
        <w:bottom w:val="none" w:sz="0" w:space="0" w:color="auto"/>
        <w:right w:val="none" w:sz="0" w:space="0" w:color="auto"/>
      </w:divBdr>
    </w:div>
    <w:div w:id="549462883">
      <w:bodyDiv w:val="1"/>
      <w:marLeft w:val="0"/>
      <w:marRight w:val="0"/>
      <w:marTop w:val="0"/>
      <w:marBottom w:val="0"/>
      <w:divBdr>
        <w:top w:val="none" w:sz="0" w:space="0" w:color="auto"/>
        <w:left w:val="none" w:sz="0" w:space="0" w:color="auto"/>
        <w:bottom w:val="none" w:sz="0" w:space="0" w:color="auto"/>
        <w:right w:val="none" w:sz="0" w:space="0" w:color="auto"/>
      </w:divBdr>
    </w:div>
    <w:div w:id="648167628">
      <w:bodyDiv w:val="1"/>
      <w:marLeft w:val="0"/>
      <w:marRight w:val="0"/>
      <w:marTop w:val="0"/>
      <w:marBottom w:val="0"/>
      <w:divBdr>
        <w:top w:val="none" w:sz="0" w:space="0" w:color="auto"/>
        <w:left w:val="none" w:sz="0" w:space="0" w:color="auto"/>
        <w:bottom w:val="none" w:sz="0" w:space="0" w:color="auto"/>
        <w:right w:val="none" w:sz="0" w:space="0" w:color="auto"/>
      </w:divBdr>
    </w:div>
    <w:div w:id="655842409">
      <w:bodyDiv w:val="1"/>
      <w:marLeft w:val="0"/>
      <w:marRight w:val="0"/>
      <w:marTop w:val="0"/>
      <w:marBottom w:val="0"/>
      <w:divBdr>
        <w:top w:val="none" w:sz="0" w:space="0" w:color="auto"/>
        <w:left w:val="none" w:sz="0" w:space="0" w:color="auto"/>
        <w:bottom w:val="none" w:sz="0" w:space="0" w:color="auto"/>
        <w:right w:val="none" w:sz="0" w:space="0" w:color="auto"/>
      </w:divBdr>
    </w:div>
    <w:div w:id="676272308">
      <w:bodyDiv w:val="1"/>
      <w:marLeft w:val="0"/>
      <w:marRight w:val="0"/>
      <w:marTop w:val="0"/>
      <w:marBottom w:val="0"/>
      <w:divBdr>
        <w:top w:val="none" w:sz="0" w:space="0" w:color="auto"/>
        <w:left w:val="none" w:sz="0" w:space="0" w:color="auto"/>
        <w:bottom w:val="none" w:sz="0" w:space="0" w:color="auto"/>
        <w:right w:val="none" w:sz="0" w:space="0" w:color="auto"/>
      </w:divBdr>
    </w:div>
    <w:div w:id="706638557">
      <w:bodyDiv w:val="1"/>
      <w:marLeft w:val="0"/>
      <w:marRight w:val="0"/>
      <w:marTop w:val="0"/>
      <w:marBottom w:val="0"/>
      <w:divBdr>
        <w:top w:val="none" w:sz="0" w:space="0" w:color="auto"/>
        <w:left w:val="none" w:sz="0" w:space="0" w:color="auto"/>
        <w:bottom w:val="none" w:sz="0" w:space="0" w:color="auto"/>
        <w:right w:val="none" w:sz="0" w:space="0" w:color="auto"/>
      </w:divBdr>
    </w:div>
    <w:div w:id="720789105">
      <w:bodyDiv w:val="1"/>
      <w:marLeft w:val="0"/>
      <w:marRight w:val="0"/>
      <w:marTop w:val="0"/>
      <w:marBottom w:val="0"/>
      <w:divBdr>
        <w:top w:val="none" w:sz="0" w:space="0" w:color="auto"/>
        <w:left w:val="none" w:sz="0" w:space="0" w:color="auto"/>
        <w:bottom w:val="none" w:sz="0" w:space="0" w:color="auto"/>
        <w:right w:val="none" w:sz="0" w:space="0" w:color="auto"/>
      </w:divBdr>
    </w:div>
    <w:div w:id="777873018">
      <w:bodyDiv w:val="1"/>
      <w:marLeft w:val="0"/>
      <w:marRight w:val="0"/>
      <w:marTop w:val="0"/>
      <w:marBottom w:val="0"/>
      <w:divBdr>
        <w:top w:val="none" w:sz="0" w:space="0" w:color="auto"/>
        <w:left w:val="none" w:sz="0" w:space="0" w:color="auto"/>
        <w:bottom w:val="none" w:sz="0" w:space="0" w:color="auto"/>
        <w:right w:val="none" w:sz="0" w:space="0" w:color="auto"/>
      </w:divBdr>
    </w:div>
    <w:div w:id="780415333">
      <w:bodyDiv w:val="1"/>
      <w:marLeft w:val="0"/>
      <w:marRight w:val="0"/>
      <w:marTop w:val="0"/>
      <w:marBottom w:val="0"/>
      <w:divBdr>
        <w:top w:val="none" w:sz="0" w:space="0" w:color="auto"/>
        <w:left w:val="none" w:sz="0" w:space="0" w:color="auto"/>
        <w:bottom w:val="none" w:sz="0" w:space="0" w:color="auto"/>
        <w:right w:val="none" w:sz="0" w:space="0" w:color="auto"/>
      </w:divBdr>
    </w:div>
    <w:div w:id="813065600">
      <w:bodyDiv w:val="1"/>
      <w:marLeft w:val="0"/>
      <w:marRight w:val="0"/>
      <w:marTop w:val="0"/>
      <w:marBottom w:val="0"/>
      <w:divBdr>
        <w:top w:val="none" w:sz="0" w:space="0" w:color="auto"/>
        <w:left w:val="none" w:sz="0" w:space="0" w:color="auto"/>
        <w:bottom w:val="none" w:sz="0" w:space="0" w:color="auto"/>
        <w:right w:val="none" w:sz="0" w:space="0" w:color="auto"/>
      </w:divBdr>
    </w:div>
    <w:div w:id="843788101">
      <w:bodyDiv w:val="1"/>
      <w:marLeft w:val="0"/>
      <w:marRight w:val="0"/>
      <w:marTop w:val="0"/>
      <w:marBottom w:val="0"/>
      <w:divBdr>
        <w:top w:val="none" w:sz="0" w:space="0" w:color="auto"/>
        <w:left w:val="none" w:sz="0" w:space="0" w:color="auto"/>
        <w:bottom w:val="none" w:sz="0" w:space="0" w:color="auto"/>
        <w:right w:val="none" w:sz="0" w:space="0" w:color="auto"/>
      </w:divBdr>
    </w:div>
    <w:div w:id="911044270">
      <w:bodyDiv w:val="1"/>
      <w:marLeft w:val="0"/>
      <w:marRight w:val="0"/>
      <w:marTop w:val="0"/>
      <w:marBottom w:val="0"/>
      <w:divBdr>
        <w:top w:val="none" w:sz="0" w:space="0" w:color="auto"/>
        <w:left w:val="none" w:sz="0" w:space="0" w:color="auto"/>
        <w:bottom w:val="none" w:sz="0" w:space="0" w:color="auto"/>
        <w:right w:val="none" w:sz="0" w:space="0" w:color="auto"/>
      </w:divBdr>
      <w:divsChild>
        <w:div w:id="854853255">
          <w:marLeft w:val="0"/>
          <w:marRight w:val="0"/>
          <w:marTop w:val="0"/>
          <w:marBottom w:val="0"/>
          <w:divBdr>
            <w:top w:val="none" w:sz="0" w:space="0" w:color="auto"/>
            <w:left w:val="none" w:sz="0" w:space="0" w:color="auto"/>
            <w:bottom w:val="none" w:sz="0" w:space="0" w:color="auto"/>
            <w:right w:val="none" w:sz="0" w:space="0" w:color="auto"/>
          </w:divBdr>
        </w:div>
        <w:div w:id="2123960443">
          <w:marLeft w:val="0"/>
          <w:marRight w:val="0"/>
          <w:marTop w:val="0"/>
          <w:marBottom w:val="0"/>
          <w:divBdr>
            <w:top w:val="none" w:sz="0" w:space="0" w:color="auto"/>
            <w:left w:val="none" w:sz="0" w:space="0" w:color="auto"/>
            <w:bottom w:val="none" w:sz="0" w:space="0" w:color="auto"/>
            <w:right w:val="none" w:sz="0" w:space="0" w:color="auto"/>
          </w:divBdr>
        </w:div>
        <w:div w:id="1505901673">
          <w:marLeft w:val="0"/>
          <w:marRight w:val="0"/>
          <w:marTop w:val="0"/>
          <w:marBottom w:val="0"/>
          <w:divBdr>
            <w:top w:val="none" w:sz="0" w:space="0" w:color="auto"/>
            <w:left w:val="none" w:sz="0" w:space="0" w:color="auto"/>
            <w:bottom w:val="none" w:sz="0" w:space="0" w:color="auto"/>
            <w:right w:val="none" w:sz="0" w:space="0" w:color="auto"/>
          </w:divBdr>
        </w:div>
        <w:div w:id="1366368756">
          <w:marLeft w:val="0"/>
          <w:marRight w:val="0"/>
          <w:marTop w:val="0"/>
          <w:marBottom w:val="0"/>
          <w:divBdr>
            <w:top w:val="none" w:sz="0" w:space="0" w:color="auto"/>
            <w:left w:val="none" w:sz="0" w:space="0" w:color="auto"/>
            <w:bottom w:val="none" w:sz="0" w:space="0" w:color="auto"/>
            <w:right w:val="none" w:sz="0" w:space="0" w:color="auto"/>
          </w:divBdr>
        </w:div>
        <w:div w:id="456409214">
          <w:marLeft w:val="0"/>
          <w:marRight w:val="0"/>
          <w:marTop w:val="0"/>
          <w:marBottom w:val="0"/>
          <w:divBdr>
            <w:top w:val="none" w:sz="0" w:space="0" w:color="auto"/>
            <w:left w:val="none" w:sz="0" w:space="0" w:color="auto"/>
            <w:bottom w:val="none" w:sz="0" w:space="0" w:color="auto"/>
            <w:right w:val="none" w:sz="0" w:space="0" w:color="auto"/>
          </w:divBdr>
        </w:div>
      </w:divsChild>
    </w:div>
    <w:div w:id="986475625">
      <w:bodyDiv w:val="1"/>
      <w:marLeft w:val="0"/>
      <w:marRight w:val="0"/>
      <w:marTop w:val="0"/>
      <w:marBottom w:val="0"/>
      <w:divBdr>
        <w:top w:val="none" w:sz="0" w:space="0" w:color="auto"/>
        <w:left w:val="none" w:sz="0" w:space="0" w:color="auto"/>
        <w:bottom w:val="none" w:sz="0" w:space="0" w:color="auto"/>
        <w:right w:val="none" w:sz="0" w:space="0" w:color="auto"/>
      </w:divBdr>
    </w:div>
    <w:div w:id="1033532484">
      <w:bodyDiv w:val="1"/>
      <w:marLeft w:val="0"/>
      <w:marRight w:val="0"/>
      <w:marTop w:val="0"/>
      <w:marBottom w:val="0"/>
      <w:divBdr>
        <w:top w:val="none" w:sz="0" w:space="0" w:color="auto"/>
        <w:left w:val="none" w:sz="0" w:space="0" w:color="auto"/>
        <w:bottom w:val="none" w:sz="0" w:space="0" w:color="auto"/>
        <w:right w:val="none" w:sz="0" w:space="0" w:color="auto"/>
      </w:divBdr>
    </w:div>
    <w:div w:id="1048719496">
      <w:bodyDiv w:val="1"/>
      <w:marLeft w:val="0"/>
      <w:marRight w:val="0"/>
      <w:marTop w:val="0"/>
      <w:marBottom w:val="0"/>
      <w:divBdr>
        <w:top w:val="none" w:sz="0" w:space="0" w:color="auto"/>
        <w:left w:val="none" w:sz="0" w:space="0" w:color="auto"/>
        <w:bottom w:val="none" w:sz="0" w:space="0" w:color="auto"/>
        <w:right w:val="none" w:sz="0" w:space="0" w:color="auto"/>
      </w:divBdr>
      <w:divsChild>
        <w:div w:id="1609896225">
          <w:marLeft w:val="0"/>
          <w:marRight w:val="0"/>
          <w:marTop w:val="0"/>
          <w:marBottom w:val="0"/>
          <w:divBdr>
            <w:top w:val="none" w:sz="0" w:space="0" w:color="auto"/>
            <w:left w:val="none" w:sz="0" w:space="0" w:color="auto"/>
            <w:bottom w:val="none" w:sz="0" w:space="0" w:color="auto"/>
            <w:right w:val="none" w:sz="0" w:space="0" w:color="auto"/>
          </w:divBdr>
        </w:div>
        <w:div w:id="1048455034">
          <w:marLeft w:val="0"/>
          <w:marRight w:val="0"/>
          <w:marTop w:val="0"/>
          <w:marBottom w:val="0"/>
          <w:divBdr>
            <w:top w:val="none" w:sz="0" w:space="0" w:color="auto"/>
            <w:left w:val="none" w:sz="0" w:space="0" w:color="auto"/>
            <w:bottom w:val="none" w:sz="0" w:space="0" w:color="auto"/>
            <w:right w:val="none" w:sz="0" w:space="0" w:color="auto"/>
          </w:divBdr>
        </w:div>
        <w:div w:id="292060658">
          <w:marLeft w:val="0"/>
          <w:marRight w:val="0"/>
          <w:marTop w:val="0"/>
          <w:marBottom w:val="0"/>
          <w:divBdr>
            <w:top w:val="none" w:sz="0" w:space="0" w:color="auto"/>
            <w:left w:val="none" w:sz="0" w:space="0" w:color="auto"/>
            <w:bottom w:val="none" w:sz="0" w:space="0" w:color="auto"/>
            <w:right w:val="none" w:sz="0" w:space="0" w:color="auto"/>
          </w:divBdr>
        </w:div>
        <w:div w:id="1573929804">
          <w:marLeft w:val="0"/>
          <w:marRight w:val="0"/>
          <w:marTop w:val="0"/>
          <w:marBottom w:val="0"/>
          <w:divBdr>
            <w:top w:val="none" w:sz="0" w:space="0" w:color="auto"/>
            <w:left w:val="none" w:sz="0" w:space="0" w:color="auto"/>
            <w:bottom w:val="none" w:sz="0" w:space="0" w:color="auto"/>
            <w:right w:val="none" w:sz="0" w:space="0" w:color="auto"/>
          </w:divBdr>
        </w:div>
        <w:div w:id="1466704941">
          <w:marLeft w:val="0"/>
          <w:marRight w:val="0"/>
          <w:marTop w:val="0"/>
          <w:marBottom w:val="0"/>
          <w:divBdr>
            <w:top w:val="none" w:sz="0" w:space="0" w:color="auto"/>
            <w:left w:val="none" w:sz="0" w:space="0" w:color="auto"/>
            <w:bottom w:val="none" w:sz="0" w:space="0" w:color="auto"/>
            <w:right w:val="none" w:sz="0" w:space="0" w:color="auto"/>
          </w:divBdr>
        </w:div>
        <w:div w:id="1664504272">
          <w:marLeft w:val="0"/>
          <w:marRight w:val="0"/>
          <w:marTop w:val="0"/>
          <w:marBottom w:val="0"/>
          <w:divBdr>
            <w:top w:val="none" w:sz="0" w:space="0" w:color="auto"/>
            <w:left w:val="none" w:sz="0" w:space="0" w:color="auto"/>
            <w:bottom w:val="none" w:sz="0" w:space="0" w:color="auto"/>
            <w:right w:val="none" w:sz="0" w:space="0" w:color="auto"/>
          </w:divBdr>
        </w:div>
        <w:div w:id="1076634304">
          <w:marLeft w:val="0"/>
          <w:marRight w:val="0"/>
          <w:marTop w:val="0"/>
          <w:marBottom w:val="0"/>
          <w:divBdr>
            <w:top w:val="none" w:sz="0" w:space="0" w:color="auto"/>
            <w:left w:val="none" w:sz="0" w:space="0" w:color="auto"/>
            <w:bottom w:val="none" w:sz="0" w:space="0" w:color="auto"/>
            <w:right w:val="none" w:sz="0" w:space="0" w:color="auto"/>
          </w:divBdr>
        </w:div>
        <w:div w:id="1157768133">
          <w:marLeft w:val="0"/>
          <w:marRight w:val="0"/>
          <w:marTop w:val="0"/>
          <w:marBottom w:val="0"/>
          <w:divBdr>
            <w:top w:val="none" w:sz="0" w:space="0" w:color="auto"/>
            <w:left w:val="none" w:sz="0" w:space="0" w:color="auto"/>
            <w:bottom w:val="none" w:sz="0" w:space="0" w:color="auto"/>
            <w:right w:val="none" w:sz="0" w:space="0" w:color="auto"/>
          </w:divBdr>
        </w:div>
        <w:div w:id="1648707760">
          <w:marLeft w:val="0"/>
          <w:marRight w:val="0"/>
          <w:marTop w:val="0"/>
          <w:marBottom w:val="0"/>
          <w:divBdr>
            <w:top w:val="none" w:sz="0" w:space="0" w:color="auto"/>
            <w:left w:val="none" w:sz="0" w:space="0" w:color="auto"/>
            <w:bottom w:val="none" w:sz="0" w:space="0" w:color="auto"/>
            <w:right w:val="none" w:sz="0" w:space="0" w:color="auto"/>
          </w:divBdr>
        </w:div>
        <w:div w:id="891696305">
          <w:marLeft w:val="0"/>
          <w:marRight w:val="0"/>
          <w:marTop w:val="0"/>
          <w:marBottom w:val="0"/>
          <w:divBdr>
            <w:top w:val="none" w:sz="0" w:space="0" w:color="auto"/>
            <w:left w:val="none" w:sz="0" w:space="0" w:color="auto"/>
            <w:bottom w:val="none" w:sz="0" w:space="0" w:color="auto"/>
            <w:right w:val="none" w:sz="0" w:space="0" w:color="auto"/>
          </w:divBdr>
        </w:div>
        <w:div w:id="2133205398">
          <w:marLeft w:val="0"/>
          <w:marRight w:val="0"/>
          <w:marTop w:val="0"/>
          <w:marBottom w:val="0"/>
          <w:divBdr>
            <w:top w:val="none" w:sz="0" w:space="0" w:color="auto"/>
            <w:left w:val="none" w:sz="0" w:space="0" w:color="auto"/>
            <w:bottom w:val="none" w:sz="0" w:space="0" w:color="auto"/>
            <w:right w:val="none" w:sz="0" w:space="0" w:color="auto"/>
          </w:divBdr>
        </w:div>
        <w:div w:id="395398436">
          <w:marLeft w:val="0"/>
          <w:marRight w:val="0"/>
          <w:marTop w:val="0"/>
          <w:marBottom w:val="0"/>
          <w:divBdr>
            <w:top w:val="none" w:sz="0" w:space="0" w:color="auto"/>
            <w:left w:val="none" w:sz="0" w:space="0" w:color="auto"/>
            <w:bottom w:val="none" w:sz="0" w:space="0" w:color="auto"/>
            <w:right w:val="none" w:sz="0" w:space="0" w:color="auto"/>
          </w:divBdr>
        </w:div>
        <w:div w:id="16350847">
          <w:marLeft w:val="0"/>
          <w:marRight w:val="0"/>
          <w:marTop w:val="0"/>
          <w:marBottom w:val="0"/>
          <w:divBdr>
            <w:top w:val="none" w:sz="0" w:space="0" w:color="auto"/>
            <w:left w:val="none" w:sz="0" w:space="0" w:color="auto"/>
            <w:bottom w:val="none" w:sz="0" w:space="0" w:color="auto"/>
            <w:right w:val="none" w:sz="0" w:space="0" w:color="auto"/>
          </w:divBdr>
        </w:div>
        <w:div w:id="1899853046">
          <w:marLeft w:val="0"/>
          <w:marRight w:val="0"/>
          <w:marTop w:val="0"/>
          <w:marBottom w:val="0"/>
          <w:divBdr>
            <w:top w:val="none" w:sz="0" w:space="0" w:color="auto"/>
            <w:left w:val="none" w:sz="0" w:space="0" w:color="auto"/>
            <w:bottom w:val="none" w:sz="0" w:space="0" w:color="auto"/>
            <w:right w:val="none" w:sz="0" w:space="0" w:color="auto"/>
          </w:divBdr>
        </w:div>
        <w:div w:id="829717848">
          <w:marLeft w:val="0"/>
          <w:marRight w:val="0"/>
          <w:marTop w:val="0"/>
          <w:marBottom w:val="0"/>
          <w:divBdr>
            <w:top w:val="none" w:sz="0" w:space="0" w:color="auto"/>
            <w:left w:val="none" w:sz="0" w:space="0" w:color="auto"/>
            <w:bottom w:val="none" w:sz="0" w:space="0" w:color="auto"/>
            <w:right w:val="none" w:sz="0" w:space="0" w:color="auto"/>
          </w:divBdr>
        </w:div>
        <w:div w:id="1244025760">
          <w:marLeft w:val="0"/>
          <w:marRight w:val="0"/>
          <w:marTop w:val="0"/>
          <w:marBottom w:val="0"/>
          <w:divBdr>
            <w:top w:val="none" w:sz="0" w:space="0" w:color="auto"/>
            <w:left w:val="none" w:sz="0" w:space="0" w:color="auto"/>
            <w:bottom w:val="none" w:sz="0" w:space="0" w:color="auto"/>
            <w:right w:val="none" w:sz="0" w:space="0" w:color="auto"/>
          </w:divBdr>
        </w:div>
        <w:div w:id="1054693916">
          <w:marLeft w:val="0"/>
          <w:marRight w:val="0"/>
          <w:marTop w:val="0"/>
          <w:marBottom w:val="0"/>
          <w:divBdr>
            <w:top w:val="none" w:sz="0" w:space="0" w:color="auto"/>
            <w:left w:val="none" w:sz="0" w:space="0" w:color="auto"/>
            <w:bottom w:val="none" w:sz="0" w:space="0" w:color="auto"/>
            <w:right w:val="none" w:sz="0" w:space="0" w:color="auto"/>
          </w:divBdr>
        </w:div>
        <w:div w:id="339966576">
          <w:marLeft w:val="0"/>
          <w:marRight w:val="0"/>
          <w:marTop w:val="0"/>
          <w:marBottom w:val="0"/>
          <w:divBdr>
            <w:top w:val="none" w:sz="0" w:space="0" w:color="auto"/>
            <w:left w:val="none" w:sz="0" w:space="0" w:color="auto"/>
            <w:bottom w:val="none" w:sz="0" w:space="0" w:color="auto"/>
            <w:right w:val="none" w:sz="0" w:space="0" w:color="auto"/>
          </w:divBdr>
        </w:div>
        <w:div w:id="908076379">
          <w:marLeft w:val="0"/>
          <w:marRight w:val="0"/>
          <w:marTop w:val="0"/>
          <w:marBottom w:val="0"/>
          <w:divBdr>
            <w:top w:val="none" w:sz="0" w:space="0" w:color="auto"/>
            <w:left w:val="none" w:sz="0" w:space="0" w:color="auto"/>
            <w:bottom w:val="none" w:sz="0" w:space="0" w:color="auto"/>
            <w:right w:val="none" w:sz="0" w:space="0" w:color="auto"/>
          </w:divBdr>
        </w:div>
        <w:div w:id="400760868">
          <w:marLeft w:val="0"/>
          <w:marRight w:val="0"/>
          <w:marTop w:val="0"/>
          <w:marBottom w:val="0"/>
          <w:divBdr>
            <w:top w:val="none" w:sz="0" w:space="0" w:color="auto"/>
            <w:left w:val="none" w:sz="0" w:space="0" w:color="auto"/>
            <w:bottom w:val="none" w:sz="0" w:space="0" w:color="auto"/>
            <w:right w:val="none" w:sz="0" w:space="0" w:color="auto"/>
          </w:divBdr>
        </w:div>
        <w:div w:id="273439160">
          <w:marLeft w:val="0"/>
          <w:marRight w:val="0"/>
          <w:marTop w:val="0"/>
          <w:marBottom w:val="0"/>
          <w:divBdr>
            <w:top w:val="none" w:sz="0" w:space="0" w:color="auto"/>
            <w:left w:val="none" w:sz="0" w:space="0" w:color="auto"/>
            <w:bottom w:val="none" w:sz="0" w:space="0" w:color="auto"/>
            <w:right w:val="none" w:sz="0" w:space="0" w:color="auto"/>
          </w:divBdr>
        </w:div>
        <w:div w:id="15935525">
          <w:marLeft w:val="0"/>
          <w:marRight w:val="0"/>
          <w:marTop w:val="0"/>
          <w:marBottom w:val="0"/>
          <w:divBdr>
            <w:top w:val="none" w:sz="0" w:space="0" w:color="auto"/>
            <w:left w:val="none" w:sz="0" w:space="0" w:color="auto"/>
            <w:bottom w:val="none" w:sz="0" w:space="0" w:color="auto"/>
            <w:right w:val="none" w:sz="0" w:space="0" w:color="auto"/>
          </w:divBdr>
        </w:div>
        <w:div w:id="597981929">
          <w:marLeft w:val="0"/>
          <w:marRight w:val="0"/>
          <w:marTop w:val="0"/>
          <w:marBottom w:val="0"/>
          <w:divBdr>
            <w:top w:val="none" w:sz="0" w:space="0" w:color="auto"/>
            <w:left w:val="none" w:sz="0" w:space="0" w:color="auto"/>
            <w:bottom w:val="none" w:sz="0" w:space="0" w:color="auto"/>
            <w:right w:val="none" w:sz="0" w:space="0" w:color="auto"/>
          </w:divBdr>
        </w:div>
        <w:div w:id="1722436171">
          <w:marLeft w:val="0"/>
          <w:marRight w:val="0"/>
          <w:marTop w:val="0"/>
          <w:marBottom w:val="0"/>
          <w:divBdr>
            <w:top w:val="none" w:sz="0" w:space="0" w:color="auto"/>
            <w:left w:val="none" w:sz="0" w:space="0" w:color="auto"/>
            <w:bottom w:val="none" w:sz="0" w:space="0" w:color="auto"/>
            <w:right w:val="none" w:sz="0" w:space="0" w:color="auto"/>
          </w:divBdr>
        </w:div>
        <w:div w:id="1306204735">
          <w:marLeft w:val="0"/>
          <w:marRight w:val="0"/>
          <w:marTop w:val="0"/>
          <w:marBottom w:val="0"/>
          <w:divBdr>
            <w:top w:val="none" w:sz="0" w:space="0" w:color="auto"/>
            <w:left w:val="none" w:sz="0" w:space="0" w:color="auto"/>
            <w:bottom w:val="none" w:sz="0" w:space="0" w:color="auto"/>
            <w:right w:val="none" w:sz="0" w:space="0" w:color="auto"/>
          </w:divBdr>
        </w:div>
        <w:div w:id="1991254515">
          <w:marLeft w:val="0"/>
          <w:marRight w:val="0"/>
          <w:marTop w:val="0"/>
          <w:marBottom w:val="0"/>
          <w:divBdr>
            <w:top w:val="none" w:sz="0" w:space="0" w:color="auto"/>
            <w:left w:val="none" w:sz="0" w:space="0" w:color="auto"/>
            <w:bottom w:val="none" w:sz="0" w:space="0" w:color="auto"/>
            <w:right w:val="none" w:sz="0" w:space="0" w:color="auto"/>
          </w:divBdr>
        </w:div>
        <w:div w:id="137233145">
          <w:marLeft w:val="0"/>
          <w:marRight w:val="0"/>
          <w:marTop w:val="0"/>
          <w:marBottom w:val="0"/>
          <w:divBdr>
            <w:top w:val="none" w:sz="0" w:space="0" w:color="auto"/>
            <w:left w:val="none" w:sz="0" w:space="0" w:color="auto"/>
            <w:bottom w:val="none" w:sz="0" w:space="0" w:color="auto"/>
            <w:right w:val="none" w:sz="0" w:space="0" w:color="auto"/>
          </w:divBdr>
        </w:div>
        <w:div w:id="531193894">
          <w:marLeft w:val="0"/>
          <w:marRight w:val="0"/>
          <w:marTop w:val="0"/>
          <w:marBottom w:val="0"/>
          <w:divBdr>
            <w:top w:val="none" w:sz="0" w:space="0" w:color="auto"/>
            <w:left w:val="none" w:sz="0" w:space="0" w:color="auto"/>
            <w:bottom w:val="none" w:sz="0" w:space="0" w:color="auto"/>
            <w:right w:val="none" w:sz="0" w:space="0" w:color="auto"/>
          </w:divBdr>
        </w:div>
        <w:div w:id="801848849">
          <w:marLeft w:val="0"/>
          <w:marRight w:val="0"/>
          <w:marTop w:val="0"/>
          <w:marBottom w:val="0"/>
          <w:divBdr>
            <w:top w:val="none" w:sz="0" w:space="0" w:color="auto"/>
            <w:left w:val="none" w:sz="0" w:space="0" w:color="auto"/>
            <w:bottom w:val="none" w:sz="0" w:space="0" w:color="auto"/>
            <w:right w:val="none" w:sz="0" w:space="0" w:color="auto"/>
          </w:divBdr>
        </w:div>
        <w:div w:id="860165352">
          <w:marLeft w:val="0"/>
          <w:marRight w:val="0"/>
          <w:marTop w:val="0"/>
          <w:marBottom w:val="0"/>
          <w:divBdr>
            <w:top w:val="none" w:sz="0" w:space="0" w:color="auto"/>
            <w:left w:val="none" w:sz="0" w:space="0" w:color="auto"/>
            <w:bottom w:val="none" w:sz="0" w:space="0" w:color="auto"/>
            <w:right w:val="none" w:sz="0" w:space="0" w:color="auto"/>
          </w:divBdr>
        </w:div>
        <w:div w:id="671834817">
          <w:marLeft w:val="0"/>
          <w:marRight w:val="0"/>
          <w:marTop w:val="0"/>
          <w:marBottom w:val="0"/>
          <w:divBdr>
            <w:top w:val="none" w:sz="0" w:space="0" w:color="auto"/>
            <w:left w:val="none" w:sz="0" w:space="0" w:color="auto"/>
            <w:bottom w:val="none" w:sz="0" w:space="0" w:color="auto"/>
            <w:right w:val="none" w:sz="0" w:space="0" w:color="auto"/>
          </w:divBdr>
        </w:div>
        <w:div w:id="898052314">
          <w:marLeft w:val="0"/>
          <w:marRight w:val="0"/>
          <w:marTop w:val="0"/>
          <w:marBottom w:val="0"/>
          <w:divBdr>
            <w:top w:val="none" w:sz="0" w:space="0" w:color="auto"/>
            <w:left w:val="none" w:sz="0" w:space="0" w:color="auto"/>
            <w:bottom w:val="none" w:sz="0" w:space="0" w:color="auto"/>
            <w:right w:val="none" w:sz="0" w:space="0" w:color="auto"/>
          </w:divBdr>
        </w:div>
      </w:divsChild>
    </w:div>
    <w:div w:id="1106658255">
      <w:bodyDiv w:val="1"/>
      <w:marLeft w:val="0"/>
      <w:marRight w:val="0"/>
      <w:marTop w:val="0"/>
      <w:marBottom w:val="0"/>
      <w:divBdr>
        <w:top w:val="none" w:sz="0" w:space="0" w:color="auto"/>
        <w:left w:val="none" w:sz="0" w:space="0" w:color="auto"/>
        <w:bottom w:val="none" w:sz="0" w:space="0" w:color="auto"/>
        <w:right w:val="none" w:sz="0" w:space="0" w:color="auto"/>
      </w:divBdr>
    </w:div>
    <w:div w:id="1230536197">
      <w:bodyDiv w:val="1"/>
      <w:marLeft w:val="0"/>
      <w:marRight w:val="0"/>
      <w:marTop w:val="0"/>
      <w:marBottom w:val="0"/>
      <w:divBdr>
        <w:top w:val="none" w:sz="0" w:space="0" w:color="auto"/>
        <w:left w:val="none" w:sz="0" w:space="0" w:color="auto"/>
        <w:bottom w:val="none" w:sz="0" w:space="0" w:color="auto"/>
        <w:right w:val="none" w:sz="0" w:space="0" w:color="auto"/>
      </w:divBdr>
    </w:div>
    <w:div w:id="1232958445">
      <w:bodyDiv w:val="1"/>
      <w:marLeft w:val="0"/>
      <w:marRight w:val="0"/>
      <w:marTop w:val="0"/>
      <w:marBottom w:val="0"/>
      <w:divBdr>
        <w:top w:val="none" w:sz="0" w:space="0" w:color="auto"/>
        <w:left w:val="none" w:sz="0" w:space="0" w:color="auto"/>
        <w:bottom w:val="none" w:sz="0" w:space="0" w:color="auto"/>
        <w:right w:val="none" w:sz="0" w:space="0" w:color="auto"/>
      </w:divBdr>
    </w:div>
    <w:div w:id="1312171846">
      <w:bodyDiv w:val="1"/>
      <w:marLeft w:val="0"/>
      <w:marRight w:val="0"/>
      <w:marTop w:val="0"/>
      <w:marBottom w:val="0"/>
      <w:divBdr>
        <w:top w:val="none" w:sz="0" w:space="0" w:color="auto"/>
        <w:left w:val="none" w:sz="0" w:space="0" w:color="auto"/>
        <w:bottom w:val="none" w:sz="0" w:space="0" w:color="auto"/>
        <w:right w:val="none" w:sz="0" w:space="0" w:color="auto"/>
      </w:divBdr>
      <w:divsChild>
        <w:div w:id="1958246500">
          <w:marLeft w:val="0"/>
          <w:marRight w:val="0"/>
          <w:marTop w:val="0"/>
          <w:marBottom w:val="0"/>
          <w:divBdr>
            <w:top w:val="none" w:sz="0" w:space="0" w:color="auto"/>
            <w:left w:val="none" w:sz="0" w:space="0" w:color="auto"/>
            <w:bottom w:val="none" w:sz="0" w:space="0" w:color="auto"/>
            <w:right w:val="none" w:sz="0" w:space="0" w:color="auto"/>
          </w:divBdr>
        </w:div>
        <w:div w:id="1243636870">
          <w:marLeft w:val="0"/>
          <w:marRight w:val="0"/>
          <w:marTop w:val="0"/>
          <w:marBottom w:val="0"/>
          <w:divBdr>
            <w:top w:val="none" w:sz="0" w:space="0" w:color="auto"/>
            <w:left w:val="none" w:sz="0" w:space="0" w:color="auto"/>
            <w:bottom w:val="none" w:sz="0" w:space="0" w:color="auto"/>
            <w:right w:val="none" w:sz="0" w:space="0" w:color="auto"/>
          </w:divBdr>
        </w:div>
        <w:div w:id="43523568">
          <w:marLeft w:val="0"/>
          <w:marRight w:val="0"/>
          <w:marTop w:val="0"/>
          <w:marBottom w:val="0"/>
          <w:divBdr>
            <w:top w:val="none" w:sz="0" w:space="0" w:color="auto"/>
            <w:left w:val="none" w:sz="0" w:space="0" w:color="auto"/>
            <w:bottom w:val="none" w:sz="0" w:space="0" w:color="auto"/>
            <w:right w:val="none" w:sz="0" w:space="0" w:color="auto"/>
          </w:divBdr>
        </w:div>
        <w:div w:id="88546638">
          <w:marLeft w:val="0"/>
          <w:marRight w:val="0"/>
          <w:marTop w:val="0"/>
          <w:marBottom w:val="0"/>
          <w:divBdr>
            <w:top w:val="none" w:sz="0" w:space="0" w:color="auto"/>
            <w:left w:val="none" w:sz="0" w:space="0" w:color="auto"/>
            <w:bottom w:val="none" w:sz="0" w:space="0" w:color="auto"/>
            <w:right w:val="none" w:sz="0" w:space="0" w:color="auto"/>
          </w:divBdr>
        </w:div>
        <w:div w:id="1427188685">
          <w:marLeft w:val="0"/>
          <w:marRight w:val="0"/>
          <w:marTop w:val="0"/>
          <w:marBottom w:val="0"/>
          <w:divBdr>
            <w:top w:val="none" w:sz="0" w:space="0" w:color="auto"/>
            <w:left w:val="none" w:sz="0" w:space="0" w:color="auto"/>
            <w:bottom w:val="none" w:sz="0" w:space="0" w:color="auto"/>
            <w:right w:val="none" w:sz="0" w:space="0" w:color="auto"/>
          </w:divBdr>
        </w:div>
        <w:div w:id="1882202385">
          <w:marLeft w:val="0"/>
          <w:marRight w:val="0"/>
          <w:marTop w:val="0"/>
          <w:marBottom w:val="0"/>
          <w:divBdr>
            <w:top w:val="none" w:sz="0" w:space="0" w:color="auto"/>
            <w:left w:val="none" w:sz="0" w:space="0" w:color="auto"/>
            <w:bottom w:val="none" w:sz="0" w:space="0" w:color="auto"/>
            <w:right w:val="none" w:sz="0" w:space="0" w:color="auto"/>
          </w:divBdr>
        </w:div>
        <w:div w:id="680086130">
          <w:marLeft w:val="0"/>
          <w:marRight w:val="0"/>
          <w:marTop w:val="0"/>
          <w:marBottom w:val="0"/>
          <w:divBdr>
            <w:top w:val="none" w:sz="0" w:space="0" w:color="auto"/>
            <w:left w:val="none" w:sz="0" w:space="0" w:color="auto"/>
            <w:bottom w:val="none" w:sz="0" w:space="0" w:color="auto"/>
            <w:right w:val="none" w:sz="0" w:space="0" w:color="auto"/>
          </w:divBdr>
        </w:div>
        <w:div w:id="256519546">
          <w:marLeft w:val="0"/>
          <w:marRight w:val="0"/>
          <w:marTop w:val="0"/>
          <w:marBottom w:val="0"/>
          <w:divBdr>
            <w:top w:val="none" w:sz="0" w:space="0" w:color="auto"/>
            <w:left w:val="none" w:sz="0" w:space="0" w:color="auto"/>
            <w:bottom w:val="none" w:sz="0" w:space="0" w:color="auto"/>
            <w:right w:val="none" w:sz="0" w:space="0" w:color="auto"/>
          </w:divBdr>
        </w:div>
        <w:div w:id="827944356">
          <w:marLeft w:val="0"/>
          <w:marRight w:val="0"/>
          <w:marTop w:val="0"/>
          <w:marBottom w:val="0"/>
          <w:divBdr>
            <w:top w:val="none" w:sz="0" w:space="0" w:color="auto"/>
            <w:left w:val="none" w:sz="0" w:space="0" w:color="auto"/>
            <w:bottom w:val="none" w:sz="0" w:space="0" w:color="auto"/>
            <w:right w:val="none" w:sz="0" w:space="0" w:color="auto"/>
          </w:divBdr>
        </w:div>
        <w:div w:id="1359694279">
          <w:marLeft w:val="0"/>
          <w:marRight w:val="0"/>
          <w:marTop w:val="0"/>
          <w:marBottom w:val="0"/>
          <w:divBdr>
            <w:top w:val="none" w:sz="0" w:space="0" w:color="auto"/>
            <w:left w:val="none" w:sz="0" w:space="0" w:color="auto"/>
            <w:bottom w:val="none" w:sz="0" w:space="0" w:color="auto"/>
            <w:right w:val="none" w:sz="0" w:space="0" w:color="auto"/>
          </w:divBdr>
        </w:div>
        <w:div w:id="71315099">
          <w:marLeft w:val="0"/>
          <w:marRight w:val="0"/>
          <w:marTop w:val="0"/>
          <w:marBottom w:val="0"/>
          <w:divBdr>
            <w:top w:val="none" w:sz="0" w:space="0" w:color="auto"/>
            <w:left w:val="none" w:sz="0" w:space="0" w:color="auto"/>
            <w:bottom w:val="none" w:sz="0" w:space="0" w:color="auto"/>
            <w:right w:val="none" w:sz="0" w:space="0" w:color="auto"/>
          </w:divBdr>
        </w:div>
        <w:div w:id="288172122">
          <w:marLeft w:val="0"/>
          <w:marRight w:val="0"/>
          <w:marTop w:val="0"/>
          <w:marBottom w:val="0"/>
          <w:divBdr>
            <w:top w:val="none" w:sz="0" w:space="0" w:color="auto"/>
            <w:left w:val="none" w:sz="0" w:space="0" w:color="auto"/>
            <w:bottom w:val="none" w:sz="0" w:space="0" w:color="auto"/>
            <w:right w:val="none" w:sz="0" w:space="0" w:color="auto"/>
          </w:divBdr>
        </w:div>
        <w:div w:id="341664492">
          <w:marLeft w:val="0"/>
          <w:marRight w:val="0"/>
          <w:marTop w:val="0"/>
          <w:marBottom w:val="0"/>
          <w:divBdr>
            <w:top w:val="none" w:sz="0" w:space="0" w:color="auto"/>
            <w:left w:val="none" w:sz="0" w:space="0" w:color="auto"/>
            <w:bottom w:val="none" w:sz="0" w:space="0" w:color="auto"/>
            <w:right w:val="none" w:sz="0" w:space="0" w:color="auto"/>
          </w:divBdr>
        </w:div>
        <w:div w:id="723452866">
          <w:marLeft w:val="0"/>
          <w:marRight w:val="0"/>
          <w:marTop w:val="0"/>
          <w:marBottom w:val="0"/>
          <w:divBdr>
            <w:top w:val="none" w:sz="0" w:space="0" w:color="auto"/>
            <w:left w:val="none" w:sz="0" w:space="0" w:color="auto"/>
            <w:bottom w:val="none" w:sz="0" w:space="0" w:color="auto"/>
            <w:right w:val="none" w:sz="0" w:space="0" w:color="auto"/>
          </w:divBdr>
        </w:div>
        <w:div w:id="600991988">
          <w:marLeft w:val="0"/>
          <w:marRight w:val="0"/>
          <w:marTop w:val="0"/>
          <w:marBottom w:val="0"/>
          <w:divBdr>
            <w:top w:val="none" w:sz="0" w:space="0" w:color="auto"/>
            <w:left w:val="none" w:sz="0" w:space="0" w:color="auto"/>
            <w:bottom w:val="none" w:sz="0" w:space="0" w:color="auto"/>
            <w:right w:val="none" w:sz="0" w:space="0" w:color="auto"/>
          </w:divBdr>
        </w:div>
        <w:div w:id="1856842863">
          <w:marLeft w:val="0"/>
          <w:marRight w:val="0"/>
          <w:marTop w:val="0"/>
          <w:marBottom w:val="0"/>
          <w:divBdr>
            <w:top w:val="none" w:sz="0" w:space="0" w:color="auto"/>
            <w:left w:val="none" w:sz="0" w:space="0" w:color="auto"/>
            <w:bottom w:val="none" w:sz="0" w:space="0" w:color="auto"/>
            <w:right w:val="none" w:sz="0" w:space="0" w:color="auto"/>
          </w:divBdr>
        </w:div>
        <w:div w:id="1169905998">
          <w:marLeft w:val="0"/>
          <w:marRight w:val="0"/>
          <w:marTop w:val="0"/>
          <w:marBottom w:val="0"/>
          <w:divBdr>
            <w:top w:val="none" w:sz="0" w:space="0" w:color="auto"/>
            <w:left w:val="none" w:sz="0" w:space="0" w:color="auto"/>
            <w:bottom w:val="none" w:sz="0" w:space="0" w:color="auto"/>
            <w:right w:val="none" w:sz="0" w:space="0" w:color="auto"/>
          </w:divBdr>
        </w:div>
        <w:div w:id="395712378">
          <w:marLeft w:val="0"/>
          <w:marRight w:val="0"/>
          <w:marTop w:val="0"/>
          <w:marBottom w:val="0"/>
          <w:divBdr>
            <w:top w:val="none" w:sz="0" w:space="0" w:color="auto"/>
            <w:left w:val="none" w:sz="0" w:space="0" w:color="auto"/>
            <w:bottom w:val="none" w:sz="0" w:space="0" w:color="auto"/>
            <w:right w:val="none" w:sz="0" w:space="0" w:color="auto"/>
          </w:divBdr>
        </w:div>
        <w:div w:id="743069297">
          <w:marLeft w:val="0"/>
          <w:marRight w:val="0"/>
          <w:marTop w:val="0"/>
          <w:marBottom w:val="0"/>
          <w:divBdr>
            <w:top w:val="none" w:sz="0" w:space="0" w:color="auto"/>
            <w:left w:val="none" w:sz="0" w:space="0" w:color="auto"/>
            <w:bottom w:val="none" w:sz="0" w:space="0" w:color="auto"/>
            <w:right w:val="none" w:sz="0" w:space="0" w:color="auto"/>
          </w:divBdr>
        </w:div>
        <w:div w:id="1320768809">
          <w:marLeft w:val="0"/>
          <w:marRight w:val="0"/>
          <w:marTop w:val="0"/>
          <w:marBottom w:val="0"/>
          <w:divBdr>
            <w:top w:val="none" w:sz="0" w:space="0" w:color="auto"/>
            <w:left w:val="none" w:sz="0" w:space="0" w:color="auto"/>
            <w:bottom w:val="none" w:sz="0" w:space="0" w:color="auto"/>
            <w:right w:val="none" w:sz="0" w:space="0" w:color="auto"/>
          </w:divBdr>
        </w:div>
        <w:div w:id="952056606">
          <w:marLeft w:val="0"/>
          <w:marRight w:val="0"/>
          <w:marTop w:val="0"/>
          <w:marBottom w:val="0"/>
          <w:divBdr>
            <w:top w:val="none" w:sz="0" w:space="0" w:color="auto"/>
            <w:left w:val="none" w:sz="0" w:space="0" w:color="auto"/>
            <w:bottom w:val="none" w:sz="0" w:space="0" w:color="auto"/>
            <w:right w:val="none" w:sz="0" w:space="0" w:color="auto"/>
          </w:divBdr>
        </w:div>
        <w:div w:id="2003585239">
          <w:marLeft w:val="0"/>
          <w:marRight w:val="0"/>
          <w:marTop w:val="0"/>
          <w:marBottom w:val="0"/>
          <w:divBdr>
            <w:top w:val="none" w:sz="0" w:space="0" w:color="auto"/>
            <w:left w:val="none" w:sz="0" w:space="0" w:color="auto"/>
            <w:bottom w:val="none" w:sz="0" w:space="0" w:color="auto"/>
            <w:right w:val="none" w:sz="0" w:space="0" w:color="auto"/>
          </w:divBdr>
        </w:div>
        <w:div w:id="2139837162">
          <w:marLeft w:val="0"/>
          <w:marRight w:val="0"/>
          <w:marTop w:val="0"/>
          <w:marBottom w:val="0"/>
          <w:divBdr>
            <w:top w:val="none" w:sz="0" w:space="0" w:color="auto"/>
            <w:left w:val="none" w:sz="0" w:space="0" w:color="auto"/>
            <w:bottom w:val="none" w:sz="0" w:space="0" w:color="auto"/>
            <w:right w:val="none" w:sz="0" w:space="0" w:color="auto"/>
          </w:divBdr>
        </w:div>
        <w:div w:id="1931884311">
          <w:marLeft w:val="0"/>
          <w:marRight w:val="0"/>
          <w:marTop w:val="0"/>
          <w:marBottom w:val="0"/>
          <w:divBdr>
            <w:top w:val="none" w:sz="0" w:space="0" w:color="auto"/>
            <w:left w:val="none" w:sz="0" w:space="0" w:color="auto"/>
            <w:bottom w:val="none" w:sz="0" w:space="0" w:color="auto"/>
            <w:right w:val="none" w:sz="0" w:space="0" w:color="auto"/>
          </w:divBdr>
        </w:div>
        <w:div w:id="72901429">
          <w:marLeft w:val="0"/>
          <w:marRight w:val="0"/>
          <w:marTop w:val="0"/>
          <w:marBottom w:val="0"/>
          <w:divBdr>
            <w:top w:val="none" w:sz="0" w:space="0" w:color="auto"/>
            <w:left w:val="none" w:sz="0" w:space="0" w:color="auto"/>
            <w:bottom w:val="none" w:sz="0" w:space="0" w:color="auto"/>
            <w:right w:val="none" w:sz="0" w:space="0" w:color="auto"/>
          </w:divBdr>
        </w:div>
        <w:div w:id="390033249">
          <w:marLeft w:val="0"/>
          <w:marRight w:val="0"/>
          <w:marTop w:val="0"/>
          <w:marBottom w:val="0"/>
          <w:divBdr>
            <w:top w:val="none" w:sz="0" w:space="0" w:color="auto"/>
            <w:left w:val="none" w:sz="0" w:space="0" w:color="auto"/>
            <w:bottom w:val="none" w:sz="0" w:space="0" w:color="auto"/>
            <w:right w:val="none" w:sz="0" w:space="0" w:color="auto"/>
          </w:divBdr>
        </w:div>
        <w:div w:id="32116275">
          <w:marLeft w:val="0"/>
          <w:marRight w:val="0"/>
          <w:marTop w:val="0"/>
          <w:marBottom w:val="0"/>
          <w:divBdr>
            <w:top w:val="none" w:sz="0" w:space="0" w:color="auto"/>
            <w:left w:val="none" w:sz="0" w:space="0" w:color="auto"/>
            <w:bottom w:val="none" w:sz="0" w:space="0" w:color="auto"/>
            <w:right w:val="none" w:sz="0" w:space="0" w:color="auto"/>
          </w:divBdr>
        </w:div>
        <w:div w:id="1226336584">
          <w:marLeft w:val="0"/>
          <w:marRight w:val="0"/>
          <w:marTop w:val="0"/>
          <w:marBottom w:val="0"/>
          <w:divBdr>
            <w:top w:val="none" w:sz="0" w:space="0" w:color="auto"/>
            <w:left w:val="none" w:sz="0" w:space="0" w:color="auto"/>
            <w:bottom w:val="none" w:sz="0" w:space="0" w:color="auto"/>
            <w:right w:val="none" w:sz="0" w:space="0" w:color="auto"/>
          </w:divBdr>
        </w:div>
        <w:div w:id="123738961">
          <w:marLeft w:val="0"/>
          <w:marRight w:val="0"/>
          <w:marTop w:val="0"/>
          <w:marBottom w:val="0"/>
          <w:divBdr>
            <w:top w:val="none" w:sz="0" w:space="0" w:color="auto"/>
            <w:left w:val="none" w:sz="0" w:space="0" w:color="auto"/>
            <w:bottom w:val="none" w:sz="0" w:space="0" w:color="auto"/>
            <w:right w:val="none" w:sz="0" w:space="0" w:color="auto"/>
          </w:divBdr>
        </w:div>
        <w:div w:id="311065207">
          <w:marLeft w:val="0"/>
          <w:marRight w:val="0"/>
          <w:marTop w:val="0"/>
          <w:marBottom w:val="0"/>
          <w:divBdr>
            <w:top w:val="none" w:sz="0" w:space="0" w:color="auto"/>
            <w:left w:val="none" w:sz="0" w:space="0" w:color="auto"/>
            <w:bottom w:val="none" w:sz="0" w:space="0" w:color="auto"/>
            <w:right w:val="none" w:sz="0" w:space="0" w:color="auto"/>
          </w:divBdr>
        </w:div>
        <w:div w:id="1566064785">
          <w:marLeft w:val="0"/>
          <w:marRight w:val="0"/>
          <w:marTop w:val="0"/>
          <w:marBottom w:val="0"/>
          <w:divBdr>
            <w:top w:val="none" w:sz="0" w:space="0" w:color="auto"/>
            <w:left w:val="none" w:sz="0" w:space="0" w:color="auto"/>
            <w:bottom w:val="none" w:sz="0" w:space="0" w:color="auto"/>
            <w:right w:val="none" w:sz="0" w:space="0" w:color="auto"/>
          </w:divBdr>
        </w:div>
        <w:div w:id="630552850">
          <w:marLeft w:val="0"/>
          <w:marRight w:val="0"/>
          <w:marTop w:val="0"/>
          <w:marBottom w:val="0"/>
          <w:divBdr>
            <w:top w:val="none" w:sz="0" w:space="0" w:color="auto"/>
            <w:left w:val="none" w:sz="0" w:space="0" w:color="auto"/>
            <w:bottom w:val="none" w:sz="0" w:space="0" w:color="auto"/>
            <w:right w:val="none" w:sz="0" w:space="0" w:color="auto"/>
          </w:divBdr>
        </w:div>
      </w:divsChild>
    </w:div>
    <w:div w:id="1349452003">
      <w:bodyDiv w:val="1"/>
      <w:marLeft w:val="0"/>
      <w:marRight w:val="0"/>
      <w:marTop w:val="0"/>
      <w:marBottom w:val="0"/>
      <w:divBdr>
        <w:top w:val="none" w:sz="0" w:space="0" w:color="auto"/>
        <w:left w:val="none" w:sz="0" w:space="0" w:color="auto"/>
        <w:bottom w:val="none" w:sz="0" w:space="0" w:color="auto"/>
        <w:right w:val="none" w:sz="0" w:space="0" w:color="auto"/>
      </w:divBdr>
    </w:div>
    <w:div w:id="1551111574">
      <w:bodyDiv w:val="1"/>
      <w:marLeft w:val="0"/>
      <w:marRight w:val="0"/>
      <w:marTop w:val="0"/>
      <w:marBottom w:val="0"/>
      <w:divBdr>
        <w:top w:val="none" w:sz="0" w:space="0" w:color="auto"/>
        <w:left w:val="none" w:sz="0" w:space="0" w:color="auto"/>
        <w:bottom w:val="none" w:sz="0" w:space="0" w:color="auto"/>
        <w:right w:val="none" w:sz="0" w:space="0" w:color="auto"/>
      </w:divBdr>
    </w:div>
    <w:div w:id="1576428446">
      <w:bodyDiv w:val="1"/>
      <w:marLeft w:val="0"/>
      <w:marRight w:val="0"/>
      <w:marTop w:val="0"/>
      <w:marBottom w:val="0"/>
      <w:divBdr>
        <w:top w:val="none" w:sz="0" w:space="0" w:color="auto"/>
        <w:left w:val="none" w:sz="0" w:space="0" w:color="auto"/>
        <w:bottom w:val="none" w:sz="0" w:space="0" w:color="auto"/>
        <w:right w:val="none" w:sz="0" w:space="0" w:color="auto"/>
      </w:divBdr>
    </w:div>
    <w:div w:id="1661617729">
      <w:bodyDiv w:val="1"/>
      <w:marLeft w:val="0"/>
      <w:marRight w:val="0"/>
      <w:marTop w:val="0"/>
      <w:marBottom w:val="0"/>
      <w:divBdr>
        <w:top w:val="none" w:sz="0" w:space="0" w:color="auto"/>
        <w:left w:val="none" w:sz="0" w:space="0" w:color="auto"/>
        <w:bottom w:val="none" w:sz="0" w:space="0" w:color="auto"/>
        <w:right w:val="none" w:sz="0" w:space="0" w:color="auto"/>
      </w:divBdr>
    </w:div>
    <w:div w:id="1700466075">
      <w:bodyDiv w:val="1"/>
      <w:marLeft w:val="0"/>
      <w:marRight w:val="0"/>
      <w:marTop w:val="0"/>
      <w:marBottom w:val="0"/>
      <w:divBdr>
        <w:top w:val="none" w:sz="0" w:space="0" w:color="auto"/>
        <w:left w:val="none" w:sz="0" w:space="0" w:color="auto"/>
        <w:bottom w:val="none" w:sz="0" w:space="0" w:color="auto"/>
        <w:right w:val="none" w:sz="0" w:space="0" w:color="auto"/>
      </w:divBdr>
    </w:div>
    <w:div w:id="1839154564">
      <w:bodyDiv w:val="1"/>
      <w:marLeft w:val="0"/>
      <w:marRight w:val="0"/>
      <w:marTop w:val="0"/>
      <w:marBottom w:val="0"/>
      <w:divBdr>
        <w:top w:val="none" w:sz="0" w:space="0" w:color="auto"/>
        <w:left w:val="none" w:sz="0" w:space="0" w:color="auto"/>
        <w:bottom w:val="none" w:sz="0" w:space="0" w:color="auto"/>
        <w:right w:val="none" w:sz="0" w:space="0" w:color="auto"/>
      </w:divBdr>
    </w:div>
    <w:div w:id="1854806130">
      <w:bodyDiv w:val="1"/>
      <w:marLeft w:val="0"/>
      <w:marRight w:val="0"/>
      <w:marTop w:val="0"/>
      <w:marBottom w:val="0"/>
      <w:divBdr>
        <w:top w:val="none" w:sz="0" w:space="0" w:color="auto"/>
        <w:left w:val="none" w:sz="0" w:space="0" w:color="auto"/>
        <w:bottom w:val="none" w:sz="0" w:space="0" w:color="auto"/>
        <w:right w:val="none" w:sz="0" w:space="0" w:color="auto"/>
      </w:divBdr>
      <w:divsChild>
        <w:div w:id="403070945">
          <w:marLeft w:val="0"/>
          <w:marRight w:val="0"/>
          <w:marTop w:val="0"/>
          <w:marBottom w:val="0"/>
          <w:divBdr>
            <w:top w:val="none" w:sz="0" w:space="0" w:color="auto"/>
            <w:left w:val="none" w:sz="0" w:space="0" w:color="auto"/>
            <w:bottom w:val="none" w:sz="0" w:space="0" w:color="auto"/>
            <w:right w:val="none" w:sz="0" w:space="0" w:color="auto"/>
          </w:divBdr>
        </w:div>
        <w:div w:id="1374964246">
          <w:marLeft w:val="0"/>
          <w:marRight w:val="0"/>
          <w:marTop w:val="0"/>
          <w:marBottom w:val="0"/>
          <w:divBdr>
            <w:top w:val="none" w:sz="0" w:space="0" w:color="auto"/>
            <w:left w:val="none" w:sz="0" w:space="0" w:color="auto"/>
            <w:bottom w:val="none" w:sz="0" w:space="0" w:color="auto"/>
            <w:right w:val="none" w:sz="0" w:space="0" w:color="auto"/>
          </w:divBdr>
        </w:div>
        <w:div w:id="1510482435">
          <w:marLeft w:val="0"/>
          <w:marRight w:val="0"/>
          <w:marTop w:val="0"/>
          <w:marBottom w:val="0"/>
          <w:divBdr>
            <w:top w:val="none" w:sz="0" w:space="0" w:color="auto"/>
            <w:left w:val="none" w:sz="0" w:space="0" w:color="auto"/>
            <w:bottom w:val="none" w:sz="0" w:space="0" w:color="auto"/>
            <w:right w:val="none" w:sz="0" w:space="0" w:color="auto"/>
          </w:divBdr>
        </w:div>
        <w:div w:id="1513103312">
          <w:marLeft w:val="0"/>
          <w:marRight w:val="0"/>
          <w:marTop w:val="0"/>
          <w:marBottom w:val="0"/>
          <w:divBdr>
            <w:top w:val="none" w:sz="0" w:space="0" w:color="auto"/>
            <w:left w:val="none" w:sz="0" w:space="0" w:color="auto"/>
            <w:bottom w:val="none" w:sz="0" w:space="0" w:color="auto"/>
            <w:right w:val="none" w:sz="0" w:space="0" w:color="auto"/>
          </w:divBdr>
        </w:div>
        <w:div w:id="1871263447">
          <w:marLeft w:val="0"/>
          <w:marRight w:val="0"/>
          <w:marTop w:val="0"/>
          <w:marBottom w:val="0"/>
          <w:divBdr>
            <w:top w:val="none" w:sz="0" w:space="0" w:color="auto"/>
            <w:left w:val="none" w:sz="0" w:space="0" w:color="auto"/>
            <w:bottom w:val="none" w:sz="0" w:space="0" w:color="auto"/>
            <w:right w:val="none" w:sz="0" w:space="0" w:color="auto"/>
          </w:divBdr>
        </w:div>
      </w:divsChild>
    </w:div>
    <w:div w:id="1912764858">
      <w:bodyDiv w:val="1"/>
      <w:marLeft w:val="0"/>
      <w:marRight w:val="0"/>
      <w:marTop w:val="0"/>
      <w:marBottom w:val="0"/>
      <w:divBdr>
        <w:top w:val="none" w:sz="0" w:space="0" w:color="auto"/>
        <w:left w:val="none" w:sz="0" w:space="0" w:color="auto"/>
        <w:bottom w:val="none" w:sz="0" w:space="0" w:color="auto"/>
        <w:right w:val="none" w:sz="0" w:space="0" w:color="auto"/>
      </w:divBdr>
    </w:div>
    <w:div w:id="1982955482">
      <w:bodyDiv w:val="1"/>
      <w:marLeft w:val="0"/>
      <w:marRight w:val="0"/>
      <w:marTop w:val="0"/>
      <w:marBottom w:val="0"/>
      <w:divBdr>
        <w:top w:val="none" w:sz="0" w:space="0" w:color="auto"/>
        <w:left w:val="none" w:sz="0" w:space="0" w:color="auto"/>
        <w:bottom w:val="none" w:sz="0" w:space="0" w:color="auto"/>
        <w:right w:val="none" w:sz="0" w:space="0" w:color="auto"/>
      </w:divBdr>
    </w:div>
    <w:div w:id="19887748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sdg-predictions.streamlit.app/" TargetMode="Externa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hyperlink" Target="https://sdg-predictions.streamlit.app/" TargetMode="External"/><Relationship Id="rId68" Type="http://schemas.openxmlformats.org/officeDocument/2006/relationships/hyperlink" Target="https://council.science/publications/a-guide-to-sdg-interactions-from-science-to-implementation/" TargetMode="External"/><Relationship Id="rId84" Type="http://schemas.openxmlformats.org/officeDocument/2006/relationships/hyperlink" Target="https://docs.streamlit.io/" TargetMode="External"/><Relationship Id="rId89" Type="http://schemas.openxmlformats.org/officeDocument/2006/relationships/footer" Target="footer1.xml"/><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hyperlink" Target="https://doi.org/10.1007/978-3-030-78698-4" TargetMode="External"/><Relationship Id="rId74" Type="http://schemas.openxmlformats.org/officeDocument/2006/relationships/hyperlink" Target="https://doi.org/10.5281/zenodo.3509134" TargetMode="External"/><Relationship Id="rId79" Type="http://schemas.openxmlformats.org/officeDocument/2006/relationships/hyperlink" Target="https://dashboards.sdgindex.org/downloads" TargetMode="External"/><Relationship Id="rId5" Type="http://schemas.openxmlformats.org/officeDocument/2006/relationships/settings" Target="settings.xml"/><Relationship Id="rId90" Type="http://schemas.openxmlformats.org/officeDocument/2006/relationships/fontTable" Target="fontTable.xml"/><Relationship Id="rId14" Type="http://schemas.openxmlformats.org/officeDocument/2006/relationships/hyperlink" Target="https://dashboards.sdgindex.org/rankings" TargetMode="External"/><Relationship Id="rId22" Type="http://schemas.openxmlformats.org/officeDocument/2006/relationships/hyperlink" Target="https://github.com/sairam123-code/sdg-predictions-app/"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developers.arcgis.com/rest/services-reference/" TargetMode="External"/><Relationship Id="rId64" Type="http://schemas.openxmlformats.org/officeDocument/2006/relationships/hyperlink" Target="https://doi.org/10.3390/books978-3-03921-905-6" TargetMode="External"/><Relationship Id="rId69" Type="http://schemas.openxmlformats.org/officeDocument/2006/relationships/hyperlink" Target="https://code.visualstudio.com/" TargetMode="External"/><Relationship Id="rId77" Type="http://schemas.openxmlformats.org/officeDocument/2006/relationships/hyperlink" Target="https://www.python.org/" TargetMode="Externa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hyperlink" Target="https://platform.openai.com/" TargetMode="External"/><Relationship Id="rId80" Type="http://schemas.openxmlformats.org/officeDocument/2006/relationships/hyperlink" Target="https://www.kaggle.com/code/jeseacor/analyzing-global-sdg-indicators" TargetMode="External"/><Relationship Id="rId85" Type="http://schemas.openxmlformats.org/officeDocument/2006/relationships/hyperlink" Target="https://doi.org/10.4324/9781003285472"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goalscope.streamlit.app/"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doi.org/10.3390/su12176744" TargetMode="External"/><Relationship Id="rId67" Type="http://schemas.openxmlformats.org/officeDocument/2006/relationships/hyperlink" Target="https://doi.org/10.3390/su12208729" TargetMode="External"/><Relationship Id="rId20" Type="http://schemas.openxmlformats.org/officeDocument/2006/relationships/image" Target="media/image6.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hyperlink" Target="https://sdg-predictions.streamlit.app/" TargetMode="External"/><Relationship Id="rId70" Type="http://schemas.openxmlformats.org/officeDocument/2006/relationships/hyperlink" Target="https://doi.org/10.4324/9780429031700" TargetMode="External"/><Relationship Id="rId75" Type="http://schemas.openxmlformats.org/officeDocument/2006/relationships/hyperlink" Target="https://doi.org/10.14324/111.444/ucloe.000016" TargetMode="External"/><Relationship Id="rId83" Type="http://schemas.openxmlformats.org/officeDocument/2006/relationships/hyperlink" Target="https://www.stockholmresilience.org/research/research-news/2016-06-14-the-sdgs-wedding-cake.html?utm_source=chatgpt.com" TargetMode="External"/><Relationship Id="rId88" Type="http://schemas.openxmlformats.org/officeDocument/2006/relationships/hyperlink" Target="https://doi.org/10.4324/9781003497097" TargetMode="External"/><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ashboards.sdgindex.org/explorer/" TargetMode="External"/><Relationship Id="rId23" Type="http://schemas.openxmlformats.org/officeDocument/2006/relationships/hyperlink" Target="https://www.kaggle.com/code/sairamceka/sdg-analysis"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doi.org/10.5018/economics-ejournal.ja.2017-28" TargetMode="External"/><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yperlink" Target="https://doi.org/10.4324/9781003254683" TargetMode="External"/><Relationship Id="rId65" Type="http://schemas.openxmlformats.org/officeDocument/2006/relationships/hyperlink" Target="https://doi.org/10.1007/978-3-031-47382-1" TargetMode="External"/><Relationship Id="rId73" Type="http://schemas.openxmlformats.org/officeDocument/2006/relationships/hyperlink" Target="https://doi.org/10.1787/0666b085-en" TargetMode="External"/><Relationship Id="rId78" Type="http://schemas.openxmlformats.org/officeDocument/2006/relationships/hyperlink" Target="https://doi.org/10.25546/111909" TargetMode="External"/><Relationship Id="rId81" Type="http://schemas.openxmlformats.org/officeDocument/2006/relationships/hyperlink" Target="https://goalscope.streamlit.app/" TargetMode="External"/><Relationship Id="rId86" Type="http://schemas.openxmlformats.org/officeDocument/2006/relationships/hyperlink" Target="https://doi.org/10.1108/S1479-3598202210"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yperlink" Target="https://github.com/jeseacor/sdg_streamlit"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yperlink" Target="https://plotly.com/python/" TargetMode="External"/><Relationship Id="rId7" Type="http://schemas.openxmlformats.org/officeDocument/2006/relationships/footnotes" Target="footnotes.xml"/><Relationship Id="rId71" Type="http://schemas.openxmlformats.org/officeDocument/2006/relationships/hyperlink" Target="https://numpy.org/"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hyperlink" Target="https://doi.org/10.1038/s41586-020-2649-2" TargetMode="External"/><Relationship Id="rId87" Type="http://schemas.openxmlformats.org/officeDocument/2006/relationships/hyperlink" Target="https://unstats.un.org/SDGAPI/swagger/" TargetMode="External"/><Relationship Id="rId61" Type="http://schemas.openxmlformats.org/officeDocument/2006/relationships/hyperlink" Target="https://www.kaggle.com/code/sairamceka/sdg-analysis" TargetMode="External"/><Relationship Id="rId82" Type="http://schemas.openxmlformats.org/officeDocument/2006/relationships/hyperlink" Target="https://github.com/jeseacor/sdg_streamlit" TargetMode="External"/><Relationship Id="rId19" Type="http://schemas.openxmlformats.org/officeDocument/2006/relationships/hyperlink" Target="https://www.kaggle.com/code/jeseacor/analyzing-global-sdg-indicator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CC0EFFD43943159414349727199466"/>
        <w:category>
          <w:name w:val="General"/>
          <w:gallery w:val="placeholder"/>
        </w:category>
        <w:types>
          <w:type w:val="bbPlcHdr"/>
        </w:types>
        <w:behaviors>
          <w:behavior w:val="content"/>
        </w:behaviors>
        <w:guid w:val="{A39D3223-56A7-4ED5-A5DE-6AA0E24684A8}"/>
      </w:docPartPr>
      <w:docPartBody>
        <w:p w:rsidR="00A1079F" w:rsidRDefault="00A1079F" w:rsidP="00A1079F">
          <w:pPr>
            <w:pStyle w:val="22CC0EFFD43943159414349727199466"/>
          </w:pPr>
          <w:r>
            <w:rPr>
              <w:rFonts w:asciiTheme="majorHAnsi" w:hAnsiTheme="majorHAnsi"/>
              <w:color w:val="FFFFFF" w:themeColor="background1"/>
              <w:sz w:val="96"/>
              <w:szCs w:val="96"/>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9E2"/>
    <w:rsid w:val="00034A6C"/>
    <w:rsid w:val="00193ADE"/>
    <w:rsid w:val="001D6D8A"/>
    <w:rsid w:val="002F5463"/>
    <w:rsid w:val="00337045"/>
    <w:rsid w:val="00396AD2"/>
    <w:rsid w:val="00397C76"/>
    <w:rsid w:val="003C49E2"/>
    <w:rsid w:val="003F4A48"/>
    <w:rsid w:val="00466510"/>
    <w:rsid w:val="00497E04"/>
    <w:rsid w:val="005D33AB"/>
    <w:rsid w:val="006129BB"/>
    <w:rsid w:val="00634DF8"/>
    <w:rsid w:val="007029C5"/>
    <w:rsid w:val="00715A64"/>
    <w:rsid w:val="00743EC1"/>
    <w:rsid w:val="008C74CF"/>
    <w:rsid w:val="008E01C3"/>
    <w:rsid w:val="009D17E3"/>
    <w:rsid w:val="00A1079F"/>
    <w:rsid w:val="00A3176C"/>
    <w:rsid w:val="00A769A9"/>
    <w:rsid w:val="00B853F1"/>
    <w:rsid w:val="00B85DE7"/>
    <w:rsid w:val="00BA5D2C"/>
    <w:rsid w:val="00C21F8A"/>
    <w:rsid w:val="00C93899"/>
    <w:rsid w:val="00DB24EC"/>
    <w:rsid w:val="00DF032D"/>
    <w:rsid w:val="00EA6999"/>
    <w:rsid w:val="00F40CA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9E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49E2"/>
    <w:rPr>
      <w:color w:val="666666"/>
    </w:rPr>
  </w:style>
  <w:style w:type="paragraph" w:customStyle="1" w:styleId="22CC0EFFD43943159414349727199466">
    <w:name w:val="22CC0EFFD43943159414349727199466"/>
    <w:rsid w:val="00A10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19210</TotalTime>
  <Pages>45</Pages>
  <Words>12380</Words>
  <Characters>72423</Characters>
  <Application>Microsoft Office Word</Application>
  <DocSecurity>0</DocSecurity>
  <Lines>1207</Lines>
  <Paragraphs>441</Paragraphs>
  <ScaleCrop>false</ScaleCrop>
  <HeadingPairs>
    <vt:vector size="2" baseType="variant">
      <vt:variant>
        <vt:lpstr>Title</vt:lpstr>
      </vt:variant>
      <vt:variant>
        <vt:i4>1</vt:i4>
      </vt:variant>
    </vt:vector>
  </HeadingPairs>
  <TitlesOfParts>
    <vt:vector size="1" baseType="lpstr">
      <vt:lpstr>The Global SDG Landscape: Performance, Momentum, and Structural Links</vt:lpstr>
    </vt:vector>
  </TitlesOfParts>
  <Manager/>
  <Company/>
  <LinksUpToDate>false</LinksUpToDate>
  <CharactersWithSpaces>84362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Global SDG Landscape: Performance, Momentum, and Structural Links</dc:title>
  <dc:subject/>
  <dc:creator>J.E. Seacor</dc:creator>
  <cp:keywords/>
  <dc:description/>
  <cp:lastModifiedBy>J.E. Seacor</cp:lastModifiedBy>
  <cp:revision>1894</cp:revision>
  <cp:lastPrinted>2025-10-14T12:34:00Z</cp:lastPrinted>
  <dcterms:created xsi:type="dcterms:W3CDTF">2025-06-17T22:27:00Z</dcterms:created>
  <dcterms:modified xsi:type="dcterms:W3CDTF">2025-10-16T22:49:00Z</dcterms:modified>
  <cp:category>158.888 Information Technology Professional Project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d9e4d68-54d0-40a5-8c9a-85a36c87352c_Enabled">
    <vt:lpwstr>true</vt:lpwstr>
  </property>
  <property fmtid="{D5CDD505-2E9C-101B-9397-08002B2CF9AE}" pid="3" name="MSIP_Label_bd9e4d68-54d0-40a5-8c9a-85a36c87352c_SetDate">
    <vt:lpwstr>2025-06-17T22:27:27Z</vt:lpwstr>
  </property>
  <property fmtid="{D5CDD505-2E9C-101B-9397-08002B2CF9AE}" pid="4" name="MSIP_Label_bd9e4d68-54d0-40a5-8c9a-85a36c87352c_Method">
    <vt:lpwstr>Standard</vt:lpwstr>
  </property>
  <property fmtid="{D5CDD505-2E9C-101B-9397-08002B2CF9AE}" pid="5" name="MSIP_Label_bd9e4d68-54d0-40a5-8c9a-85a36c87352c_Name">
    <vt:lpwstr>Unclassified</vt:lpwstr>
  </property>
  <property fmtid="{D5CDD505-2E9C-101B-9397-08002B2CF9AE}" pid="6" name="MSIP_Label_bd9e4d68-54d0-40a5-8c9a-85a36c87352c_SiteId">
    <vt:lpwstr>388728e1-bbd0-4378-98dc-f8682e644300</vt:lpwstr>
  </property>
  <property fmtid="{D5CDD505-2E9C-101B-9397-08002B2CF9AE}" pid="7" name="MSIP_Label_bd9e4d68-54d0-40a5-8c9a-85a36c87352c_ActionId">
    <vt:lpwstr>f8abf47a-d409-4f37-8966-7f91be6cc70d</vt:lpwstr>
  </property>
  <property fmtid="{D5CDD505-2E9C-101B-9397-08002B2CF9AE}" pid="8" name="MSIP_Label_bd9e4d68-54d0-40a5-8c9a-85a36c87352c_ContentBits">
    <vt:lpwstr>0</vt:lpwstr>
  </property>
  <property fmtid="{D5CDD505-2E9C-101B-9397-08002B2CF9AE}" pid="9" name="MSIP_Label_bd9e4d68-54d0-40a5-8c9a-85a36c87352c_Tag">
    <vt:lpwstr>10, 3, 0, 1</vt:lpwstr>
  </property>
</Properties>
</file>