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4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Hybrid Learning-Based Digital Twin for Machining Process:</w:t>
        <w:br w:type="textWrapping"/>
        <w:t xml:space="preserve">Methodology, Implementation, and Results</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Sai</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bCs w:val="0"/>
          <w:i w:val="0"/>
          <w:iCs w:val="0"/>
          <w:sz w:val="22"/>
          <w:szCs w:val="22"/>
          <w:rtl w:val="0"/>
        </w:rPr>
        <w:t xml:space="preserve">am Jinkala</w:t>
      </w:r>
      <w:r w:rsidDel="00000000" w:rsidR="00000000" w:rsidRPr="00000000">
        <w:rPr>
          <w:rtl w:val="0"/>
        </w:rPr>
      </w:r>
    </w:p>
    <w:p w:rsidR="00000000" w:rsidDel="00000000" w:rsidP="00000000" w:rsidRDefault="00000000" w:rsidRPr="00000000" w14:paraId="00000003">
      <w:pPr>
        <w:spacing w:after="200" w:before="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IM41081 </w:t>
      </w:r>
      <w:r w:rsidDel="00000000" w:rsidR="00000000" w:rsidRPr="00000000">
        <w:rPr>
          <w:rFonts w:ascii="Times New Roman" w:cs="Times New Roman" w:eastAsia="Times New Roman" w:hAnsi="Times New Roman"/>
          <w:b w:val="0"/>
          <w:bCs w:val="0"/>
          <w:i w:val="1"/>
          <w:iCs w:val="1"/>
          <w:sz w:val="18"/>
          <w:szCs w:val="18"/>
          <w:rtl w:val="0"/>
        </w:rPr>
        <w:t xml:space="preserve">Project </w:t>
      </w:r>
      <w:r w:rsidDel="00000000" w:rsidR="00000000" w:rsidRPr="00000000">
        <w:rPr>
          <w:rFonts w:ascii="Times New Roman" w:cs="Times New Roman" w:eastAsia="Times New Roman" w:hAnsi="Times New Roman"/>
          <w:i w:val="1"/>
          <w:iCs w:val="1"/>
          <w:sz w:val="18"/>
          <w:szCs w:val="18"/>
          <w:rtl w:val="0"/>
        </w:rPr>
        <w:t xml:space="preserve">I</w:t>
      </w:r>
      <w:r w:rsidDel="00000000" w:rsidR="00000000" w:rsidRPr="00000000">
        <w:rPr>
          <w:rFonts w:ascii="Times New Roman" w:cs="Times New Roman" w:eastAsia="Times New Roman" w:hAnsi="Times New Roman"/>
          <w:b w:val="0"/>
          <w:bCs w:val="0"/>
          <w:i w:val="1"/>
          <w:iCs w:val="1"/>
          <w:sz w:val="18"/>
          <w:szCs w:val="18"/>
          <w:rtl w:val="0"/>
        </w:rPr>
        <w:t xml:space="preserve">mplementation </w:t>
      </w:r>
      <w:r w:rsidDel="00000000" w:rsidR="00000000" w:rsidRPr="00000000">
        <w:rPr>
          <w:rFonts w:ascii="Times New Roman" w:cs="Times New Roman" w:eastAsia="Times New Roman" w:hAnsi="Times New Roman"/>
          <w:i w:val="1"/>
          <w:iCs w:val="1"/>
          <w:sz w:val="18"/>
          <w:szCs w:val="18"/>
          <w:rtl w:val="0"/>
        </w:rPr>
        <w:t xml:space="preserve">R</w:t>
      </w:r>
      <w:r w:rsidDel="00000000" w:rsidR="00000000" w:rsidRPr="00000000">
        <w:rPr>
          <w:rFonts w:ascii="Times New Roman" w:cs="Times New Roman" w:eastAsia="Times New Roman" w:hAnsi="Times New Roman"/>
          <w:b w:val="0"/>
          <w:bCs w:val="0"/>
          <w:i w:val="1"/>
          <w:iCs w:val="1"/>
          <w:sz w:val="18"/>
          <w:szCs w:val="18"/>
          <w:rtl w:val="0"/>
        </w:rPr>
        <w:t xml:space="preserve">eport</w:t>
      </w:r>
      <w:r w:rsidDel="00000000" w:rsidR="00000000" w:rsidRPr="00000000">
        <w:rPr>
          <w:rtl w:val="0"/>
        </w:rPr>
      </w:r>
    </w:p>
    <w:p w:rsidR="00000000" w:rsidDel="00000000" w:rsidP="00000000" w:rsidRDefault="00000000" w:rsidRPr="00000000" w14:paraId="00000004">
      <w:pPr>
        <w:spacing w:after="4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Abstract</w:t>
      </w:r>
      <w:r w:rsidDel="00000000" w:rsidR="00000000" w:rsidRPr="00000000">
        <w:rPr>
          <w:rtl w:val="0"/>
        </w:rPr>
      </w:r>
    </w:p>
    <w:p w:rsidR="00000000" w:rsidDel="00000000" w:rsidP="00000000" w:rsidRDefault="00000000" w:rsidRPr="00000000" w14:paraId="00000005">
      <w:pPr>
        <w:spacing w:after="80" w:before="0" w:line="240" w:lineRule="auto"/>
        <w:jc w:val="both"/>
        <w:rPr/>
      </w:pPr>
      <w:r w:rsidDel="00000000" w:rsidR="00000000" w:rsidRPr="00000000">
        <w:rPr>
          <w:rFonts w:ascii="Times New Roman" w:cs="Times New Roman" w:eastAsia="Times New Roman" w:hAnsi="Times New Roman"/>
          <w:b w:val="0"/>
          <w:bCs w:val="0"/>
          <w:i w:val="0"/>
          <w:iCs w:val="0"/>
          <w:sz w:val="19"/>
          <w:szCs w:val="19"/>
          <w:rtl w:val="0"/>
        </w:rPr>
        <w:t xml:space="preserve">This report presents a compact implementation study of a hybrid learning-based digital twin for machining process quality monitoring, developed in the spirit of Huang et al. The work combines a domain-knowledge force model, a residual force-learning stage, a virtual metrology style process model, and a residual quality model in a single reproducible pipeline. A key extension beyond the initial analytical pipeline is the addition of a geometry-level physical twin in which a virtual cutter removes material on a workpiece height map, enabling direct comparison between physical and digital surface evolution over time. Experimental results show progressive reduction in prediction error from the physics-only baseline to the hybrid force-quality chain, while the physical twin layer improves engineering interpretability by converting time-series discrepancies into localized geometric residuals. The implementation is intended as a methodological reproduction with structured synthetic data and reproducible outputs rather than an exact industrial plant replica.</w:t>
      </w:r>
      <w:r w:rsidDel="00000000" w:rsidR="00000000" w:rsidRPr="00000000">
        <w:rPr>
          <w:rtl w:val="0"/>
        </w:rPr>
      </w:r>
    </w:p>
    <w:p w:rsidR="00000000" w:rsidDel="00000000" w:rsidP="00000000" w:rsidRDefault="00000000" w:rsidRPr="00000000" w14:paraId="00000006">
      <w:pPr>
        <w:spacing w:after="160" w:before="0" w:line="240" w:lineRule="auto"/>
        <w:jc w:val="left"/>
        <w:rPr/>
        <w:sectPr>
          <w:pgSz w:h="16838" w:w="11906" w:orient="portrait"/>
          <w:pgMar w:bottom="907" w:top="907" w:left="850" w:right="850" w:header="720" w:footer="720"/>
          <w:pgNumType w:start="1"/>
        </w:sectPr>
      </w:pPr>
      <w:r w:rsidDel="00000000" w:rsidR="00000000" w:rsidRPr="00000000">
        <w:rPr>
          <w:rFonts w:ascii="Times New Roman" w:cs="Times New Roman" w:eastAsia="Times New Roman" w:hAnsi="Times New Roman"/>
          <w:b w:val="1"/>
          <w:bCs w:val="1"/>
          <w:i w:val="0"/>
          <w:iCs w:val="0"/>
          <w:sz w:val="19"/>
          <w:szCs w:val="19"/>
          <w:rtl w:val="0"/>
        </w:rPr>
        <w:t xml:space="preserve">Keywords: </w:t>
      </w:r>
      <w:r w:rsidDel="00000000" w:rsidR="00000000" w:rsidRPr="00000000">
        <w:rPr>
          <w:rFonts w:ascii="Times New Roman" w:cs="Times New Roman" w:eastAsia="Times New Roman" w:hAnsi="Times New Roman"/>
          <w:b w:val="0"/>
          <w:bCs w:val="0"/>
          <w:i w:val="1"/>
          <w:iCs w:val="1"/>
          <w:sz w:val="19"/>
          <w:szCs w:val="19"/>
          <w:rtl w:val="0"/>
        </w:rPr>
        <w:t xml:space="preserve">Digital twin, Hybrid learning, Machining quality, Virtual metrology, Physics-guided machine learning, Uncertainty propagation</w:t>
      </w:r>
      <w:r w:rsidDel="00000000" w:rsidR="00000000" w:rsidRPr="00000000">
        <w:rPr>
          <w:rtl w:val="0"/>
        </w:rPr>
      </w:r>
    </w:p>
    <w:p w:rsidR="00000000" w:rsidDel="00000000" w:rsidP="00000000" w:rsidRDefault="00000000" w:rsidRPr="00000000" w14:paraId="00000007">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1. Introduction</w:t>
      </w:r>
      <w:r w:rsidDel="00000000" w:rsidR="00000000" w:rsidRPr="00000000">
        <w:rPr>
          <w:rtl w:val="0"/>
        </w:rPr>
      </w:r>
    </w:p>
    <w:p w:rsidR="00000000" w:rsidDel="00000000" w:rsidP="00000000" w:rsidRDefault="00000000" w:rsidRPr="00000000" w14:paraId="00000008">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Digital twins for machining are expected to do more than mirror signals: they should explain process behavior, estimate product quality, and support corrective action while remaining physically meaningful. In practice, this is difficult because machining data are heterogeneous, uncertainties are unavoidable, and purely analytical models rarely capture all transient effects generated by friction variation, tool–work interactions, local stiffness changes, and unmodeled machine dynamics. Purely data-driven models, by contrast, can provide strong regression performance but often sacrifice interpretability and robustness when operating conditions shift.</w:t>
      </w:r>
      <w:r w:rsidDel="00000000" w:rsidR="00000000" w:rsidRPr="00000000">
        <w:rPr>
          <w:rtl w:val="0"/>
        </w:rPr>
      </w:r>
    </w:p>
    <w:p w:rsidR="00000000" w:rsidDel="00000000" w:rsidP="00000000" w:rsidRDefault="00000000" w:rsidRPr="00000000" w14:paraId="00000009">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A practical compromise is a hybrid learning strategy in which physical priors define the structure of the digital twin and machine learning compensates residual uncertainty. The reference framework of Huang et al. follows precisely this logic by combining domain knowledge with residual learning across the process chain. The present work implements that philosophy as an executable local prototype for machining quality prediction and twin visualization.</w:t>
      </w:r>
      <w:r w:rsidDel="00000000" w:rsidR="00000000" w:rsidRPr="00000000">
        <w:rPr>
          <w:rtl w:val="0"/>
        </w:rPr>
      </w:r>
    </w:p>
    <w:p w:rsidR="00000000" w:rsidDel="00000000" w:rsidP="00000000" w:rsidRDefault="00000000" w:rsidRPr="00000000" w14:paraId="0000000A">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first project version produced training outputs, CSV files, and dashboard-style plots. While useful, that version still represented the twin mainly as a predictive analytics system. The current version extends the implementation toward a more physical digital twin by simulating material removal on a workpiece surface. A virtual cutter moves along the machining trace and updates a dexel-like height map for both a “physical” branch and a “digital” branch. Their difference is visualized as a spatial residual field, allowing model disagreement to be interpreted directly in process space rather than only through scalar metrics.</w:t>
      </w:r>
      <w:r w:rsidDel="00000000" w:rsidR="00000000" w:rsidRPr="00000000">
        <w:rPr>
          <w:rtl w:val="0"/>
        </w:rPr>
      </w:r>
    </w:p>
    <w:p w:rsidR="00000000" w:rsidDel="00000000" w:rsidP="00000000" w:rsidRDefault="00000000" w:rsidRPr="00000000" w14:paraId="0000000B">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goals of this report are threefold: first, to summarize the modelling chain in a compact journal format; second, to describe the implementation choices that made the workflow reproducible; and third, to discuss the quantitative and qualitative value of adding the physical twin simulation layer.</w:t>
      </w:r>
      <w:r w:rsidDel="00000000" w:rsidR="00000000" w:rsidRPr="00000000">
        <w:rPr>
          <w:rtl w:val="0"/>
        </w:rPr>
      </w:r>
    </w:p>
    <w:p w:rsidR="00000000" w:rsidDel="00000000" w:rsidP="00000000" w:rsidRDefault="00000000" w:rsidRPr="00000000" w14:paraId="0000000C">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 Hybrid Modelling Strategy</w:t>
      </w:r>
      <w:r w:rsidDel="00000000" w:rsidR="00000000" w:rsidRPr="00000000">
        <w:rPr>
          <w:rtl w:val="0"/>
        </w:rPr>
      </w:r>
    </w:p>
    <w:p w:rsidR="00000000" w:rsidDel="00000000" w:rsidP="00000000" w:rsidRDefault="00000000" w:rsidRPr="00000000" w14:paraId="0000000D">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2.1 Digital thread representation</w:t>
      </w:r>
      <w:r w:rsidDel="00000000" w:rsidR="00000000" w:rsidRPr="00000000">
        <w:rPr>
          <w:rtl w:val="0"/>
        </w:rPr>
      </w:r>
    </w:p>
    <w:p w:rsidR="00000000" w:rsidDel="00000000" w:rsidP="00000000" w:rsidRDefault="00000000" w:rsidRPr="00000000" w14:paraId="0000000E">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Because proprietary industrial data streams such as NC/CLSF programs, AP242 semantic features, and synchronized CMM inspection traces were unavailable, the project uses synthetic but structured digital-thread data. The generated dataset preserves the logical relationships of a machining process chain: trajectory coordinates, signal proxies from machine behavior, force-related states, and quality measurements are linked through a shared temporal and spatial frame. This ensures that feature-level quality estimates remain traceable to the underlying process context.</w:t>
      </w:r>
      <w:r w:rsidDel="00000000" w:rsidR="00000000" w:rsidRPr="00000000">
        <w:rPr>
          <w:rtl w:val="0"/>
        </w:rPr>
      </w:r>
    </w:p>
    <w:p w:rsidR="00000000" w:rsidDel="00000000" w:rsidP="00000000" w:rsidRDefault="00000000" w:rsidRPr="00000000" w14:paraId="0000000F">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trace stream contains the machining path, velocity and acceleration surrogates, spindle or axis current proxies, and modeled force states. The quality stream contains sampled path points and corresponding inspection-like measurements. Although simulated, this structure is sufficient to test whether the hybrid twin pipeline is internally consistent and whether uncertainty can be propagated meaningfully from process states to quality outcomes.</w:t>
      </w:r>
      <w:r w:rsidDel="00000000" w:rsidR="00000000" w:rsidRPr="00000000">
        <w:rPr>
          <w:rtl w:val="0"/>
        </w:rPr>
      </w:r>
    </w:p>
    <w:p w:rsidR="00000000" w:rsidDel="00000000" w:rsidP="00000000" w:rsidRDefault="00000000" w:rsidRPr="00000000" w14:paraId="00000010">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2.2 Physics-guided force stage</w:t>
      </w:r>
      <w:r w:rsidDel="00000000" w:rsidR="00000000" w:rsidRPr="00000000">
        <w:rPr>
          <w:rtl w:val="0"/>
        </w:rPr>
      </w:r>
    </w:p>
    <w:p w:rsidR="00000000" w:rsidDel="00000000" w:rsidP="00000000" w:rsidRDefault="00000000" w:rsidRPr="00000000" w14:paraId="00000011">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first stage of the model chain estimates process force using a domain-knowledge formulation inspired by the reference framework:</w:t>
      </w:r>
      <w:r w:rsidDel="00000000" w:rsidR="00000000" w:rsidRPr="00000000">
        <w:rPr>
          <w:rtl w:val="0"/>
        </w:rPr>
      </w:r>
    </w:p>
    <w:p w:rsidR="00000000" w:rsidDel="00000000" w:rsidP="00000000" w:rsidRDefault="00000000" w:rsidRPr="00000000" w14:paraId="00000012">
      <w:pPr>
        <w:spacing w:after="40" w:before="0" w:line="240" w:lineRule="auto"/>
        <w:jc w:val="center"/>
        <w:rPr/>
      </w:pPr>
      <w:r w:rsidDel="00000000" w:rsidR="00000000" w:rsidRPr="00000000">
        <w:rPr>
          <w:rFonts w:ascii="Cardo" w:cs="Cardo" w:eastAsia="Cardo" w:hAnsi="Cardo"/>
          <w:b w:val="0"/>
          <w:bCs w:val="0"/>
          <w:i w:val="1"/>
          <w:iCs w:val="1"/>
          <w:sz w:val="19"/>
          <w:szCs w:val="19"/>
          <w:rtl w:val="0"/>
        </w:rPr>
        <w:t xml:space="preserve">Fphy = kenc(x) [δx − ffric(x, ẋ) − facc(ẍ) − fsp(x)]</w:t>
      </w:r>
      <w:r w:rsidDel="00000000" w:rsidR="00000000" w:rsidRPr="00000000">
        <w:rPr>
          <w:rtl w:val="0"/>
        </w:rPr>
      </w:r>
    </w:p>
    <w:p w:rsidR="00000000" w:rsidDel="00000000" w:rsidP="00000000" w:rsidRDefault="00000000" w:rsidRPr="00000000" w14:paraId="00000013">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Here, kenc(x) denotes a position-dependent stiffness or encoder-related scaling term; ffric, facc, and fsp represent frictional, acceleration-related, and position-specific effects respectively. This formulation gives the twin a physically interpretable backbone: predicted force is tied to causal process variables rather than being inferred as a black box.</w:t>
      </w:r>
      <w:r w:rsidDel="00000000" w:rsidR="00000000" w:rsidRPr="00000000">
        <w:rPr>
          <w:rtl w:val="0"/>
        </w:rPr>
      </w:r>
    </w:p>
    <w:p w:rsidR="00000000" w:rsidDel="00000000" w:rsidP="00000000" w:rsidRDefault="00000000" w:rsidRPr="00000000" w14:paraId="00000014">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However, any practical machining environment contains residual behavior that such a model cannot fully capture. Changes in local engagement conditions, parameter drift, numerical approximation, and signal noise all introduce systematic mismatch. For that reason, the force stage is extended with a residual learning component.</w:t>
      </w:r>
      <w:r w:rsidDel="00000000" w:rsidR="00000000" w:rsidRPr="00000000">
        <w:rPr>
          <w:rtl w:val="0"/>
        </w:rPr>
      </w:r>
    </w:p>
    <w:p w:rsidR="00000000" w:rsidDel="00000000" w:rsidP="00000000" w:rsidRDefault="00000000" w:rsidRPr="00000000" w14:paraId="00000015">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 Hybrid residual force learning</w:t>
      </w:r>
      <w:r w:rsidDel="00000000" w:rsidR="00000000" w:rsidRPr="00000000">
        <w:rPr>
          <w:rtl w:val="0"/>
        </w:rPr>
      </w:r>
    </w:p>
    <w:p w:rsidR="00000000" w:rsidDel="00000000" w:rsidP="00000000" w:rsidRDefault="00000000" w:rsidRPr="00000000" w14:paraId="00000016">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hybrid force estimate is written as</w:t>
      </w:r>
      <w:r w:rsidDel="00000000" w:rsidR="00000000" w:rsidRPr="00000000">
        <w:rPr>
          <w:rtl w:val="0"/>
        </w:rPr>
      </w:r>
    </w:p>
    <w:p w:rsidR="00000000" w:rsidDel="00000000" w:rsidP="00000000" w:rsidRDefault="00000000" w:rsidRPr="00000000" w14:paraId="00000017">
      <w:pPr>
        <w:spacing w:after="40" w:before="0" w:line="240" w:lineRule="auto"/>
        <w:jc w:val="center"/>
        <w:rPr/>
      </w:pPr>
      <w:r w:rsidDel="00000000" w:rsidR="00000000" w:rsidRPr="00000000">
        <w:rPr>
          <w:rFonts w:ascii="Times New Roman" w:cs="Times New Roman" w:eastAsia="Times New Roman" w:hAnsi="Times New Roman"/>
          <w:b w:val="0"/>
          <w:bCs w:val="0"/>
          <w:i w:val="1"/>
          <w:iCs w:val="1"/>
          <w:sz w:val="19"/>
          <w:szCs w:val="19"/>
          <w:rtl w:val="0"/>
        </w:rPr>
        <w:t xml:space="preserve">F̂ = Fphy + ΔFNN</w:t>
      </w:r>
      <w:r w:rsidDel="00000000" w:rsidR="00000000" w:rsidRPr="00000000">
        <w:rPr>
          <w:rtl w:val="0"/>
        </w:rPr>
      </w:r>
    </w:p>
    <w:p w:rsidR="00000000" w:rsidDel="00000000" w:rsidP="00000000" w:rsidRDefault="00000000" w:rsidRPr="00000000" w14:paraId="00000018">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where ΔFNN is learned from machine-internal observations. The residual model is sequence-aware so that short-term temporal dependencies in the trace can be exploited. This is important because machining deviations often depend not only on the current position but also on the recent dynamic history of the tool path. Training minimizes the mean-squared discrepancy between sensor-equivalent force values and the hybrid estimate.</w:t>
      </w:r>
      <w:r w:rsidDel="00000000" w:rsidR="00000000" w:rsidRPr="00000000">
        <w:rPr>
          <w:rtl w:val="0"/>
        </w:rPr>
      </w:r>
    </w:p>
    <w:p w:rsidR="00000000" w:rsidDel="00000000" w:rsidP="00000000" w:rsidRDefault="00000000" w:rsidRPr="00000000" w14:paraId="00000019">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2.4 Virtual metrology and uncertainty propagation</w:t>
      </w:r>
      <w:r w:rsidDel="00000000" w:rsidR="00000000" w:rsidRPr="00000000">
        <w:rPr>
          <w:rtl w:val="0"/>
        </w:rPr>
      </w:r>
    </w:p>
    <w:p w:rsidR="00000000" w:rsidDel="00000000" w:rsidP="00000000" w:rsidRDefault="00000000" w:rsidRPr="00000000" w14:paraId="0000001A">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next stage transforms force and process-state information into predicted quality. A VMME-style operator maps trajectory deviation, engagement context, and feature-path state into a path-wise quality estimate,</w:t>
      </w:r>
      <w:r w:rsidDel="00000000" w:rsidR="00000000" w:rsidRPr="00000000">
        <w:rPr>
          <w:rtl w:val="0"/>
        </w:rPr>
      </w:r>
    </w:p>
    <w:p w:rsidR="00000000" w:rsidDel="00000000" w:rsidP="00000000" w:rsidRDefault="00000000" w:rsidRPr="00000000" w14:paraId="0000001B">
      <w:pPr>
        <w:spacing w:after="40" w:before="0" w:line="240" w:lineRule="auto"/>
        <w:jc w:val="center"/>
        <w:rPr/>
      </w:pPr>
      <w:r w:rsidDel="00000000" w:rsidR="00000000" w:rsidRPr="00000000">
        <w:rPr>
          <w:rFonts w:ascii="Times New Roman" w:cs="Times New Roman" w:eastAsia="Times New Roman" w:hAnsi="Times New Roman"/>
          <w:b w:val="0"/>
          <w:bCs w:val="0"/>
          <w:i w:val="1"/>
          <w:iCs w:val="1"/>
          <w:sz w:val="19"/>
          <w:szCs w:val="19"/>
          <w:rtl w:val="0"/>
        </w:rPr>
        <w:t xml:space="preserve">Qk = μ[(xk, Δxk), Ck, Vk]</w:t>
      </w:r>
      <w:r w:rsidDel="00000000" w:rsidR="00000000" w:rsidRPr="00000000">
        <w:rPr>
          <w:rtl w:val="0"/>
        </w:rPr>
      </w:r>
    </w:p>
    <w:p w:rsidR="00000000" w:rsidDel="00000000" w:rsidP="00000000" w:rsidRDefault="00000000" w:rsidRPr="00000000" w14:paraId="0000001C">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where μ(·) represents a virtual metrology operator and Ck and Vk denote contextual and process variables. In engineering terms, the process model asks how local deviations in motion and compliance translate into measurable surface or geometry deviations.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6294438" cy="165328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94438" cy="1653286"/>
                    </a:xfrm>
                    <a:prstGeom prst="rect"/>
                    <a:ln/>
                  </pic:spPr>
                </pic:pic>
              </a:graphicData>
            </a:graphic>
          </wp:anchor>
        </w:drawing>
      </w:r>
    </w:p>
    <w:p w:rsidR="00000000" w:rsidDel="00000000" w:rsidP="00000000" w:rsidRDefault="00000000" w:rsidRPr="00000000" w14:paraId="0000001D">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An important contribution of the implementation is explicit uncertainty propagation. Since both force estimates and effective stiffness are uncertain, the quality model is evaluated under upper and lower combinations of these uncertainties to obtain a confidence band. This gives the twin a decision-support dimension: instead of returning only a single quality value, it also indicates how much trust should be placed in the estimate.</w:t>
      </w:r>
      <w:r w:rsidDel="00000000" w:rsidR="00000000" w:rsidRPr="00000000">
        <w:rPr>
          <w:rtl w:val="0"/>
        </w:rPr>
      </w:r>
    </w:p>
    <w:p w:rsidR="00000000" w:rsidDel="00000000" w:rsidP="00000000" w:rsidRDefault="00000000" w:rsidRPr="00000000" w14:paraId="0000001E">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2.5 Residual quality learning</w:t>
      </w:r>
      <w:r w:rsidDel="00000000" w:rsidR="00000000" w:rsidRPr="00000000">
        <w:rPr>
          <w:rtl w:val="0"/>
        </w:rPr>
      </w:r>
    </w:p>
    <w:p w:rsidR="00000000" w:rsidDel="00000000" w:rsidP="00000000" w:rsidRDefault="00000000" w:rsidRPr="00000000" w14:paraId="0000001F">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Even after process-chain propagation, systematic error remains. A final hybrid stage therefore learns the residual between the model-based quality estimate and the inspection-equivalent target:</w:t>
      </w:r>
      <w:r w:rsidDel="00000000" w:rsidR="00000000" w:rsidRPr="00000000">
        <w:rPr>
          <w:rtl w:val="0"/>
        </w:rPr>
      </w:r>
    </w:p>
    <w:p w:rsidR="00000000" w:rsidDel="00000000" w:rsidP="00000000" w:rsidRDefault="00000000" w:rsidRPr="00000000" w14:paraId="00000020">
      <w:pPr>
        <w:spacing w:after="40" w:before="0" w:line="240" w:lineRule="auto"/>
        <w:jc w:val="center"/>
        <w:rPr/>
      </w:pPr>
      <w:r w:rsidDel="00000000" w:rsidR="00000000" w:rsidRPr="00000000">
        <w:rPr>
          <w:rFonts w:ascii="Times New Roman" w:cs="Times New Roman" w:eastAsia="Times New Roman" w:hAnsi="Times New Roman"/>
          <w:b w:val="0"/>
          <w:bCs w:val="0"/>
          <w:i w:val="1"/>
          <w:iCs w:val="1"/>
          <w:sz w:val="19"/>
          <w:szCs w:val="19"/>
          <w:rtl w:val="0"/>
        </w:rPr>
        <w:t xml:space="preserve">Q̂ = Qphy + ΔQNN</w:t>
      </w:r>
      <w:r w:rsidDel="00000000" w:rsidR="00000000" w:rsidRPr="00000000">
        <w:rPr>
          <w:rtl w:val="0"/>
        </w:rPr>
      </w:r>
    </w:p>
    <w:p w:rsidR="00000000" w:rsidDel="00000000" w:rsidP="00000000" w:rsidRDefault="00000000" w:rsidRPr="00000000" w14:paraId="00000021">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This residual quality model uses temporal process features together with spatial coordinates. Conceptually, it plays the same role at the quality level that the residual force learner plays at the process level: the physical model provides structure, while learning captures persistent mismatch left unexplained by first-principles approximations.</w:t>
      </w:r>
      <w:r w:rsidDel="00000000" w:rsidR="00000000" w:rsidRPr="00000000">
        <w:rPr>
          <w:rtl w:val="0"/>
        </w:rPr>
      </w:r>
    </w:p>
    <w:p w:rsidR="00000000" w:rsidDel="00000000" w:rsidP="00000000" w:rsidRDefault="00000000" w:rsidRPr="00000000" w14:paraId="00000022">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3. Implementation and Physical Twin Realization</w:t>
      </w:r>
      <w:r w:rsidDel="00000000" w:rsidR="00000000" w:rsidRPr="00000000">
        <w:rPr>
          <w:rtl w:val="0"/>
        </w:rPr>
      </w:r>
    </w:p>
    <w:p w:rsidR="00000000" w:rsidDel="00000000" w:rsidP="00000000" w:rsidRDefault="00000000" w:rsidRPr="00000000" w14:paraId="00000023">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3.1 Software organization</w:t>
      </w:r>
      <w:r w:rsidDel="00000000" w:rsidR="00000000" w:rsidRPr="00000000">
        <w:rPr>
          <w:rtl w:val="0"/>
        </w:rPr>
      </w:r>
    </w:p>
    <w:p w:rsidR="00000000" w:rsidDel="00000000" w:rsidP="00000000" w:rsidRDefault="00000000" w:rsidRPr="00000000" w14:paraId="00000024">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implementation is organized as a lightweight modular Python codebase. Separate modules handle digital-thread generation, the physical force model, the hybrid force learner, the process-based quality model, the residual quality learner, and end-to-end pipeline orchestration. A dedicated physical twin module simulates workpiece evolution. Executable runner scripts reproduce either the complete analytical pipeline or the geometry-level simulation.</w:t>
      </w:r>
      <w:r w:rsidDel="00000000" w:rsidR="00000000" w:rsidRPr="00000000">
        <w:rPr>
          <w:rtl w:val="0"/>
        </w:rPr>
      </w:r>
    </w:p>
    <w:p w:rsidR="00000000" w:rsidDel="00000000" w:rsidP="00000000" w:rsidRDefault="00000000" w:rsidRPr="00000000" w14:paraId="00000025">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This separation is not merely a software convenience; it mirrors the conceptual decomposition of the digital twin. Each module corresponds to an interpretable stage in the process chain, making it easier to test individual components, inspect intermediate states, and identify where prediction quality improves or degrades.</w:t>
      </w:r>
      <w:r w:rsidDel="00000000" w:rsidR="00000000" w:rsidRPr="00000000">
        <w:rPr>
          <w:rtl w:val="0"/>
        </w:rPr>
      </w:r>
    </w:p>
    <w:p w:rsidR="00000000" w:rsidDel="00000000" w:rsidP="00000000" w:rsidRDefault="00000000" w:rsidRPr="00000000" w14:paraId="00000026">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 Physical twin surface simulation</w:t>
      </w:r>
      <w:r w:rsidDel="00000000" w:rsidR="00000000" w:rsidRPr="00000000">
        <w:rPr>
          <w:rtl w:val="0"/>
        </w:rPr>
      </w:r>
    </w:p>
    <w:p w:rsidR="00000000" w:rsidDel="00000000" w:rsidP="00000000" w:rsidRDefault="00000000" w:rsidRPr="00000000" w14:paraId="00000027">
      <w:pPr>
        <w:spacing w:after="40" w:before="0" w:line="240" w:lineRule="auto"/>
        <w:ind w:firstLine="198"/>
        <w:jc w:val="both"/>
        <w:rPr/>
      </w:pPr>
      <w:r w:rsidDel="00000000" w:rsidR="00000000" w:rsidRPr="00000000">
        <w:rPr>
          <w:rFonts w:ascii="Gungsuh" w:cs="Gungsuh" w:eastAsia="Gungsuh" w:hAnsi="Gungsuh"/>
          <w:b w:val="0"/>
          <w:bCs w:val="0"/>
          <w:i w:val="0"/>
          <w:iCs w:val="0"/>
          <w:sz w:val="19"/>
          <w:szCs w:val="19"/>
          <w:rtl w:val="0"/>
        </w:rPr>
        <w:t xml:space="preserve">The physical twin is represented as a dexel-like height map initialized with uneven cast-stock topography. At each trace step, a virtual cutter footprint removes material locally. Two surfaces are updated in parallel: a physical branch that includes transient effects and a digital branch driven by the model-chain prediction. The resulting residual map, R(x,y) = Zphysical(x,y) − Zdigital(x,y), provides a direct geometric diagnostic.</w:t>
      </w:r>
      <w:r w:rsidDel="00000000" w:rsidR="00000000" w:rsidRPr="00000000">
        <w:rPr>
          <w:rtl w:val="0"/>
        </w:rPr>
      </w:r>
    </w:p>
    <w:p w:rsidR="00000000" w:rsidDel="00000000" w:rsidP="00000000" w:rsidRDefault="00000000" w:rsidRPr="00000000" w14:paraId="00000028">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This extension is especially valuable from an engineering communication standpoint. A time-series error metric can indicate that a model is wrong, but a spatial residual map shows where the model is wrong on the workpiece. That makes the twin more useful for root-cause reasoning, tool-path assessment, and eventual feedback control design.</w:t>
      </w:r>
      <w:r w:rsidDel="00000000" w:rsidR="00000000" w:rsidRPr="00000000">
        <w:rPr>
          <w:rtl w:val="0"/>
        </w:rPr>
      </w:r>
    </w:p>
    <w:p w:rsidR="00000000" w:rsidDel="00000000" w:rsidP="00000000" w:rsidRDefault="00000000" w:rsidRPr="00000000" w14:paraId="00000029">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3.3 Training and reproducibility</w:t>
      </w:r>
      <w:r w:rsidDel="00000000" w:rsidR="00000000" w:rsidRPr="00000000">
        <w:rPr>
          <w:rtl w:val="0"/>
        </w:rPr>
      </w:r>
    </w:p>
    <w:p w:rsidR="00000000" w:rsidDel="00000000" w:rsidP="00000000" w:rsidRDefault="00000000" w:rsidRPr="00000000" w14:paraId="0000002A">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B">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C">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D">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E">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F">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30">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To keep the workflow reproducible on a local machine, moderate sequence lengths, batch sizes, and epoch counts were used. Input normalization and gradient clipping were included to stabilize residual learning. The pipeline produces a consistent set of outputs: metrics summaries, quality prediction tables, trace signals, and images or animations for both the analytical dashboard and the physical twin state.</w:t>
      </w:r>
      <w:r w:rsidDel="00000000" w:rsidR="00000000" w:rsidRPr="00000000">
        <w:rPr>
          <w:rtl w:val="0"/>
        </w:rPr>
      </w:r>
    </w:p>
    <w:p w:rsidR="00000000" w:rsidDel="00000000" w:rsidP="00000000" w:rsidRDefault="00000000" w:rsidRPr="00000000" w14:paraId="00000031">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4. Results and Discussion</w:t>
      </w:r>
      <w:r w:rsidDel="00000000" w:rsidR="00000000" w:rsidRPr="00000000">
        <w:rPr>
          <w:rtl w:val="0"/>
        </w:rPr>
      </w:r>
    </w:p>
    <w:p w:rsidR="00000000" w:rsidDel="00000000" w:rsidP="00000000" w:rsidRDefault="00000000" w:rsidRPr="00000000" w14:paraId="00000032">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4.1 Quantitative performance</w:t>
      </w:r>
      <w:r w:rsidDel="00000000" w:rsidR="00000000" w:rsidRPr="00000000">
        <w:rPr>
          <w:rtl w:val="0"/>
        </w:rPr>
      </w:r>
    </w:p>
    <w:p w:rsidR="00000000" w:rsidDel="00000000" w:rsidP="00000000" w:rsidRDefault="00000000" w:rsidRPr="00000000" w14:paraId="00000033">
      <w:pPr>
        <w:spacing w:after="40" w:before="0" w:line="240" w:lineRule="auto"/>
        <w:ind w:firstLine="198"/>
        <w:jc w:val="both"/>
        <w:rPr>
          <w:rFonts w:ascii="Times New Roman" w:cs="Times New Roman" w:eastAsia="Times New Roman" w:hAnsi="Times New Roman"/>
          <w:b w:val="0"/>
          <w:bCs w:val="0"/>
          <w:i w:val="0"/>
          <w:iCs w:val="0"/>
          <w:sz w:val="19"/>
          <w:szCs w:val="19"/>
        </w:rPr>
      </w:pPr>
      <w:r w:rsidDel="00000000" w:rsidR="00000000" w:rsidRPr="00000000">
        <w:rPr>
          <w:rFonts w:ascii="Times New Roman" w:cs="Times New Roman" w:eastAsia="Times New Roman" w:hAnsi="Times New Roman"/>
          <w:b w:val="0"/>
          <w:bCs w:val="0"/>
          <w:i w:val="0"/>
          <w:iCs w:val="0"/>
          <w:sz w:val="19"/>
          <w:szCs w:val="19"/>
          <w:rtl w:val="0"/>
        </w:rPr>
        <w:t xml:space="preserve">Table 1 reports the main metrics obtained from the implemented run. The hybrid force stage improves upon the physics-only baseline, and the addition of residual quality learning further reduces the overall RMSE. This is precisely the pattern expected from a well-structured hybrid model chain: domain knowledge captures the dominant behavior, while learning recovers the remaining residual structure.</w:t>
      </w:r>
    </w:p>
    <w:p w:rsidR="00000000" w:rsidDel="00000000" w:rsidP="00000000" w:rsidRDefault="00000000" w:rsidRPr="00000000" w14:paraId="00000034">
      <w:pPr>
        <w:spacing w:after="40" w:before="0" w:line="240" w:lineRule="auto"/>
        <w:ind w:firstLine="198"/>
        <w:jc w:val="both"/>
        <w:rPr>
          <w:rFonts w:ascii="Times New Roman" w:cs="Times New Roman" w:eastAsia="Times New Roman" w:hAnsi="Times New Roman"/>
          <w:sz w:val="19"/>
          <w:szCs w:val="19"/>
        </w:rPr>
      </w:pPr>
      <w:r w:rsidDel="00000000" w:rsidR="00000000" w:rsidRPr="00000000">
        <w:rPr>
          <w:rtl w:val="0"/>
        </w:rPr>
      </w:r>
    </w:p>
    <w:tbl>
      <w:tblPr>
        <w:tblStyle w:val="Table1"/>
        <w:tblW w:w="409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110"/>
        <w:tblGridChange w:id="0">
          <w:tblGrid>
            <w:gridCol w:w="2985"/>
            <w:gridCol w:w="1110"/>
          </w:tblGrid>
        </w:tblGridChange>
      </w:tblGrid>
      <w:tr>
        <w:trPr>
          <w:cantSplit w:val="0"/>
          <w:tblHeader w:val="0"/>
        </w:trPr>
        <w:tc>
          <w:tcPr>
            <w:vAlign w:val="center"/>
          </w:tcPr>
          <w:p w:rsidR="00000000" w:rsidDel="00000000" w:rsidP="00000000" w:rsidRDefault="00000000" w:rsidRPr="00000000" w14:paraId="00000035">
            <w:pPr>
              <w:spacing w:after="0" w:line="240" w:lineRule="auto"/>
              <w:rPr>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vAlign w:val="center"/>
          </w:tcPr>
          <w:p w:rsidR="00000000" w:rsidDel="00000000" w:rsidP="00000000" w:rsidRDefault="00000000" w:rsidRPr="00000000" w14:paraId="00000036">
            <w:pPr>
              <w:spacing w:after="0" w:line="240" w:lineRule="auto"/>
              <w:jc w:val="center"/>
              <w:rPr>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RMSE (domain-knowledge model)</w:t>
            </w:r>
            <w:r w:rsidDel="00000000" w:rsidR="00000000" w:rsidRPr="00000000">
              <w:rPr>
                <w:rtl w:val="0"/>
              </w:rPr>
            </w:r>
          </w:p>
        </w:tc>
        <w:tc>
          <w:tcPr>
            <w:vAlign w:val="center"/>
          </w:tcPr>
          <w:p w:rsidR="00000000" w:rsidDel="00000000" w:rsidP="00000000" w:rsidRDefault="00000000" w:rsidRPr="00000000" w14:paraId="00000038">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0.007772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RMSE (hybrid model chain)</w:t>
            </w:r>
            <w:r w:rsidDel="00000000" w:rsidR="00000000" w:rsidRPr="00000000">
              <w:rPr>
                <w:rtl w:val="0"/>
              </w:rPr>
            </w:r>
          </w:p>
        </w:tc>
        <w:tc>
          <w:tcPr>
            <w:vAlign w:val="center"/>
          </w:tcPr>
          <w:p w:rsidR="00000000" w:rsidDel="00000000" w:rsidP="00000000" w:rsidRDefault="00000000" w:rsidRPr="00000000" w14:paraId="0000003A">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0.007085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RMSE (hybrid + VMMNet-like model)</w:t>
            </w:r>
            <w:r w:rsidDel="00000000" w:rsidR="00000000" w:rsidRPr="00000000">
              <w:rPr>
                <w:rtl w:val="0"/>
              </w:rPr>
            </w:r>
          </w:p>
        </w:tc>
        <w:tc>
          <w:tcPr>
            <w:vAlign w:val="center"/>
          </w:tcPr>
          <w:p w:rsidR="00000000" w:rsidDel="00000000" w:rsidP="00000000" w:rsidRDefault="00000000" w:rsidRPr="00000000" w14:paraId="0000003C">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0.006594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RMSE (hybrid + VMMNet-like, test only)</w:t>
            </w:r>
            <w:r w:rsidDel="00000000" w:rsidR="00000000" w:rsidRPr="00000000">
              <w:rPr>
                <w:rtl w:val="0"/>
              </w:rPr>
            </w:r>
          </w:p>
        </w:tc>
        <w:tc>
          <w:tcPr>
            <w:vAlign w:val="center"/>
          </w:tcPr>
          <w:p w:rsidR="00000000" w:rsidDel="00000000" w:rsidP="00000000" w:rsidRDefault="00000000" w:rsidRPr="00000000" w14:paraId="0000003E">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0.013475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Force-stage final training loss</w:t>
            </w:r>
            <w:r w:rsidDel="00000000" w:rsidR="00000000" w:rsidRPr="00000000">
              <w:rPr>
                <w:rtl w:val="0"/>
              </w:rPr>
            </w:r>
          </w:p>
        </w:tc>
        <w:tc>
          <w:tcPr>
            <w:vAlign w:val="center"/>
          </w:tcPr>
          <w:p w:rsidR="00000000" w:rsidDel="00000000" w:rsidP="00000000" w:rsidRDefault="00000000" w:rsidRPr="00000000" w14:paraId="00000040">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0.055683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240" w:lineRule="auto"/>
              <w:rPr>
                <w:sz w:val="16"/>
                <w:szCs w:val="16"/>
              </w:rPr>
            </w:pPr>
            <w:r w:rsidDel="00000000" w:rsidR="00000000" w:rsidRPr="00000000">
              <w:rPr>
                <w:rFonts w:ascii="Times New Roman" w:cs="Times New Roman" w:eastAsia="Times New Roman" w:hAnsi="Times New Roman"/>
                <w:sz w:val="16"/>
                <w:szCs w:val="16"/>
                <w:rtl w:val="0"/>
              </w:rPr>
              <w:t xml:space="preserve">Quality-stage final training loss</w:t>
            </w:r>
            <w:r w:rsidDel="00000000" w:rsidR="00000000" w:rsidRPr="00000000">
              <w:rPr>
                <w:rtl w:val="0"/>
              </w:rPr>
            </w:r>
          </w:p>
        </w:tc>
        <w:tc>
          <w:tcPr>
            <w:vAlign w:val="center"/>
          </w:tcPr>
          <w:p w:rsidR="00000000" w:rsidDel="00000000" w:rsidP="00000000" w:rsidRDefault="00000000" w:rsidRPr="00000000" w14:paraId="00000042">
            <w:pPr>
              <w:spacing w:after="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0.054337</w:t>
            </w:r>
            <w:r w:rsidDel="00000000" w:rsidR="00000000" w:rsidRPr="00000000">
              <w:rPr>
                <w:rtl w:val="0"/>
              </w:rPr>
            </w:r>
          </w:p>
        </w:tc>
      </w:tr>
    </w:tbl>
    <w:p w:rsidR="00000000" w:rsidDel="00000000" w:rsidP="00000000" w:rsidRDefault="00000000" w:rsidRPr="00000000" w14:paraId="00000043">
      <w:pPr>
        <w:spacing w:after="4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Table 1. Summary of model-chain performance.</w:t>
      </w:r>
      <w:r w:rsidDel="00000000" w:rsidR="00000000" w:rsidRPr="00000000">
        <w:rPr>
          <w:rtl w:val="0"/>
        </w:rPr>
      </w:r>
    </w:p>
    <w:p w:rsidR="00000000" w:rsidDel="00000000" w:rsidP="00000000" w:rsidRDefault="00000000" w:rsidRPr="00000000" w14:paraId="00000044">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improvement from 0.007772 to 0.006594 in full-pipeline RMSE indicates that the hybrid stages are not merely adding complexity; they are reducing predictive error in a measurable way. At the same time, the higher test-only RMSE suggests that generalization remains sensitive, especially in sparse or less represented operating regions. In other words, the pipeline is promising but not yet fully robust under distributional shift.</w:t>
      </w:r>
      <w:r w:rsidDel="00000000" w:rsidR="00000000" w:rsidRPr="00000000">
        <w:rPr>
          <w:rtl w:val="0"/>
        </w:rPr>
      </w:r>
    </w:p>
    <w:p w:rsidR="00000000" w:rsidDel="00000000" w:rsidP="00000000" w:rsidRDefault="00000000" w:rsidRPr="00000000" w14:paraId="00000045">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4.2 Interpretation of the twin outputs</w:t>
      </w:r>
      <w:r w:rsidDel="00000000" w:rsidR="00000000" w:rsidRPr="00000000">
        <w:rPr>
          <w:rtl w:val="0"/>
        </w:rPr>
      </w:r>
    </w:p>
    <w:p w:rsidR="00000000" w:rsidDel="00000000" w:rsidP="00000000" w:rsidRDefault="00000000" w:rsidRPr="00000000" w14:paraId="00000046">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main qualitative result is the transition from an analytics-only digital twin to a physically intelligible one. The analytical outputs still matter because they show the predicted quality profile, uncertainty bands, and residual distributions. Yet the physical twin adds a second layer of meaning by mapping discrepancy onto the simulated machined surface. This transforms the digital twin from a regression tool into a process explanation tool.</w:t>
      </w:r>
      <w:r w:rsidDel="00000000" w:rsidR="00000000" w:rsidRPr="00000000">
        <w:rPr>
          <w:rtl w:val="0"/>
        </w:rPr>
      </w:r>
    </w:p>
    <w:p w:rsidR="00000000" w:rsidDel="00000000" w:rsidP="00000000" w:rsidRDefault="00000000" w:rsidRPr="00000000" w14:paraId="00000047">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From an industrial viewpoint, such a representation is valuable for at least three reasons. First, it supports diagnostics by showing whether deviations accumulate around specific path segments. Second, it improves communication between data and process engineers because the output resembles the geometry they reason about in practice. Third, it creates a natural bridge toward online adaptation, where future versions of the twin could update parameters or recommend interventions based on the observed spatial residual structure.</w:t>
      </w:r>
      <w:r w:rsidDel="00000000" w:rsidR="00000000" w:rsidRPr="00000000">
        <w:rPr>
          <w:rtl w:val="0"/>
        </w:rPr>
      </w:r>
    </w:p>
    <w:p w:rsidR="00000000" w:rsidDel="00000000" w:rsidP="00000000" w:rsidRDefault="00000000" w:rsidRPr="00000000" w14:paraId="00000048">
      <w:pPr>
        <w:spacing w:after="40" w:before="8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4.3 Limitations and next steps</w:t>
      </w:r>
      <w:r w:rsidDel="00000000" w:rsidR="00000000" w:rsidRPr="00000000">
        <w:rPr>
          <w:rtl w:val="0"/>
        </w:rPr>
      </w:r>
    </w:p>
    <w:p w:rsidR="00000000" w:rsidDel="00000000" w:rsidP="00000000" w:rsidRDefault="00000000" w:rsidRPr="00000000" w14:paraId="00000049">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current implementation should be interpreted as a methodological reproduction, not as a plant-identical industrial deployment. It does not yet include proprietary controller data, semantic CAD-feature mapping from AP242, true NC/CLSF synchronization, or real CMM path registration. Consequently, the present results mainly validate the coherence of the hybrid modelling strategy and the usefulness of the physical twin layer.</w:t>
      </w:r>
      <w:r w:rsidDel="00000000" w:rsidR="00000000" w:rsidRPr="00000000">
        <w:rPr>
          <w:rtl w:val="0"/>
        </w:rPr>
      </w:r>
    </w:p>
    <w:p w:rsidR="00000000" w:rsidDel="00000000" w:rsidP="00000000" w:rsidRDefault="00000000" w:rsidRPr="00000000" w14:paraId="0000004A">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The next stage of work is therefore clear: integrate real machining and inspection data, preserve feature semantics across CAD–NC–inspection stages, and evaluate the hybrid twin under genuine process drift. An additional research direction is online adaptation, in which the residual learners or uncertainty bounds are updated continuously as the operating context changes.</w:t>
      </w:r>
      <w:r w:rsidDel="00000000" w:rsidR="00000000" w:rsidRPr="00000000">
        <w:rPr>
          <w:rtl w:val="0"/>
        </w:rPr>
      </w:r>
    </w:p>
    <w:p w:rsidR="00000000" w:rsidDel="00000000" w:rsidP="00000000" w:rsidRDefault="00000000" w:rsidRPr="00000000" w14:paraId="0000004B">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5. Conclusion</w:t>
      </w:r>
      <w:r w:rsidDel="00000000" w:rsidR="00000000" w:rsidRPr="00000000">
        <w:rPr>
          <w:rtl w:val="0"/>
        </w:rPr>
      </w:r>
    </w:p>
    <w:p w:rsidR="00000000" w:rsidDel="00000000" w:rsidP="00000000" w:rsidRDefault="00000000" w:rsidRPr="00000000" w14:paraId="0000004C">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This project implemented a compact but complete hybrid digital twin workflow for machining quality monitoring and extended it with a geometry-level physical simulation. The resulting system contains four complementary elements: interpretable force modelling, residual force learning, process-based virtual metrology with uncertainty propagation, and residual quality learning. Its most important extension is the physical twin surface simulator, which converts prediction mismatch into localized geometric residuals on the virtual workpiece.</w:t>
      </w:r>
      <w:r w:rsidDel="00000000" w:rsidR="00000000" w:rsidRPr="00000000">
        <w:rPr>
          <w:rtl w:val="0"/>
        </w:rPr>
      </w:r>
    </w:p>
    <w:p w:rsidR="00000000" w:rsidDel="00000000" w:rsidP="00000000" w:rsidRDefault="00000000" w:rsidRPr="00000000" w14:paraId="0000004D">
      <w:pPr>
        <w:spacing w:after="40" w:before="0" w:line="240" w:lineRule="auto"/>
        <w:ind w:firstLine="198"/>
        <w:jc w:val="both"/>
        <w:rPr/>
      </w:pPr>
      <w:r w:rsidDel="00000000" w:rsidR="00000000" w:rsidRPr="00000000">
        <w:rPr>
          <w:rFonts w:ascii="Times New Roman" w:cs="Times New Roman" w:eastAsia="Times New Roman" w:hAnsi="Times New Roman"/>
          <w:b w:val="0"/>
          <w:bCs w:val="0"/>
          <w:i w:val="0"/>
          <w:iCs w:val="0"/>
          <w:sz w:val="19"/>
          <w:szCs w:val="19"/>
          <w:rtl w:val="0"/>
        </w:rPr>
        <w:t xml:space="preserve">Quantitatively, the hybrid stages reduce error relative to the domain-only baseline. Qualitatively, the physical twin improves interpretability and makes the system more meaningful for engineering diagnosis. Together, these results show that a digital twin becomes more useful when it is both structured by physics and refined by learning. The present implementation provides a reproducible foundation for future industrialization with real data streams, richer feature semantics, and online adaptive monitoring.</w:t>
      </w:r>
      <w:r w:rsidDel="00000000" w:rsidR="00000000" w:rsidRPr="00000000">
        <w:rPr>
          <w:rtl w:val="0"/>
        </w:rPr>
      </w:r>
    </w:p>
    <w:p w:rsidR="00000000" w:rsidDel="00000000" w:rsidP="00000000" w:rsidRDefault="00000000" w:rsidRPr="00000000" w14:paraId="0000004E">
      <w:pPr>
        <w:spacing w:after="40" w:before="8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References</w:t>
      </w:r>
      <w:r w:rsidDel="00000000" w:rsidR="00000000" w:rsidRPr="00000000">
        <w:rPr>
          <w:rtl w:val="0"/>
        </w:rPr>
      </w:r>
    </w:p>
    <w:p w:rsidR="00000000" w:rsidDel="00000000" w:rsidP="00000000" w:rsidRDefault="00000000" w:rsidRPr="00000000" w14:paraId="0000004F">
      <w:pPr>
        <w:spacing w:after="20" w:before="0" w:line="240" w:lineRule="auto"/>
        <w:ind w:left="0" w:firstLine="0"/>
        <w:jc w:val="left"/>
        <w:rPr/>
      </w:pPr>
      <w:r w:rsidDel="00000000" w:rsidR="00000000" w:rsidRPr="00000000">
        <w:rPr>
          <w:rFonts w:ascii="Times New Roman" w:cs="Times New Roman" w:eastAsia="Times New Roman" w:hAnsi="Times New Roman"/>
          <w:b w:val="0"/>
          <w:bCs w:val="0"/>
          <w:i w:val="0"/>
          <w:iCs w:val="0"/>
          <w:sz w:val="18"/>
          <w:szCs w:val="18"/>
          <w:rtl w:val="0"/>
        </w:rPr>
        <w:t xml:space="preserve">[1] Z. Huang, M. Fey, C. Liu, E. Beysel, X. Xu, C. Brecher, “Hybrid learning-based digital twin for manufacturing process: Modeling framework and implementation,” Robotics and Computer-Integrated Manufacturing, vol. 82, 2023, 102545.</w:t>
      </w:r>
      <w:r w:rsidDel="00000000" w:rsidR="00000000" w:rsidRPr="00000000">
        <w:rPr>
          <w:rtl w:val="0"/>
        </w:rPr>
      </w:r>
    </w:p>
    <w:sectPr>
      <w:type w:val="continuous"/>
      <w:pgSz w:h="16838" w:w="11906" w:orient="portrait"/>
      <w:pgMar w:bottom="907" w:top="907" w:left="850" w:right="850" w:header="720" w:footer="720"/>
      <w:cols w:equalWidth="0" w:num="2">
        <w:col w:space="720" w:w="4743"/>
        <w:col w:space="0" w:w="47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