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400"/>
        <w:jc w:val="center"/>
      </w:pPr>
      <w:r>
        <w:drawing>
          <wp:inline xmlns:a="http://schemas.openxmlformats.org/drawingml/2006/main" xmlns:pic="http://schemas.openxmlformats.org/drawingml/2006/picture">
            <wp:extent cx="914400" cy="914400"/>
            <wp:docPr id="1" name="Picture 1" descr="Settlewise reconciliation logo" title="Settlewise"/>
            <wp:cNvGraphicFramePr>
              <a:graphicFrameLocks noChangeAspect="1"/>
            </wp:cNvGraphicFramePr>
            <a:graphic>
              <a:graphicData uri="http://schemas.openxmlformats.org/drawingml/2006/picture">
                <pic:pic>
                  <pic:nvPicPr>
                    <pic:cNvPr id="0" name="settlewise-mark.png"/>
                    <pic:cNvPicPr/>
                  </pic:nvPicPr>
                  <pic:blipFill>
                    <a:blip r:embed="rId11"/>
                    <a:stretch>
                      <a:fillRect/>
                    </a:stretch>
                  </pic:blipFill>
                  <pic:spPr>
                    <a:xfrm>
                      <a:off x="0" y="0"/>
                      <a:ext cx="914400" cy="914400"/>
                    </a:xfrm>
                    <a:prstGeom prst="rect"/>
                  </pic:spPr>
                </pic:pic>
              </a:graphicData>
            </a:graphic>
          </wp:inline>
        </w:drawing>
      </w:r>
    </w:p>
    <w:p>
      <w:pPr>
        <w:keepNext/>
        <w:spacing w:after="160"/>
        <w:jc w:val="center"/>
      </w:pPr>
      <w:r>
        <w:rPr>
          <w:rFonts w:ascii="Arial" w:hAnsi="Arial"/>
          <w:b/>
          <w:color w:val="D95A00"/>
          <w:sz w:val="18"/>
        </w:rPr>
        <w:t>FINANCE CONTROL · BUILDATHON V1</w:t>
      </w:r>
    </w:p>
    <w:p>
      <w:pPr>
        <w:keepNext/>
        <w:spacing w:after="160"/>
        <w:jc w:val="center"/>
      </w:pPr>
      <w:r>
        <w:rPr>
          <w:rFonts w:ascii="Arial" w:hAnsi="Arial"/>
          <w:b/>
          <w:color w:val="332E29"/>
          <w:sz w:val="60"/>
        </w:rPr>
        <w:t>Settlewise Demo Runbook</w:t>
      </w:r>
    </w:p>
    <w:p>
      <w:pPr>
        <w:spacing w:after="480"/>
        <w:jc w:val="center"/>
      </w:pPr>
      <w:r>
        <w:rPr>
          <w:rFonts w:ascii="Arial" w:hAnsi="Arial"/>
          <w:color w:val="6D6259"/>
          <w:sz w:val="28"/>
        </w:rPr>
        <w:t>What to show, what to say, and what output to expect</w:t>
      </w:r>
    </w:p>
    <w:p>
      <w:pPr>
        <w:pBdr>
          <w:bottom w:val="single" w:sz="20" w:space="6" w:color="FF6A00"/>
        </w:pBdr>
      </w:pPr>
    </w:p>
    <w:p>
      <w:pPr>
        <w:spacing w:before="520" w:after="80"/>
        <w:jc w:val="center"/>
      </w:pPr>
      <w:r>
        <w:rPr>
          <w:b/>
          <w:color w:val="D95A00"/>
        </w:rPr>
        <w:t>REFERENCE DEMO</w:t>
      </w:r>
    </w:p>
    <w:p>
      <w:pPr>
        <w:spacing w:after="600"/>
        <w:jc w:val="center"/>
      </w:pPr>
      <w:r>
        <w:t>Seed 20260825  ·  500 orders  ·  Ruleset RECON_RULESET_V1</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0E5"/>
            <w:vAlign w:val="center"/>
          </w:tcPr>
          <w:p>
            <w:pPr>
              <w:spacing w:after="0"/>
            </w:pPr>
            <w:r>
              <w:rPr>
                <w:b/>
                <w:color w:val="D95A00"/>
              </w:rPr>
              <w:t xml:space="preserve">PRESENTER PROMISE  </w:t>
            </w:r>
            <w:r>
              <w:rPr>
                <w:color w:val="332E29"/>
              </w:rPr>
              <w:t>Lead with financial correctness, restraint, and evidence. Gemini explains deterministic findings; it never calculates or approves money movement.</w:t>
            </w:r>
          </w:p>
        </w:tc>
      </w:tr>
    </w:tbl>
    <w:p>
      <w:pPr>
        <w:spacing w:after="40"/>
      </w:pPr>
    </w:p>
    <w:p>
      <w:pPr>
        <w:spacing w:before="440"/>
        <w:jc w:val="center"/>
      </w:pPr>
      <w:r>
        <w:rPr>
          <w:color w:val="6D6259"/>
          <w:sz w:val="18"/>
        </w:rPr>
        <w:t>Prepared 26 August 2026</w:t>
      </w:r>
    </w:p>
    <w:p>
      <w:r>
        <w:br w:type="page"/>
      </w:r>
    </w:p>
    <w:p>
      <w:pPr>
        <w:keepNext/>
        <w:spacing w:after="160"/>
      </w:pPr>
      <w:r>
        <w:rPr>
          <w:rFonts w:ascii="Arial" w:hAnsi="Arial"/>
          <w:b/>
          <w:color w:val="D95A00"/>
          <w:sz w:val="18"/>
        </w:rPr>
        <w:t>START HERE</w:t>
      </w:r>
    </w:p>
    <w:p>
      <w:pPr>
        <w:keepNext/>
        <w:spacing w:after="160"/>
      </w:pPr>
      <w:r>
        <w:rPr>
          <w:rFonts w:ascii="Arial" w:hAnsi="Arial"/>
          <w:b/>
          <w:color w:val="332E29"/>
          <w:sz w:val="48"/>
        </w:rPr>
        <w:t>The 60-second readiness check</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0E9"/>
            <w:vAlign w:val="center"/>
          </w:tcPr>
          <w:p>
            <w:pPr>
              <w:spacing w:after="0"/>
            </w:pPr>
            <w:r>
              <w:rPr>
                <w:b/>
                <w:color w:val="356B50"/>
              </w:rPr>
              <w:t xml:space="preserve">GOAL  </w:t>
            </w:r>
            <w:r>
              <w:rPr>
                <w:color w:val="332E29"/>
              </w:rPr>
              <w:t>Open the app, run the reproducible dataset, inspect one safe match and three failure modes, ask Gemini for an evidence-cited explanation, and finish on measurable scores.</w:t>
            </w:r>
          </w:p>
        </w:tc>
      </w:tr>
    </w:tbl>
    <w:p>
      <w:pPr>
        <w:spacing w:after="40"/>
      </w:pPr>
    </w:p>
    <w:p>
      <w:pPr>
        <w:pStyle w:val="Heading2"/>
      </w:pPr>
      <w:r>
        <w:t>Before the audience arrives</w:t>
      </w:r>
    </w:p>
    <w:p>
      <w:pPr>
        <w:pStyle w:val="ListBullet"/>
        <w:spacing w:after="80" w:line="300" w:lineRule="auto"/>
        <w:ind w:left="540" w:hanging="271"/>
      </w:pPr>
      <w:r>
        <w:t>Use a desktop browser at 100% zoom. Keep the terminal hidden unless the judges ask for implementation details.</w:t>
      </w:r>
    </w:p>
    <w:p>
      <w:pPr>
        <w:pStyle w:val="ListBullet"/>
        <w:spacing w:after="80" w:line="300" w:lineRule="auto"/>
        <w:ind w:left="540" w:hanging="271"/>
      </w:pPr>
      <w:r>
        <w:t>Confirm .env contains AI_PROVIDER=gemini, GEMINI_API_KEY, GEMINI_MODEL, and NEXT_PUBLIC_API_URL. Never display the .env file or API key.</w:t>
      </w:r>
    </w:p>
    <w:p>
      <w:pPr>
        <w:pStyle w:val="ListBullet"/>
        <w:spacing w:after="80" w:line="300" w:lineRule="auto"/>
        <w:ind w:left="540" w:hanging="271"/>
      </w:pPr>
      <w:r>
        <w:t>Choose one persistence mode: in-memory for a risk-free demo, or PostgreSQL when you want run/review/audit durability across restarts.</w:t>
      </w:r>
    </w:p>
    <w:p>
      <w:pPr>
        <w:pStyle w:val="ListBullet"/>
        <w:spacing w:after="80" w:line="300" w:lineRule="auto"/>
        <w:ind w:left="540" w:hanging="271"/>
      </w:pPr>
      <w:r>
        <w:t>Open the app before presenting and verify the Settlewise orange logo, warm background, and Start demo reconciliation button render correctly.</w:t>
      </w:r>
    </w:p>
    <w:p>
      <w:pPr>
        <w:pStyle w:val="ListBullet"/>
        <w:spacing w:after="80" w:line="300" w:lineRule="auto"/>
        <w:ind w:left="540" w:hanging="271"/>
      </w:pPr>
      <w:r>
        <w:t>Keep this runbook open on a second screen or phone. Do not improvise settlement IDs; use the verified cases in this guide.</w:t>
      </w:r>
    </w:p>
    <w:p>
      <w:pPr>
        <w:pStyle w:val="Heading2"/>
      </w:pPr>
      <w:r>
        <w:t>Recommended risk-free start</w:t>
      </w:r>
    </w:p>
    <w:p>
      <w:pPr>
        <w:spacing w:after="120"/>
      </w:pPr>
      <w:r>
        <w:t>Terminal 1 — API (temporary in-memory persistence; Gemini remains enabled):</w:t>
      </w:r>
    </w:p>
    <w:p>
      <w:pPr>
        <w:spacing w:before="60" w:after="160" w:line="240" w:lineRule="auto"/>
        <w:ind w:left="216" w:right="216"/>
        <w:shd w:fill="EEE9E1"/>
      </w:pPr>
      <w:r>
        <w:rPr>
          <w:rFonts w:ascii="Courier New" w:hAnsi="Courier New"/>
          <w:color w:val="332E29"/>
          <w:sz w:val="17"/>
        </w:rPr>
        <w:t>set -a; source .env; set +a</w:t>
        <w:br/>
        <w:t>RECON_PERSISTENCE=memory DATABASE_URL= .venv/bin/uvicorn apps.api.main:app --port 8000</w:t>
      </w:r>
    </w:p>
    <w:p>
      <w:pPr>
        <w:spacing w:after="120"/>
      </w:pPr>
      <w:r>
        <w:t>Terminal 2 — web dashboard:</w:t>
      </w:r>
    </w:p>
    <w:p>
      <w:pPr>
        <w:spacing w:before="60" w:after="160" w:line="240" w:lineRule="auto"/>
        <w:ind w:left="216" w:right="216"/>
        <w:shd w:fill="EEE9E1"/>
      </w:pPr>
      <w:r>
        <w:rPr>
          <w:rFonts w:ascii="Courier New" w:hAnsi="Courier New"/>
          <w:color w:val="332E29"/>
          <w:sz w:val="17"/>
        </w:rPr>
        <w:t>cd apps/web</w:t>
        <w:br/>
        <w:t>npm run dev</w:t>
      </w:r>
    </w:p>
    <w:p>
      <w:pPr>
        <w:spacing w:after="120"/>
      </w:pPr>
      <w:r>
        <w:t>Open http://localhost:3000. If Next.js reports that port 3000 is occupied, use http://localhost:3001.</w:t>
      </w:r>
    </w:p>
    <w:p>
      <w:r>
        <w:br w:type="page"/>
      </w:r>
    </w:p>
    <w:p>
      <w:pPr>
        <w:pStyle w:val="Heading2"/>
      </w:pPr>
      <w:r>
        <w:t>Green-light checks</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shd w:fill="332E29"/>
            <w:vAlign w:val="center"/>
            <w:tcMar>
              <w:top w:w="80" w:type="dxa"/>
              <w:start w:w="120" w:type="dxa"/>
              <w:bottom w:w="80" w:type="dxa"/>
              <w:end w:w="120" w:type="dxa"/>
            </w:tcMar>
          </w:tcPr>
          <w:p>
            <w:pPr>
              <w:spacing w:after="0"/>
              <w:jc w:val="left"/>
            </w:pPr>
            <w:r>
              <w:rPr>
                <w:rFonts w:ascii="Arial" w:hAnsi="Arial"/>
                <w:b/>
                <w:color w:val="FFFFFF"/>
                <w:sz w:val="16"/>
              </w:rPr>
              <w:t>CHECK</w:t>
            </w:r>
          </w:p>
        </w:tc>
        <w:tc>
          <w:tcPr>
            <w:tcW w:type="dxa" w:w="7060"/>
            <w:shd w:fill="332E29"/>
            <w:vAlign w:val="center"/>
            <w:tcMar>
              <w:top w:w="80" w:type="dxa"/>
              <w:start w:w="120" w:type="dxa"/>
              <w:bottom w:w="80" w:type="dxa"/>
              <w:end w:w="120" w:type="dxa"/>
            </w:tcMar>
          </w:tcPr>
          <w:p>
            <w:pPr>
              <w:spacing w:after="0"/>
              <w:jc w:val="left"/>
            </w:pPr>
            <w:r>
              <w:rPr>
                <w:rFonts w:ascii="Arial" w:hAnsi="Arial"/>
                <w:b/>
                <w:color w:val="FFFFFF"/>
                <w:sz w:val="16"/>
              </w:rPr>
              <w:t>EXPECTED</w:t>
            </w:r>
          </w:p>
        </w:tc>
      </w:tr>
      <w:tr>
        <w:tc>
          <w:tcPr>
            <w:tcW w:type="dxa" w:w="2300"/>
            <w:vAlign w:val="center"/>
            <w:tcMar>
              <w:top w:w="80" w:type="dxa"/>
              <w:start w:w="120" w:type="dxa"/>
              <w:bottom w:w="80" w:type="dxa"/>
              <w:end w:w="120" w:type="dxa"/>
            </w:tcMar>
          </w:tcPr>
          <w:p>
            <w:pPr>
              <w:spacing w:after="0" w:line="269" w:lineRule="auto"/>
            </w:pPr>
            <w:r>
              <w:rPr>
                <w:rFonts w:ascii="Arial" w:hAnsi="Arial"/>
                <w:color w:val="332E29"/>
                <w:sz w:val="18"/>
              </w:rPr>
              <w:t>API health</w:t>
            </w:r>
          </w:p>
        </w:tc>
        <w:tc>
          <w:tcPr>
            <w:tcW w:type="dxa" w:w="7060"/>
            <w:vAlign w:val="center"/>
            <w:tcMar>
              <w:top w:w="80" w:type="dxa"/>
              <w:start w:w="120" w:type="dxa"/>
              <w:bottom w:w="80" w:type="dxa"/>
              <w:end w:w="120" w:type="dxa"/>
            </w:tcMar>
          </w:tcPr>
          <w:p>
            <w:pPr>
              <w:spacing w:after="0" w:line="269" w:lineRule="auto"/>
            </w:pPr>
            <w:r>
              <w:rPr>
                <w:rFonts w:ascii="Arial" w:hAnsi="Arial"/>
                <w:color w:val="332E29"/>
                <w:sz w:val="18"/>
              </w:rPr>
              <w:t>GET http://localhost:8000/health returns status=ok, ruleset=RECON_RULESET_V1, persistence=memory, ai_provider=gemini.</w:t>
            </w:r>
          </w:p>
        </w:tc>
      </w:tr>
      <w:tr>
        <w:tc>
          <w:tcPr>
            <w:tcW w:type="dxa" w:w="2300"/>
            <w:vAlign w:val="center"/>
            <w:shd w:fill="F7F3EC"/>
            <w:tcMar>
              <w:top w:w="80" w:type="dxa"/>
              <w:start w:w="120" w:type="dxa"/>
              <w:bottom w:w="80" w:type="dxa"/>
              <w:end w:w="120" w:type="dxa"/>
            </w:tcMar>
          </w:tcPr>
          <w:p>
            <w:pPr>
              <w:spacing w:after="0" w:line="269" w:lineRule="auto"/>
            </w:pPr>
            <w:r>
              <w:rPr>
                <w:rFonts w:ascii="Arial" w:hAnsi="Arial"/>
                <w:color w:val="332E29"/>
                <w:sz w:val="18"/>
              </w:rPr>
              <w:t>Dashboard</w:t>
            </w:r>
          </w:p>
        </w:tc>
        <w:tc>
          <w:tcPr>
            <w:tcW w:type="dxa" w:w="7060"/>
            <w:vAlign w:val="center"/>
            <w:shd w:fill="F7F3EC"/>
            <w:tcMar>
              <w:top w:w="80" w:type="dxa"/>
              <w:start w:w="120" w:type="dxa"/>
              <w:bottom w:w="80" w:type="dxa"/>
              <w:end w:w="120" w:type="dxa"/>
            </w:tcMar>
          </w:tcPr>
          <w:p>
            <w:pPr>
              <w:spacing w:after="0" w:line="269" w:lineRule="auto"/>
            </w:pPr>
            <w:r>
              <w:rPr>
                <w:rFonts w:ascii="Arial" w:hAnsi="Arial"/>
                <w:color w:val="332E29"/>
                <w:sz w:val="18"/>
              </w:rPr>
              <w:t>Settlewise header, Start demo reconciliation button, and empty evidence workspace are visible.</w:t>
            </w:r>
          </w:p>
        </w:tc>
      </w:tr>
      <w:tr>
        <w:tc>
          <w:tcPr>
            <w:tcW w:type="dxa" w:w="2300"/>
            <w:vAlign w:val="center"/>
            <w:tcMar>
              <w:top w:w="80" w:type="dxa"/>
              <w:start w:w="120" w:type="dxa"/>
              <w:bottom w:w="80" w:type="dxa"/>
              <w:end w:w="120" w:type="dxa"/>
            </w:tcMar>
          </w:tcPr>
          <w:p>
            <w:pPr>
              <w:spacing w:after="0" w:line="269" w:lineRule="auto"/>
            </w:pPr>
            <w:r>
              <w:rPr>
                <w:rFonts w:ascii="Arial" w:hAnsi="Arial"/>
                <w:color w:val="332E29"/>
                <w:sz w:val="18"/>
              </w:rPr>
              <w:t>Secrets</w:t>
            </w:r>
          </w:p>
        </w:tc>
        <w:tc>
          <w:tcPr>
            <w:tcW w:type="dxa" w:w="7060"/>
            <w:vAlign w:val="center"/>
            <w:tcMar>
              <w:top w:w="80" w:type="dxa"/>
              <w:start w:w="120" w:type="dxa"/>
              <w:bottom w:w="80" w:type="dxa"/>
              <w:end w:w="120" w:type="dxa"/>
            </w:tcMar>
          </w:tcPr>
          <w:p>
            <w:pPr>
              <w:spacing w:after="0" w:line="269" w:lineRule="auto"/>
            </w:pPr>
            <w:r>
              <w:rPr>
                <w:rFonts w:ascii="Arial" w:hAnsi="Arial"/>
                <w:color w:val="332E29"/>
                <w:sz w:val="18"/>
              </w:rPr>
              <w:t>No key, bank description, or customer PII is visible on screen or in terminal logs.</w:t>
            </w:r>
          </w:p>
        </w:tc>
      </w:tr>
      <w:tr>
        <w:tc>
          <w:tcPr>
            <w:tcW w:type="dxa" w:w="2300"/>
            <w:vAlign w:val="center"/>
            <w:shd w:fill="F7F3EC"/>
            <w:tcMar>
              <w:top w:w="80" w:type="dxa"/>
              <w:start w:w="120" w:type="dxa"/>
              <w:bottom w:w="80" w:type="dxa"/>
              <w:end w:w="120" w:type="dxa"/>
            </w:tcMar>
          </w:tcPr>
          <w:p>
            <w:pPr>
              <w:spacing w:after="0" w:line="269" w:lineRule="auto"/>
            </w:pPr>
            <w:r>
              <w:rPr>
                <w:rFonts w:ascii="Arial" w:hAnsi="Arial"/>
                <w:color w:val="332E29"/>
                <w:sz w:val="18"/>
              </w:rPr>
              <w:t>Fallback</w:t>
            </w:r>
          </w:p>
        </w:tc>
        <w:tc>
          <w:tcPr>
            <w:tcW w:type="dxa" w:w="7060"/>
            <w:vAlign w:val="center"/>
            <w:shd w:fill="F7F3EC"/>
            <w:tcMar>
              <w:top w:w="80" w:type="dxa"/>
              <w:start w:w="120" w:type="dxa"/>
              <w:bottom w:w="80" w:type="dxa"/>
              <w:end w:w="120" w:type="dxa"/>
            </w:tcMar>
          </w:tcPr>
          <w:p>
            <w:pPr>
              <w:spacing w:after="0" w:line="269" w:lineRule="auto"/>
            </w:pPr>
            <w:r>
              <w:rPr>
                <w:rFonts w:ascii="Arial" w:hAnsi="Arial"/>
                <w:color w:val="332E29"/>
                <w:sz w:val="18"/>
              </w:rPr>
              <w:t>If Gemini is unavailable, the deterministic app still works and the controller returns a safe local explanation/fallback.</w:t>
            </w:r>
          </w:p>
        </w:tc>
      </w:tr>
    </w:tbl>
    <w:p>
      <w:pPr>
        <w:spacing w:after="40"/>
      </w:pPr>
    </w:p>
    <w:p>
      <w:pPr>
        <w:keepNext/>
        <w:spacing w:after="160"/>
      </w:pPr>
      <w:r>
        <w:rPr>
          <w:rFonts w:ascii="Arial" w:hAnsi="Arial"/>
          <w:b/>
          <w:color w:val="D95A00"/>
          <w:sz w:val="18"/>
        </w:rPr>
        <w:t>LIVE PRESENTATION</w:t>
      </w:r>
    </w:p>
    <w:p>
      <w:pPr>
        <w:keepNext/>
        <w:spacing w:after="160"/>
      </w:pPr>
      <w:r>
        <w:rPr>
          <w:rFonts w:ascii="Arial" w:hAnsi="Arial"/>
          <w:b/>
          <w:color w:val="332E29"/>
          <w:sz w:val="48"/>
        </w:rPr>
        <w:t>Five-minute demo script</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0E5"/>
            <w:vAlign w:val="center"/>
          </w:tcPr>
          <w:p>
            <w:pPr>
              <w:spacing w:after="0"/>
            </w:pPr>
            <w:r>
              <w:rPr>
                <w:b/>
                <w:color w:val="D95A00"/>
              </w:rPr>
              <w:t xml:space="preserve">OPENING LINE  </w:t>
            </w:r>
            <w:r>
              <w:rPr>
                <w:color w:val="332E29"/>
              </w:rPr>
              <w:t>“Settlewise proves the movement of money from captured payments through Razorpay settlement records into the bank, and it fails closed whenever the evidence is ambiguous.”</w:t>
            </w:r>
          </w:p>
        </w:tc>
      </w:tr>
    </w:tbl>
    <w:p>
      <w:pPr>
        <w:spacing w:after="40"/>
      </w:pPr>
    </w:p>
    <w:p>
      <w:pPr>
        <w:keepNext/>
        <w:spacing w:before="180" w:after="60"/>
      </w:pPr>
      <w:r>
        <w:rPr>
          <w:b/>
          <w:color w:val="D95A00"/>
          <w:sz w:val="23"/>
        </w:rPr>
        <w:t>1 · Establish the control room</w:t>
      </w:r>
    </w:p>
    <w:p>
      <w:pPr>
        <w:spacing w:after="60"/>
      </w:pPr>
      <w:r>
        <w:rPr>
          <w:b/>
        </w:rPr>
        <w:t xml:space="preserve">Do: </w:t>
      </w:r>
      <w:r>
        <w:t>Point to the deterministic engine indicator, ruleset, integer-minor-unit note, and empty workspace. Explain that no result is prefilled.</w:t>
      </w:r>
    </w:p>
    <w:p>
      <w:pPr>
        <w:spacing w:after="120"/>
      </w:pPr>
      <w:r>
        <w:rPr>
          <w:b/>
        </w:rPr>
        <w:t xml:space="preserve">Expect: </w:t>
      </w:r>
      <w:r>
        <w:t>The screen shows no financial result until the API completes a run.</w:t>
      </w:r>
    </w:p>
    <w:p>
      <w:pPr>
        <w:keepNext/>
        <w:spacing w:before="180" w:after="60"/>
      </w:pPr>
      <w:r>
        <w:rPr>
          <w:b/>
          <w:color w:val="D95A00"/>
          <w:sz w:val="23"/>
        </w:rPr>
        <w:t>2 · Generate and reconcile</w:t>
      </w:r>
    </w:p>
    <w:p>
      <w:pPr>
        <w:spacing w:after="60"/>
      </w:pPr>
      <w:r>
        <w:rPr>
          <w:b/>
        </w:rPr>
        <w:t xml:space="preserve">Do: </w:t>
      </w:r>
      <w:r>
        <w:t>Click Run the 500-order demo. Mention seed 20260825 and that the same seed is reproducible.</w:t>
      </w:r>
    </w:p>
    <w:p>
      <w:pPr>
        <w:spacing w:after="120"/>
      </w:pPr>
      <w:r>
        <w:rPr>
          <w:b/>
        </w:rPr>
        <w:t xml:space="preserve">Expect: </w:t>
      </w:r>
      <w:r>
        <w:t>The run completes and displays 48 settlement batches from 500 merchant orders.</w:t>
      </w:r>
    </w:p>
    <w:p>
      <w:pPr>
        <w:keepNext/>
        <w:spacing w:before="180" w:after="60"/>
      </w:pPr>
      <w:r>
        <w:rPr>
          <w:b/>
          <w:color w:val="D95A00"/>
          <w:sz w:val="23"/>
        </w:rPr>
        <w:t>3 · Read the executive metrics</w:t>
      </w:r>
    </w:p>
    <w:p>
      <w:pPr>
        <w:spacing w:after="60"/>
      </w:pPr>
      <w:r>
        <w:rPr>
          <w:b/>
        </w:rPr>
        <w:t xml:space="preserve">Do: </w:t>
      </w:r>
      <w:r>
        <w:t>Read total processed, proven reconciled, unresolved exposure, and auto-match precision. Emphasize that operational coverage and evaluator value coverage answer different questions.</w:t>
      </w:r>
    </w:p>
    <w:p>
      <w:pPr>
        <w:spacing w:after="120"/>
      </w:pPr>
      <w:r>
        <w:rPr>
          <w:b/>
        </w:rPr>
        <w:t xml:space="preserve">Expect: </w:t>
      </w:r>
      <w:r>
        <w:t>₹1,10,58,430.46 processed; ₹87,34,930.52 proven reconciled; ₹23,23,499.94 unresolved; 79% operational coverage; 100% auto-match precision; 0 false reconciliations.</w:t>
      </w:r>
    </w:p>
    <w:p>
      <w:pPr>
        <w:keepNext/>
        <w:spacing w:before="180" w:after="60"/>
      </w:pPr>
      <w:r>
        <w:rPr>
          <w:b/>
          <w:color w:val="D95A00"/>
          <w:sz w:val="23"/>
        </w:rPr>
        <w:t>4 · Prove a clean settlement</w:t>
      </w:r>
    </w:p>
    <w:p>
      <w:pPr>
        <w:spacing w:after="60"/>
      </w:pPr>
      <w:r>
        <w:rPr>
          <w:b/>
        </w:rPr>
        <w:t xml:space="preserve">Do: </w:t>
      </w:r>
      <w:r>
        <w:t>Open setl_SYN0001. Walk through captured payments, refunds, gateway fees, GST, expected net, reported amount, bank evidence, confidence, and stored rule evidence.</w:t>
      </w:r>
    </w:p>
    <w:p>
      <w:pPr>
        <w:spacing w:after="120"/>
      </w:pPr>
      <w:r>
        <w:rPr>
          <w:b/>
        </w:rPr>
        <w:t xml:space="preserve">Expect: </w:t>
      </w:r>
      <w:r>
        <w:t>Status RECONCILED, confidence HIGH, gateway delta ₹0.00, and an accepted bank credit supported by exact deterministic evidence.</w:t>
      </w:r>
    </w:p>
    <w:p>
      <w:pPr>
        <w:keepNext/>
        <w:spacing w:before="180" w:after="60"/>
      </w:pPr>
      <w:r>
        <w:rPr>
          <w:b/>
          <w:color w:val="D95A00"/>
          <w:sz w:val="23"/>
        </w:rPr>
        <w:t>5 · Show restraint under missing identity</w:t>
      </w:r>
    </w:p>
    <w:p>
      <w:pPr>
        <w:spacing w:after="60"/>
      </w:pPr>
      <w:r>
        <w:rPr>
          <w:b/>
        </w:rPr>
        <w:t xml:space="preserve">Do: </w:t>
      </w:r>
      <w:r>
        <w:t>Open setl_SYN0013. Explain that amount equality alone is insufficient when UTR evidence is absent.</w:t>
      </w:r>
    </w:p>
    <w:p>
      <w:pPr>
        <w:spacing w:after="120"/>
      </w:pPr>
      <w:r>
        <w:rPr>
          <w:b/>
        </w:rPr>
        <w:t xml:space="preserve">Expect: </w:t>
      </w:r>
      <w:r>
        <w:t>Status REVIEW REQUIRED, confidence MEDIUM, exception UTR_MISSING, evidence IDs setl_SYN0013 and bank_SYN0013. No automatic finalization.</w:t>
      </w:r>
    </w:p>
    <w:p>
      <w:pPr>
        <w:keepNext/>
        <w:spacing w:before="180" w:after="60"/>
      </w:pPr>
      <w:r>
        <w:rPr>
          <w:b/>
          <w:color w:val="D95A00"/>
          <w:sz w:val="23"/>
        </w:rPr>
        <w:t>6 · Show a material contradiction</w:t>
      </w:r>
    </w:p>
    <w:p>
      <w:pPr>
        <w:spacing w:after="60"/>
      </w:pPr>
      <w:r>
        <w:rPr>
          <w:b/>
        </w:rPr>
        <w:t xml:space="preserve">Do: </w:t>
      </w:r>
      <w:r>
        <w:t>Open setl_SYN0019. Point out that the bank can match while the gateway settlement itself still contradicts the signed ledger.</w:t>
      </w:r>
    </w:p>
    <w:p>
      <w:pPr>
        <w:spacing w:after="120"/>
      </w:pPr>
      <w:r>
        <w:rPr>
          <w:b/>
        </w:rPr>
        <w:t xml:space="preserve">Expect: </w:t>
      </w:r>
      <w:r>
        <w:t>Status UNRECONCILED, confidence HIGH, gateway delta −₹2,420.00, exception SETTLEMENT_AMOUNT_MISMATCH. The bank match does not hide the mismatch.</w:t>
      </w:r>
    </w:p>
    <w:p>
      <w:pPr>
        <w:keepNext/>
        <w:spacing w:before="180" w:after="60"/>
      </w:pPr>
      <w:r>
        <w:rPr>
          <w:b/>
          <w:color w:val="D95A00"/>
          <w:sz w:val="23"/>
        </w:rPr>
        <w:t>7 · Show ambiguity failing closed</w:t>
      </w:r>
    </w:p>
    <w:p>
      <w:pPr>
        <w:spacing w:after="60"/>
      </w:pPr>
      <w:r>
        <w:rPr>
          <w:b/>
        </w:rPr>
        <w:t xml:space="preserve">Do: </w:t>
      </w:r>
      <w:r>
        <w:t>Open setl_SYN0023. Explain that multiple equally valid bank candidates must never be guessed into one match.</w:t>
      </w:r>
    </w:p>
    <w:p>
      <w:pPr>
        <w:spacing w:after="120"/>
      </w:pPr>
      <w:r>
        <w:rPr>
          <w:b/>
        </w:rPr>
        <w:t xml:space="preserve">Expect: </w:t>
      </w:r>
      <w:r>
        <w:t>Status REVIEW REQUIRED, confidence LOW, exception AMBIGUOUS_BANK_MATCH, reason: multiple candidates satisfy the automatic rule.</w:t>
      </w:r>
    </w:p>
    <w:p>
      <w:pPr>
        <w:keepNext/>
        <w:spacing w:before="180" w:after="60"/>
      </w:pPr>
      <w:r>
        <w:rPr>
          <w:b/>
          <w:color w:val="D95A00"/>
          <w:sz w:val="23"/>
        </w:rPr>
        <w:t>8 · Ask the AI controller</w:t>
      </w:r>
    </w:p>
    <w:p>
      <w:pPr>
        <w:spacing w:after="60"/>
      </w:pPr>
      <w:r>
        <w:rPr>
          <w:b/>
        </w:rPr>
        <w:t xml:space="preserve">Do: </w:t>
      </w:r>
      <w:r>
        <w:t>With setl_SYN0013 selected, ask: Why did this settlement receive this status? Click Investigate.</w:t>
      </w:r>
    </w:p>
    <w:p>
      <w:pPr>
        <w:spacing w:after="120"/>
      </w:pPr>
      <w:r>
        <w:rPr>
          <w:b/>
        </w:rPr>
        <w:t xml:space="preserve">Expect: </w:t>
      </w:r>
      <w:r>
        <w:t>Gemini returns an ADVISORY explanation citing stored settlement/bank evidence IDs, names the missing UTR condition, recommends human review, and cannot change the status.</w:t>
      </w:r>
    </w:p>
    <w:p>
      <w:pPr>
        <w:keepNext/>
        <w:spacing w:before="180" w:after="60"/>
      </w:pPr>
      <w:r>
        <w:rPr>
          <w:b/>
          <w:color w:val="D95A00"/>
          <w:sz w:val="23"/>
        </w:rPr>
        <w:t>9 · Finish on evaluation</w:t>
      </w:r>
    </w:p>
    <w:p>
      <w:pPr>
        <w:spacing w:after="60"/>
      </w:pPr>
      <w:r>
        <w:rPr>
          <w:b/>
        </w:rPr>
        <w:t xml:space="preserve">Do: </w:t>
      </w:r>
      <w:r>
        <w:t>Scroll to The baseline, honestly measured. Explain precision, forced-match rate, recall, exception quality, and value coverage.</w:t>
      </w:r>
    </w:p>
    <w:p>
      <w:pPr>
        <w:spacing w:after="120"/>
      </w:pPr>
      <w:r>
        <w:rPr>
          <w:b/>
        </w:rPr>
        <w:t xml:space="preserve">Expect: </w:t>
      </w:r>
      <w:r>
        <w:t>48/48 correct outcomes, 0 false reconciliations, precision_auto 1.000, forced_match_rate 0.000, and every metric is derived from hidden synthetic truth rather than model opinion.</w:t>
      </w:r>
    </w:p>
    <w:p>
      <w:r>
        <w:br w:type="page"/>
      </w:r>
    </w:p>
    <w:p>
      <w:pPr>
        <w:keepNext/>
        <w:spacing w:after="160"/>
      </w:pPr>
      <w:r>
        <w:rPr>
          <w:rFonts w:ascii="Arial" w:hAnsi="Arial"/>
          <w:b/>
          <w:color w:val="D95A00"/>
          <w:sz w:val="18"/>
        </w:rPr>
        <w:t>REFERENCE OUTPUT</w:t>
      </w:r>
    </w:p>
    <w:p>
      <w:pPr>
        <w:keepNext/>
        <w:spacing w:after="160"/>
      </w:pPr>
      <w:r>
        <w:rPr>
          <w:rFonts w:ascii="Arial" w:hAnsi="Arial"/>
          <w:b/>
          <w:color w:val="332E29"/>
          <w:sz w:val="48"/>
        </w:rPr>
        <w:t>Expected baseline for seed 20260825</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8EADB"/>
            <w:vAlign w:val="center"/>
          </w:tcPr>
          <w:p>
            <w:pPr>
              <w:spacing w:after="0"/>
            </w:pPr>
            <w:r>
              <w:rPr>
                <w:b/>
                <w:color w:val="A95712"/>
              </w:rPr>
              <w:t xml:space="preserve">IMPORTANT DISTINCTION  </w:t>
            </w:r>
            <w:r>
              <w:rPr>
                <w:color w:val="332E29"/>
              </w:rPr>
              <w:t>The dashboard’s 79% operational reconciliation coverage measures the value already proven as reconciled. The evaluation scorecard’s 1.000 value_coverage measures whether the system found the correct partner across all eligible link tiers, including cases deliberately routed to review.</w:t>
            </w:r>
          </w:p>
        </w:tc>
      </w:tr>
    </w:tbl>
    <w:p>
      <w:pPr>
        <w:spacing w:after="40"/>
      </w:pPr>
    </w:p>
    <w:p>
      <w:pPr>
        <w:pStyle w:val="Heading2"/>
      </w:pPr>
      <w:r>
        <w:t>Run summary</w:t>
      </w:r>
    </w:p>
    <w:tbl>
      <w:tblPr>
        <w:tblStyle w:val="TableGrid"/>
        <w:tblW w:type="dxa" w:w="9360"/>
        <w:tblLayout w:type="fixed"/>
        <w:tblLook w:firstColumn="1" w:firstRow="1" w:lastColumn="0" w:lastRow="0" w:noHBand="0" w:noVBand="1" w:val="04A0"/>
        <w:tblInd w:w="120" w:type="dxa"/>
      </w:tblPr>
      <w:tblGrid>
        <w:gridCol w:w="2400"/>
        <w:gridCol w:w="2100"/>
        <w:gridCol w:w="4860"/>
      </w:tblGrid>
      <w:tr>
        <w:trPr>
          <w:tblHeader w:val="true"/>
        </w:trPr>
        <w:tc>
          <w:tcPr>
            <w:tcW w:type="dxa" w:w="2400"/>
            <w:shd w:fill="332E29"/>
            <w:vAlign w:val="center"/>
            <w:tcMar>
              <w:top w:w="80" w:type="dxa"/>
              <w:start w:w="120" w:type="dxa"/>
              <w:bottom w:w="80" w:type="dxa"/>
              <w:end w:w="120" w:type="dxa"/>
            </w:tcMar>
          </w:tcPr>
          <w:p>
            <w:pPr>
              <w:spacing w:after="0"/>
              <w:jc w:val="left"/>
            </w:pPr>
            <w:r>
              <w:rPr>
                <w:rFonts w:ascii="Arial" w:hAnsi="Arial"/>
                <w:b/>
                <w:color w:val="FFFFFF"/>
                <w:sz w:val="16"/>
              </w:rPr>
              <w:t>MEASURE</w:t>
            </w:r>
          </w:p>
        </w:tc>
        <w:tc>
          <w:tcPr>
            <w:tcW w:type="dxa" w:w="2100"/>
            <w:shd w:fill="332E29"/>
            <w:vAlign w:val="center"/>
            <w:tcMar>
              <w:top w:w="80" w:type="dxa"/>
              <w:start w:w="120" w:type="dxa"/>
              <w:bottom w:w="80" w:type="dxa"/>
              <w:end w:w="120" w:type="dxa"/>
            </w:tcMar>
          </w:tcPr>
          <w:p>
            <w:pPr>
              <w:spacing w:after="0"/>
              <w:jc w:val="left"/>
            </w:pPr>
            <w:r>
              <w:rPr>
                <w:rFonts w:ascii="Arial" w:hAnsi="Arial"/>
                <w:b/>
                <w:color w:val="FFFFFF"/>
                <w:sz w:val="16"/>
              </w:rPr>
              <w:t>EXPECTED OUTPUT</w:t>
            </w:r>
          </w:p>
        </w:tc>
        <w:tc>
          <w:tcPr>
            <w:tcW w:type="dxa" w:w="4860"/>
            <w:shd w:fill="332E29"/>
            <w:vAlign w:val="center"/>
            <w:tcMar>
              <w:top w:w="80" w:type="dxa"/>
              <w:start w:w="120" w:type="dxa"/>
              <w:bottom w:w="80" w:type="dxa"/>
              <w:end w:w="120" w:type="dxa"/>
            </w:tcMar>
          </w:tcPr>
          <w:p>
            <w:pPr>
              <w:spacing w:after="0"/>
              <w:jc w:val="left"/>
            </w:pPr>
            <w:r>
              <w:rPr>
                <w:rFonts w:ascii="Arial" w:hAnsi="Arial"/>
                <w:b/>
                <w:color w:val="FFFFFF"/>
                <w:sz w:val="16"/>
              </w:rPr>
              <w:t>WHAT IT PROVES</w:t>
            </w:r>
          </w:p>
        </w:tc>
      </w:tr>
      <w:tr>
        <w:tc>
          <w:tcPr>
            <w:tcW w:type="dxa" w:w="2400"/>
            <w:vAlign w:val="center"/>
            <w:tcMar>
              <w:top w:w="80" w:type="dxa"/>
              <w:start w:w="120" w:type="dxa"/>
              <w:bottom w:w="80" w:type="dxa"/>
              <w:end w:w="120" w:type="dxa"/>
            </w:tcMar>
          </w:tcPr>
          <w:p>
            <w:pPr>
              <w:spacing w:after="0" w:line="269" w:lineRule="auto"/>
            </w:pPr>
            <w:r>
              <w:rPr>
                <w:rFonts w:ascii="Arial" w:hAnsi="Arial"/>
                <w:color w:val="332E29"/>
                <w:sz w:val="17"/>
              </w:rPr>
              <w:t>Input</w:t>
            </w:r>
          </w:p>
        </w:tc>
        <w:tc>
          <w:tcPr>
            <w:tcW w:type="dxa" w:w="2100"/>
            <w:vAlign w:val="center"/>
            <w:tcMar>
              <w:top w:w="80" w:type="dxa"/>
              <w:start w:w="120" w:type="dxa"/>
              <w:bottom w:w="80" w:type="dxa"/>
              <w:end w:w="120" w:type="dxa"/>
            </w:tcMar>
          </w:tcPr>
          <w:p>
            <w:pPr>
              <w:spacing w:after="0" w:line="269" w:lineRule="auto"/>
            </w:pPr>
            <w:r>
              <w:rPr>
                <w:rFonts w:ascii="Arial" w:hAnsi="Arial"/>
                <w:color w:val="332E29"/>
                <w:sz w:val="17"/>
              </w:rPr>
              <w:t>500 merchant orders</w:t>
            </w:r>
          </w:p>
        </w:tc>
        <w:tc>
          <w:tcPr>
            <w:tcW w:type="dxa" w:w="4860"/>
            <w:vAlign w:val="center"/>
            <w:tcMar>
              <w:top w:w="80" w:type="dxa"/>
              <w:start w:w="120" w:type="dxa"/>
              <w:bottom w:w="80" w:type="dxa"/>
              <w:end w:w="120" w:type="dxa"/>
            </w:tcMar>
          </w:tcPr>
          <w:p>
            <w:pPr>
              <w:spacing w:after="0" w:line="269" w:lineRule="auto"/>
            </w:pPr>
            <w:r>
              <w:rPr>
                <w:rFonts w:ascii="Arial" w:hAnsi="Arial"/>
                <w:color w:val="332E29"/>
                <w:sz w:val="17"/>
              </w:rPr>
              <w:t>Reproducible realistic synthetic workload</w:t>
            </w:r>
          </w:p>
        </w:tc>
      </w:tr>
      <w:tr>
        <w:tc>
          <w:tcPr>
            <w:tcW w:type="dxa" w:w="2400"/>
            <w:vAlign w:val="center"/>
            <w:shd w:fill="F7F3EC"/>
            <w:tcMar>
              <w:top w:w="80" w:type="dxa"/>
              <w:start w:w="120" w:type="dxa"/>
              <w:bottom w:w="80" w:type="dxa"/>
              <w:end w:w="120" w:type="dxa"/>
            </w:tcMar>
          </w:tcPr>
          <w:p>
            <w:pPr>
              <w:spacing w:after="0" w:line="269" w:lineRule="auto"/>
            </w:pPr>
            <w:r>
              <w:rPr>
                <w:rFonts w:ascii="Arial" w:hAnsi="Arial"/>
                <w:color w:val="332E29"/>
                <w:sz w:val="17"/>
              </w:rPr>
              <w:t>Settlement batches</w:t>
            </w:r>
          </w:p>
        </w:tc>
        <w:tc>
          <w:tcPr>
            <w:tcW w:type="dxa" w:w="2100"/>
            <w:vAlign w:val="center"/>
            <w:shd w:fill="F7F3EC"/>
            <w:tcMar>
              <w:top w:w="80" w:type="dxa"/>
              <w:start w:w="120" w:type="dxa"/>
              <w:bottom w:w="80" w:type="dxa"/>
              <w:end w:w="120" w:type="dxa"/>
            </w:tcMar>
          </w:tcPr>
          <w:p>
            <w:pPr>
              <w:spacing w:after="0" w:line="269" w:lineRule="auto"/>
            </w:pPr>
            <w:r>
              <w:rPr>
                <w:rFonts w:ascii="Arial" w:hAnsi="Arial"/>
                <w:color w:val="332E29"/>
                <w:sz w:val="17"/>
              </w:rPr>
              <w:t>48</w:t>
            </w:r>
          </w:p>
        </w:tc>
        <w:tc>
          <w:tcPr>
            <w:tcW w:type="dxa" w:w="4860"/>
            <w:vAlign w:val="center"/>
            <w:shd w:fill="F7F3EC"/>
            <w:tcMar>
              <w:top w:w="80" w:type="dxa"/>
              <w:start w:w="120" w:type="dxa"/>
              <w:bottom w:w="80" w:type="dxa"/>
              <w:end w:w="120" w:type="dxa"/>
            </w:tcMar>
          </w:tcPr>
          <w:p>
            <w:pPr>
              <w:spacing w:after="0" w:line="269" w:lineRule="auto"/>
            </w:pPr>
            <w:r>
              <w:rPr>
                <w:rFonts w:ascii="Arial" w:hAnsi="Arial"/>
                <w:color w:val="332E29"/>
                <w:sz w:val="17"/>
              </w:rPr>
              <w:t>Many ledger lines aggregate into settlement batches</w:t>
            </w:r>
          </w:p>
        </w:tc>
      </w:tr>
      <w:tr>
        <w:tc>
          <w:tcPr>
            <w:tcW w:type="dxa" w:w="2400"/>
            <w:vAlign w:val="center"/>
            <w:tcMar>
              <w:top w:w="80" w:type="dxa"/>
              <w:start w:w="120" w:type="dxa"/>
              <w:bottom w:w="80" w:type="dxa"/>
              <w:end w:w="120" w:type="dxa"/>
            </w:tcMar>
          </w:tcPr>
          <w:p>
            <w:pPr>
              <w:spacing w:after="0" w:line="269" w:lineRule="auto"/>
            </w:pPr>
            <w:r>
              <w:rPr>
                <w:rFonts w:ascii="Arial" w:hAnsi="Arial"/>
                <w:color w:val="332E29"/>
                <w:sz w:val="17"/>
              </w:rPr>
              <w:t>Automatically reconciled</w:t>
            </w:r>
          </w:p>
        </w:tc>
        <w:tc>
          <w:tcPr>
            <w:tcW w:type="dxa" w:w="2100"/>
            <w:vAlign w:val="center"/>
            <w:tcMar>
              <w:top w:w="80" w:type="dxa"/>
              <w:start w:w="120" w:type="dxa"/>
              <w:bottom w:w="80" w:type="dxa"/>
              <w:end w:w="120" w:type="dxa"/>
            </w:tcMar>
          </w:tcPr>
          <w:p>
            <w:pPr>
              <w:spacing w:after="0" w:line="269" w:lineRule="auto"/>
            </w:pPr>
            <w:r>
              <w:rPr>
                <w:rFonts w:ascii="Arial" w:hAnsi="Arial"/>
                <w:color w:val="332E29"/>
                <w:sz w:val="17"/>
              </w:rPr>
              <w:t>39</w:t>
            </w:r>
          </w:p>
        </w:tc>
        <w:tc>
          <w:tcPr>
            <w:tcW w:type="dxa" w:w="4860"/>
            <w:vAlign w:val="center"/>
            <w:tcMar>
              <w:top w:w="80" w:type="dxa"/>
              <w:start w:w="120" w:type="dxa"/>
              <w:bottom w:w="80" w:type="dxa"/>
              <w:end w:w="120" w:type="dxa"/>
            </w:tcMar>
          </w:tcPr>
          <w:p>
            <w:pPr>
              <w:spacing w:after="0" w:line="269" w:lineRule="auto"/>
            </w:pPr>
            <w:r>
              <w:rPr>
                <w:rFonts w:ascii="Arial" w:hAnsi="Arial"/>
                <w:color w:val="332E29"/>
                <w:sz w:val="17"/>
              </w:rPr>
              <w:t>Safe exact outcomes</w:t>
            </w:r>
          </w:p>
        </w:tc>
      </w:tr>
      <w:tr>
        <w:tc>
          <w:tcPr>
            <w:tcW w:type="dxa" w:w="2400"/>
            <w:vAlign w:val="center"/>
            <w:shd w:fill="F7F3EC"/>
            <w:tcMar>
              <w:top w:w="80" w:type="dxa"/>
              <w:start w:w="120" w:type="dxa"/>
              <w:bottom w:w="80" w:type="dxa"/>
              <w:end w:w="120" w:type="dxa"/>
            </w:tcMar>
          </w:tcPr>
          <w:p>
            <w:pPr>
              <w:spacing w:after="0" w:line="269" w:lineRule="auto"/>
            </w:pPr>
            <w:r>
              <w:rPr>
                <w:rFonts w:ascii="Arial" w:hAnsi="Arial"/>
                <w:color w:val="332E29"/>
                <w:sz w:val="17"/>
              </w:rPr>
              <w:t>Review required</w:t>
            </w:r>
          </w:p>
        </w:tc>
        <w:tc>
          <w:tcPr>
            <w:tcW w:type="dxa" w:w="2100"/>
            <w:vAlign w:val="center"/>
            <w:shd w:fill="F7F3EC"/>
            <w:tcMar>
              <w:top w:w="80" w:type="dxa"/>
              <w:start w:w="120" w:type="dxa"/>
              <w:bottom w:w="80" w:type="dxa"/>
              <w:end w:w="120" w:type="dxa"/>
            </w:tcMar>
          </w:tcPr>
          <w:p>
            <w:pPr>
              <w:spacing w:after="0" w:line="269" w:lineRule="auto"/>
            </w:pPr>
            <w:r>
              <w:rPr>
                <w:rFonts w:ascii="Arial" w:hAnsi="Arial"/>
                <w:color w:val="332E29"/>
                <w:sz w:val="17"/>
              </w:rPr>
              <w:t>5</w:t>
            </w:r>
          </w:p>
        </w:tc>
        <w:tc>
          <w:tcPr>
            <w:tcW w:type="dxa" w:w="4860"/>
            <w:vAlign w:val="center"/>
            <w:shd w:fill="F7F3EC"/>
            <w:tcMar>
              <w:top w:w="80" w:type="dxa"/>
              <w:start w:w="120" w:type="dxa"/>
              <w:bottom w:w="80" w:type="dxa"/>
              <w:end w:w="120" w:type="dxa"/>
            </w:tcMar>
          </w:tcPr>
          <w:p>
            <w:pPr>
              <w:spacing w:after="0" w:line="269" w:lineRule="auto"/>
            </w:pPr>
            <w:r>
              <w:rPr>
                <w:rFonts w:ascii="Arial" w:hAnsi="Arial"/>
                <w:color w:val="332E29"/>
                <w:sz w:val="17"/>
              </w:rPr>
              <w:t>Ambiguity or missing reference fails closed</w:t>
            </w:r>
          </w:p>
        </w:tc>
      </w:tr>
      <w:tr>
        <w:tc>
          <w:tcPr>
            <w:tcW w:type="dxa" w:w="2400"/>
            <w:vAlign w:val="center"/>
            <w:tcMar>
              <w:top w:w="80" w:type="dxa"/>
              <w:start w:w="120" w:type="dxa"/>
              <w:bottom w:w="80" w:type="dxa"/>
              <w:end w:w="120" w:type="dxa"/>
            </w:tcMar>
          </w:tcPr>
          <w:p>
            <w:pPr>
              <w:spacing w:after="0" w:line="269" w:lineRule="auto"/>
            </w:pPr>
            <w:r>
              <w:rPr>
                <w:rFonts w:ascii="Arial" w:hAnsi="Arial"/>
                <w:color w:val="332E29"/>
                <w:sz w:val="17"/>
              </w:rPr>
              <w:t>Unreconciled</w:t>
            </w:r>
          </w:p>
        </w:tc>
        <w:tc>
          <w:tcPr>
            <w:tcW w:type="dxa" w:w="2100"/>
            <w:vAlign w:val="center"/>
            <w:tcMar>
              <w:top w:w="80" w:type="dxa"/>
              <w:start w:w="120" w:type="dxa"/>
              <w:bottom w:w="80" w:type="dxa"/>
              <w:end w:w="120" w:type="dxa"/>
            </w:tcMar>
          </w:tcPr>
          <w:p>
            <w:pPr>
              <w:spacing w:after="0" w:line="269" w:lineRule="auto"/>
            </w:pPr>
            <w:r>
              <w:rPr>
                <w:rFonts w:ascii="Arial" w:hAnsi="Arial"/>
                <w:color w:val="332E29"/>
                <w:sz w:val="17"/>
              </w:rPr>
              <w:t>4</w:t>
            </w:r>
          </w:p>
        </w:tc>
        <w:tc>
          <w:tcPr>
            <w:tcW w:type="dxa" w:w="4860"/>
            <w:vAlign w:val="center"/>
            <w:tcMar>
              <w:top w:w="80" w:type="dxa"/>
              <w:start w:w="120" w:type="dxa"/>
              <w:bottom w:w="80" w:type="dxa"/>
              <w:end w:w="120" w:type="dxa"/>
            </w:tcMar>
          </w:tcPr>
          <w:p>
            <w:pPr>
              <w:spacing w:after="0" w:line="269" w:lineRule="auto"/>
            </w:pPr>
            <w:r>
              <w:rPr>
                <w:rFonts w:ascii="Arial" w:hAnsi="Arial"/>
                <w:color w:val="332E29"/>
                <w:sz w:val="17"/>
              </w:rPr>
              <w:t>Missing bank credits or deterministic contradictions</w:t>
            </w:r>
          </w:p>
        </w:tc>
      </w:tr>
      <w:tr>
        <w:tc>
          <w:tcPr>
            <w:tcW w:type="dxa" w:w="2400"/>
            <w:vAlign w:val="center"/>
            <w:shd w:fill="F7F3EC"/>
            <w:tcMar>
              <w:top w:w="80" w:type="dxa"/>
              <w:start w:w="120" w:type="dxa"/>
              <w:bottom w:w="80" w:type="dxa"/>
              <w:end w:w="120" w:type="dxa"/>
            </w:tcMar>
          </w:tcPr>
          <w:p>
            <w:pPr>
              <w:spacing w:after="0" w:line="269" w:lineRule="auto"/>
            </w:pPr>
            <w:r>
              <w:rPr>
                <w:rFonts w:ascii="Arial" w:hAnsi="Arial"/>
                <w:color w:val="332E29"/>
                <w:sz w:val="17"/>
              </w:rPr>
              <w:t>Commercial exceptions</w:t>
            </w:r>
          </w:p>
        </w:tc>
        <w:tc>
          <w:tcPr>
            <w:tcW w:type="dxa" w:w="2100"/>
            <w:vAlign w:val="center"/>
            <w:shd w:fill="F7F3EC"/>
            <w:tcMar>
              <w:top w:w="80" w:type="dxa"/>
              <w:start w:w="120" w:type="dxa"/>
              <w:bottom w:w="80" w:type="dxa"/>
              <w:end w:w="120" w:type="dxa"/>
            </w:tcMar>
          </w:tcPr>
          <w:p>
            <w:pPr>
              <w:spacing w:after="0" w:line="269" w:lineRule="auto"/>
            </w:pPr>
            <w:r>
              <w:rPr>
                <w:rFonts w:ascii="Arial" w:hAnsi="Arial"/>
                <w:color w:val="332E29"/>
                <w:sz w:val="17"/>
              </w:rPr>
              <w:t>5</w:t>
            </w:r>
          </w:p>
        </w:tc>
        <w:tc>
          <w:tcPr>
            <w:tcW w:type="dxa" w:w="4860"/>
            <w:vAlign w:val="center"/>
            <w:shd w:fill="F7F3EC"/>
            <w:tcMar>
              <w:top w:w="80" w:type="dxa"/>
              <w:start w:w="120" w:type="dxa"/>
              <w:bottom w:w="80" w:type="dxa"/>
              <w:end w:w="120" w:type="dxa"/>
            </w:tcMar>
          </w:tcPr>
          <w:p>
            <w:pPr>
              <w:spacing w:after="0" w:line="269" w:lineRule="auto"/>
            </w:pPr>
            <w:r>
              <w:rPr>
                <w:rFonts w:ascii="Arial" w:hAnsi="Arial"/>
                <w:color w:val="332E29"/>
                <w:sz w:val="17"/>
              </w:rPr>
              <w:t>Order/payment/refund completeness is checked separately</w:t>
            </w:r>
          </w:p>
        </w:tc>
      </w:tr>
      <w:tr>
        <w:tc>
          <w:tcPr>
            <w:tcW w:type="dxa" w:w="2400"/>
            <w:vAlign w:val="center"/>
            <w:tcMar>
              <w:top w:w="80" w:type="dxa"/>
              <w:start w:w="120" w:type="dxa"/>
              <w:bottom w:w="80" w:type="dxa"/>
              <w:end w:w="120" w:type="dxa"/>
            </w:tcMar>
          </w:tcPr>
          <w:p>
            <w:pPr>
              <w:spacing w:after="0" w:line="269" w:lineRule="auto"/>
            </w:pPr>
            <w:r>
              <w:rPr>
                <w:rFonts w:ascii="Arial" w:hAnsi="Arial"/>
                <w:color w:val="332E29"/>
                <w:sz w:val="17"/>
              </w:rPr>
              <w:t>Correct outcomes</w:t>
            </w:r>
          </w:p>
        </w:tc>
        <w:tc>
          <w:tcPr>
            <w:tcW w:type="dxa" w:w="2100"/>
            <w:vAlign w:val="center"/>
            <w:tcMar>
              <w:top w:w="80" w:type="dxa"/>
              <w:start w:w="120" w:type="dxa"/>
              <w:bottom w:w="80" w:type="dxa"/>
              <w:end w:w="120" w:type="dxa"/>
            </w:tcMar>
          </w:tcPr>
          <w:p>
            <w:pPr>
              <w:spacing w:after="0" w:line="269" w:lineRule="auto"/>
            </w:pPr>
            <w:r>
              <w:rPr>
                <w:rFonts w:ascii="Arial" w:hAnsi="Arial"/>
                <w:color w:val="332E29"/>
                <w:sz w:val="17"/>
              </w:rPr>
              <w:t>48 / 48</w:t>
            </w:r>
          </w:p>
        </w:tc>
        <w:tc>
          <w:tcPr>
            <w:tcW w:type="dxa" w:w="4860"/>
            <w:vAlign w:val="center"/>
            <w:tcMar>
              <w:top w:w="80" w:type="dxa"/>
              <w:start w:w="120" w:type="dxa"/>
              <w:bottom w:w="80" w:type="dxa"/>
              <w:end w:w="120" w:type="dxa"/>
            </w:tcMar>
          </w:tcPr>
          <w:p>
            <w:pPr>
              <w:spacing w:after="0" w:line="269" w:lineRule="auto"/>
            </w:pPr>
            <w:r>
              <w:rPr>
                <w:rFonts w:ascii="Arial" w:hAnsi="Arial"/>
                <w:color w:val="332E29"/>
                <w:sz w:val="17"/>
              </w:rPr>
              <w:t>Statuses agree with hidden truth</w:t>
            </w:r>
          </w:p>
        </w:tc>
      </w:tr>
      <w:tr>
        <w:tc>
          <w:tcPr>
            <w:tcW w:type="dxa" w:w="2400"/>
            <w:vAlign w:val="center"/>
            <w:shd w:fill="F7F3EC"/>
            <w:tcMar>
              <w:top w:w="80" w:type="dxa"/>
              <w:start w:w="120" w:type="dxa"/>
              <w:bottom w:w="80" w:type="dxa"/>
              <w:end w:w="120" w:type="dxa"/>
            </w:tcMar>
          </w:tcPr>
          <w:p>
            <w:pPr>
              <w:spacing w:after="0" w:line="269" w:lineRule="auto"/>
            </w:pPr>
            <w:r>
              <w:rPr>
                <w:rFonts w:ascii="Arial" w:hAnsi="Arial"/>
                <w:color w:val="332E29"/>
                <w:sz w:val="17"/>
              </w:rPr>
              <w:t>False reconciliations</w:t>
            </w:r>
          </w:p>
        </w:tc>
        <w:tc>
          <w:tcPr>
            <w:tcW w:type="dxa" w:w="2100"/>
            <w:vAlign w:val="center"/>
            <w:shd w:fill="F7F3EC"/>
            <w:tcMar>
              <w:top w:w="80" w:type="dxa"/>
              <w:start w:w="120" w:type="dxa"/>
              <w:bottom w:w="80" w:type="dxa"/>
              <w:end w:w="120" w:type="dxa"/>
            </w:tcMar>
          </w:tcPr>
          <w:p>
            <w:pPr>
              <w:spacing w:after="0" w:line="269" w:lineRule="auto"/>
            </w:pPr>
            <w:r>
              <w:rPr>
                <w:rFonts w:ascii="Arial" w:hAnsi="Arial"/>
                <w:color w:val="332E29"/>
                <w:sz w:val="17"/>
              </w:rPr>
              <w:t>0</w:t>
            </w:r>
          </w:p>
        </w:tc>
        <w:tc>
          <w:tcPr>
            <w:tcW w:type="dxa" w:w="4860"/>
            <w:vAlign w:val="center"/>
            <w:shd w:fill="F7F3EC"/>
            <w:tcMar>
              <w:top w:w="80" w:type="dxa"/>
              <w:start w:w="120" w:type="dxa"/>
              <w:bottom w:w="80" w:type="dxa"/>
              <w:end w:w="120" w:type="dxa"/>
            </w:tcMar>
          </w:tcPr>
          <w:p>
            <w:pPr>
              <w:spacing w:after="0" w:line="269" w:lineRule="auto"/>
            </w:pPr>
            <w:r>
              <w:rPr>
                <w:rFonts w:ascii="Arial" w:hAnsi="Arial"/>
                <w:color w:val="332E29"/>
                <w:sz w:val="17"/>
              </w:rPr>
              <w:t>Primary financial-safety objective</w:t>
            </w:r>
          </w:p>
        </w:tc>
      </w:tr>
    </w:tbl>
    <w:p>
      <w:pPr>
        <w:spacing w:after="40"/>
      </w:pPr>
    </w:p>
    <w:p>
      <w:pPr>
        <w:pStyle w:val="Heading2"/>
      </w:pPr>
      <w:r>
        <w:t>Scorecard</w:t>
      </w:r>
    </w:p>
    <w:tbl>
      <w:tblPr>
        <w:tblStyle w:val="TableGrid"/>
        <w:tblW w:type="dxa" w:w="9360"/>
        <w:tblLayout w:type="fixed"/>
        <w:tblLook w:firstColumn="1" w:firstRow="1" w:lastColumn="0" w:lastRow="0" w:noHBand="0" w:noVBand="1" w:val="04A0"/>
        <w:tblInd w:w="120" w:type="dxa"/>
      </w:tblPr>
      <w:tblGrid>
        <w:gridCol w:w="3000"/>
        <w:gridCol w:w="1200"/>
        <w:gridCol w:w="5160"/>
      </w:tblGrid>
      <w:tr>
        <w:trPr>
          <w:tblHeader w:val="true"/>
        </w:trPr>
        <w:tc>
          <w:tcPr>
            <w:tcW w:type="dxa" w:w="3000"/>
            <w:shd w:fill="332E29"/>
            <w:vAlign w:val="center"/>
            <w:tcMar>
              <w:top w:w="80" w:type="dxa"/>
              <w:start w:w="120" w:type="dxa"/>
              <w:bottom w:w="80" w:type="dxa"/>
              <w:end w:w="120" w:type="dxa"/>
            </w:tcMar>
          </w:tcPr>
          <w:p>
            <w:pPr>
              <w:spacing w:after="0"/>
              <w:jc w:val="left"/>
            </w:pPr>
            <w:r>
              <w:rPr>
                <w:rFonts w:ascii="Arial" w:hAnsi="Arial"/>
                <w:b/>
                <w:color w:val="FFFFFF"/>
                <w:sz w:val="16"/>
              </w:rPr>
              <w:t>METRIC</w:t>
            </w:r>
          </w:p>
        </w:tc>
        <w:tc>
          <w:tcPr>
            <w:tcW w:type="dxa" w:w="1200"/>
            <w:shd w:fill="332E29"/>
            <w:vAlign w:val="center"/>
            <w:tcMar>
              <w:top w:w="80" w:type="dxa"/>
              <w:start w:w="120" w:type="dxa"/>
              <w:bottom w:w="80" w:type="dxa"/>
              <w:end w:w="120" w:type="dxa"/>
            </w:tcMar>
          </w:tcPr>
          <w:p>
            <w:pPr>
              <w:spacing w:after="0"/>
              <w:jc w:val="left"/>
            </w:pPr>
            <w:r>
              <w:rPr>
                <w:rFonts w:ascii="Arial" w:hAnsi="Arial"/>
                <w:b/>
                <w:color w:val="FFFFFF"/>
                <w:sz w:val="16"/>
              </w:rPr>
              <w:t>VALUE</w:t>
            </w:r>
          </w:p>
        </w:tc>
        <w:tc>
          <w:tcPr>
            <w:tcW w:type="dxa" w:w="5160"/>
            <w:shd w:fill="332E29"/>
            <w:vAlign w:val="center"/>
            <w:tcMar>
              <w:top w:w="80" w:type="dxa"/>
              <w:start w:w="120" w:type="dxa"/>
              <w:bottom w:w="80" w:type="dxa"/>
              <w:end w:w="120" w:type="dxa"/>
            </w:tcMar>
          </w:tcPr>
          <w:p>
            <w:pPr>
              <w:spacing w:after="0"/>
              <w:jc w:val="left"/>
            </w:pPr>
            <w:r>
              <w:rPr>
                <w:rFonts w:ascii="Arial" w:hAnsi="Arial"/>
                <w:b/>
                <w:color w:val="FFFFFF"/>
                <w:sz w:val="16"/>
              </w:rPr>
              <w:t>EXPECTED INTERPRETATION</w:t>
            </w:r>
          </w:p>
        </w:tc>
      </w:tr>
      <w:tr>
        <w:tc>
          <w:tcPr>
            <w:tcW w:type="dxa" w:w="3000"/>
            <w:vAlign w:val="center"/>
            <w:tcMar>
              <w:top w:w="80" w:type="dxa"/>
              <w:start w:w="120" w:type="dxa"/>
              <w:bottom w:w="80" w:type="dxa"/>
              <w:end w:w="120" w:type="dxa"/>
            </w:tcMar>
          </w:tcPr>
          <w:p>
            <w:pPr>
              <w:spacing w:after="0" w:line="269" w:lineRule="auto"/>
            </w:pPr>
            <w:r>
              <w:rPr>
                <w:rFonts w:ascii="Arial" w:hAnsi="Arial"/>
                <w:color w:val="332E29"/>
                <w:sz w:val="16"/>
              </w:rPr>
              <w:t>precision_auto</w:t>
            </w:r>
          </w:p>
        </w:tc>
        <w:tc>
          <w:tcPr>
            <w:tcW w:type="dxa" w:w="1200"/>
            <w:vAlign w:val="center"/>
            <w:tcMar>
              <w:top w:w="80" w:type="dxa"/>
              <w:start w:w="120" w:type="dxa"/>
              <w:bottom w:w="80" w:type="dxa"/>
              <w:end w:w="120" w:type="dxa"/>
            </w:tcMar>
          </w:tcPr>
          <w:p>
            <w:pPr>
              <w:spacing w:after="0" w:line="269" w:lineRule="auto"/>
            </w:pPr>
            <w:r>
              <w:rPr>
                <w:rFonts w:ascii="Arial" w:hAnsi="Arial"/>
                <w:color w:val="332E29"/>
                <w:sz w:val="16"/>
              </w:rPr>
              <w:t>1.000</w:t>
            </w:r>
          </w:p>
        </w:tc>
        <w:tc>
          <w:tcPr>
            <w:tcW w:type="dxa" w:w="5160"/>
            <w:vAlign w:val="center"/>
            <w:tcMar>
              <w:top w:w="80" w:type="dxa"/>
              <w:start w:w="120" w:type="dxa"/>
              <w:bottom w:w="80" w:type="dxa"/>
              <w:end w:w="120" w:type="dxa"/>
            </w:tcMar>
          </w:tcPr>
          <w:p>
            <w:pPr>
              <w:spacing w:after="0" w:line="269" w:lineRule="auto"/>
            </w:pPr>
            <w:r>
              <w:rPr>
                <w:rFonts w:ascii="Arial" w:hAnsi="Arial"/>
                <w:color w:val="332E29"/>
                <w:sz w:val="16"/>
              </w:rPr>
              <w:t>41 true positives, 0 false positives</w:t>
            </w:r>
          </w:p>
        </w:tc>
      </w:tr>
      <w:tr>
        <w:tc>
          <w:tcPr>
            <w:tcW w:type="dxa" w:w="3000"/>
            <w:vAlign w:val="center"/>
            <w:shd w:fill="F7F3EC"/>
            <w:tcMar>
              <w:top w:w="80" w:type="dxa"/>
              <w:start w:w="120" w:type="dxa"/>
              <w:bottom w:w="80" w:type="dxa"/>
              <w:end w:w="120" w:type="dxa"/>
            </w:tcMar>
          </w:tcPr>
          <w:p>
            <w:pPr>
              <w:spacing w:after="0" w:line="269" w:lineRule="auto"/>
            </w:pPr>
            <w:r>
              <w:rPr>
                <w:rFonts w:ascii="Arial" w:hAnsi="Arial"/>
                <w:color w:val="332E29"/>
                <w:sz w:val="16"/>
              </w:rPr>
              <w:t>forced_match_rate</w:t>
            </w:r>
          </w:p>
        </w:tc>
        <w:tc>
          <w:tcPr>
            <w:tcW w:type="dxa" w:w="1200"/>
            <w:vAlign w:val="center"/>
            <w:shd w:fill="F7F3EC"/>
            <w:tcMar>
              <w:top w:w="80" w:type="dxa"/>
              <w:start w:w="120" w:type="dxa"/>
              <w:bottom w:w="80" w:type="dxa"/>
              <w:end w:w="120" w:type="dxa"/>
            </w:tcMar>
          </w:tcPr>
          <w:p>
            <w:pPr>
              <w:spacing w:after="0" w:line="269" w:lineRule="auto"/>
            </w:pPr>
            <w:r>
              <w:rPr>
                <w:rFonts w:ascii="Arial" w:hAnsi="Arial"/>
                <w:color w:val="332E29"/>
                <w:sz w:val="16"/>
              </w:rPr>
              <w:t>0.000</w:t>
            </w:r>
          </w:p>
        </w:tc>
        <w:tc>
          <w:tcPr>
            <w:tcW w:type="dxa" w:w="5160"/>
            <w:vAlign w:val="center"/>
            <w:shd w:fill="F7F3EC"/>
            <w:tcMar>
              <w:top w:w="80" w:type="dxa"/>
              <w:start w:w="120" w:type="dxa"/>
              <w:bottom w:w="80" w:type="dxa"/>
              <w:end w:w="120" w:type="dxa"/>
            </w:tcMar>
          </w:tcPr>
          <w:p>
            <w:pPr>
              <w:spacing w:after="0" w:line="269" w:lineRule="auto"/>
            </w:pPr>
            <w:r>
              <w:rPr>
                <w:rFonts w:ascii="Arial" w:hAnsi="Arial"/>
                <w:color w:val="332E29"/>
                <w:sz w:val="16"/>
              </w:rPr>
              <w:t>0 of 4 cases with no unique partner were forced</w:t>
            </w:r>
          </w:p>
        </w:tc>
      </w:tr>
      <w:tr>
        <w:tc>
          <w:tcPr>
            <w:tcW w:type="dxa" w:w="3000"/>
            <w:vAlign w:val="center"/>
            <w:tcMar>
              <w:top w:w="80" w:type="dxa"/>
              <w:start w:w="120" w:type="dxa"/>
              <w:bottom w:w="80" w:type="dxa"/>
              <w:end w:w="120" w:type="dxa"/>
            </w:tcMar>
          </w:tcPr>
          <w:p>
            <w:pPr>
              <w:spacing w:after="0" w:line="269" w:lineRule="auto"/>
            </w:pPr>
            <w:r>
              <w:rPr>
                <w:rFonts w:ascii="Arial" w:hAnsi="Arial"/>
                <w:color w:val="332E29"/>
                <w:sz w:val="16"/>
              </w:rPr>
              <w:t>recall_auto</w:t>
            </w:r>
          </w:p>
        </w:tc>
        <w:tc>
          <w:tcPr>
            <w:tcW w:type="dxa" w:w="1200"/>
            <w:vAlign w:val="center"/>
            <w:tcMar>
              <w:top w:w="80" w:type="dxa"/>
              <w:start w:w="120" w:type="dxa"/>
              <w:bottom w:w="80" w:type="dxa"/>
              <w:end w:w="120" w:type="dxa"/>
            </w:tcMar>
          </w:tcPr>
          <w:p>
            <w:pPr>
              <w:spacing w:after="0" w:line="269" w:lineRule="auto"/>
            </w:pPr>
            <w:r>
              <w:rPr>
                <w:rFonts w:ascii="Arial" w:hAnsi="Arial"/>
                <w:color w:val="332E29"/>
                <w:sz w:val="16"/>
              </w:rPr>
              <w:t>0.932</w:t>
            </w:r>
          </w:p>
        </w:tc>
        <w:tc>
          <w:tcPr>
            <w:tcW w:type="dxa" w:w="5160"/>
            <w:vAlign w:val="center"/>
            <w:tcMar>
              <w:top w:w="80" w:type="dxa"/>
              <w:start w:w="120" w:type="dxa"/>
              <w:bottom w:w="80" w:type="dxa"/>
              <w:end w:w="120" w:type="dxa"/>
            </w:tcMar>
          </w:tcPr>
          <w:p>
            <w:pPr>
              <w:spacing w:after="0" w:line="269" w:lineRule="auto"/>
            </w:pPr>
            <w:r>
              <w:rPr>
                <w:rFonts w:ascii="Arial" w:hAnsi="Arial"/>
                <w:color w:val="332E29"/>
                <w:sz w:val="16"/>
              </w:rPr>
              <w:t>41 of 44 correct partners auto-accepted</w:t>
            </w:r>
          </w:p>
        </w:tc>
      </w:tr>
      <w:tr>
        <w:tc>
          <w:tcPr>
            <w:tcW w:type="dxa" w:w="3000"/>
            <w:vAlign w:val="center"/>
            <w:shd w:fill="F7F3EC"/>
            <w:tcMar>
              <w:top w:w="80" w:type="dxa"/>
              <w:start w:w="120" w:type="dxa"/>
              <w:bottom w:w="80" w:type="dxa"/>
              <w:end w:w="120" w:type="dxa"/>
            </w:tcMar>
          </w:tcPr>
          <w:p>
            <w:pPr>
              <w:spacing w:after="0" w:line="269" w:lineRule="auto"/>
            </w:pPr>
            <w:r>
              <w:rPr>
                <w:rFonts w:ascii="Arial" w:hAnsi="Arial"/>
                <w:color w:val="332E29"/>
                <w:sz w:val="16"/>
              </w:rPr>
              <w:t>link_precision_all_tiers</w:t>
            </w:r>
          </w:p>
        </w:tc>
        <w:tc>
          <w:tcPr>
            <w:tcW w:type="dxa" w:w="1200"/>
            <w:vAlign w:val="center"/>
            <w:shd w:fill="F7F3EC"/>
            <w:tcMar>
              <w:top w:w="80" w:type="dxa"/>
              <w:start w:w="120" w:type="dxa"/>
              <w:bottom w:w="80" w:type="dxa"/>
              <w:end w:w="120" w:type="dxa"/>
            </w:tcMar>
          </w:tcPr>
          <w:p>
            <w:pPr>
              <w:spacing w:after="0" w:line="269" w:lineRule="auto"/>
            </w:pPr>
            <w:r>
              <w:rPr>
                <w:rFonts w:ascii="Arial" w:hAnsi="Arial"/>
                <w:color w:val="332E29"/>
                <w:sz w:val="16"/>
              </w:rPr>
              <w:t>1.000</w:t>
            </w:r>
          </w:p>
        </w:tc>
        <w:tc>
          <w:tcPr>
            <w:tcW w:type="dxa" w:w="5160"/>
            <w:vAlign w:val="center"/>
            <w:shd w:fill="F7F3EC"/>
            <w:tcMar>
              <w:top w:w="80" w:type="dxa"/>
              <w:start w:w="120" w:type="dxa"/>
              <w:bottom w:w="80" w:type="dxa"/>
              <w:end w:w="120" w:type="dxa"/>
            </w:tcMar>
          </w:tcPr>
          <w:p>
            <w:pPr>
              <w:spacing w:after="0" w:line="269" w:lineRule="auto"/>
            </w:pPr>
            <w:r>
              <w:rPr>
                <w:rFonts w:ascii="Arial" w:hAnsi="Arial"/>
                <w:color w:val="332E29"/>
                <w:sz w:val="16"/>
              </w:rPr>
              <w:t>44 true positives, 0 false positives</w:t>
            </w:r>
          </w:p>
        </w:tc>
      </w:tr>
      <w:tr>
        <w:tc>
          <w:tcPr>
            <w:tcW w:type="dxa" w:w="3000"/>
            <w:vAlign w:val="center"/>
            <w:tcMar>
              <w:top w:w="80" w:type="dxa"/>
              <w:start w:w="120" w:type="dxa"/>
              <w:bottom w:w="80" w:type="dxa"/>
              <w:end w:w="120" w:type="dxa"/>
            </w:tcMar>
          </w:tcPr>
          <w:p>
            <w:pPr>
              <w:spacing w:after="0" w:line="269" w:lineRule="auto"/>
            </w:pPr>
            <w:r>
              <w:rPr>
                <w:rFonts w:ascii="Arial" w:hAnsi="Arial"/>
                <w:color w:val="332E29"/>
                <w:sz w:val="16"/>
              </w:rPr>
              <w:t>link_recall_all_tiers</w:t>
            </w:r>
          </w:p>
        </w:tc>
        <w:tc>
          <w:tcPr>
            <w:tcW w:type="dxa" w:w="1200"/>
            <w:vAlign w:val="center"/>
            <w:tcMar>
              <w:top w:w="80" w:type="dxa"/>
              <w:start w:w="120" w:type="dxa"/>
              <w:bottom w:w="80" w:type="dxa"/>
              <w:end w:w="120" w:type="dxa"/>
            </w:tcMar>
          </w:tcPr>
          <w:p>
            <w:pPr>
              <w:spacing w:after="0" w:line="269" w:lineRule="auto"/>
            </w:pPr>
            <w:r>
              <w:rPr>
                <w:rFonts w:ascii="Arial" w:hAnsi="Arial"/>
                <w:color w:val="332E29"/>
                <w:sz w:val="16"/>
              </w:rPr>
              <w:t>1.000</w:t>
            </w:r>
          </w:p>
        </w:tc>
        <w:tc>
          <w:tcPr>
            <w:tcW w:type="dxa" w:w="5160"/>
            <w:vAlign w:val="center"/>
            <w:tcMar>
              <w:top w:w="80" w:type="dxa"/>
              <w:start w:w="120" w:type="dxa"/>
              <w:bottom w:w="80" w:type="dxa"/>
              <w:end w:w="120" w:type="dxa"/>
            </w:tcMar>
          </w:tcPr>
          <w:p>
            <w:pPr>
              <w:spacing w:after="0" w:line="269" w:lineRule="auto"/>
            </w:pPr>
            <w:r>
              <w:rPr>
                <w:rFonts w:ascii="Arial" w:hAnsi="Arial"/>
                <w:color w:val="332E29"/>
                <w:sz w:val="16"/>
              </w:rPr>
              <w:t>0 misses across 44 linkable settlements</w:t>
            </w:r>
          </w:p>
        </w:tc>
      </w:tr>
      <w:tr>
        <w:tc>
          <w:tcPr>
            <w:tcW w:type="dxa" w:w="3000"/>
            <w:vAlign w:val="center"/>
            <w:shd w:fill="F7F3EC"/>
            <w:tcMar>
              <w:top w:w="80" w:type="dxa"/>
              <w:start w:w="120" w:type="dxa"/>
              <w:bottom w:w="80" w:type="dxa"/>
              <w:end w:w="120" w:type="dxa"/>
            </w:tcMar>
          </w:tcPr>
          <w:p>
            <w:pPr>
              <w:spacing w:after="0" w:line="269" w:lineRule="auto"/>
            </w:pPr>
            <w:r>
              <w:rPr>
                <w:rFonts w:ascii="Arial" w:hAnsi="Arial"/>
                <w:color w:val="332E29"/>
                <w:sz w:val="16"/>
              </w:rPr>
              <w:t>exception_recall</w:t>
            </w:r>
          </w:p>
        </w:tc>
        <w:tc>
          <w:tcPr>
            <w:tcW w:type="dxa" w:w="1200"/>
            <w:vAlign w:val="center"/>
            <w:shd w:fill="F7F3EC"/>
            <w:tcMar>
              <w:top w:w="80" w:type="dxa"/>
              <w:start w:w="120" w:type="dxa"/>
              <w:bottom w:w="80" w:type="dxa"/>
              <w:end w:w="120" w:type="dxa"/>
            </w:tcMar>
          </w:tcPr>
          <w:p>
            <w:pPr>
              <w:spacing w:after="0" w:line="269" w:lineRule="auto"/>
            </w:pPr>
            <w:r>
              <w:rPr>
                <w:rFonts w:ascii="Arial" w:hAnsi="Arial"/>
                <w:color w:val="332E29"/>
                <w:sz w:val="16"/>
              </w:rPr>
              <w:t>1.000</w:t>
            </w:r>
          </w:p>
        </w:tc>
        <w:tc>
          <w:tcPr>
            <w:tcW w:type="dxa" w:w="5160"/>
            <w:vAlign w:val="center"/>
            <w:shd w:fill="F7F3EC"/>
            <w:tcMar>
              <w:top w:w="80" w:type="dxa"/>
              <w:start w:w="120" w:type="dxa"/>
              <w:bottom w:w="80" w:type="dxa"/>
              <w:end w:w="120" w:type="dxa"/>
            </w:tcMar>
          </w:tcPr>
          <w:p>
            <w:pPr>
              <w:spacing w:after="0" w:line="269" w:lineRule="auto"/>
            </w:pPr>
            <w:r>
              <w:rPr>
                <w:rFonts w:ascii="Arial" w:hAnsi="Arial"/>
                <w:color w:val="332E29"/>
                <w:sz w:val="16"/>
              </w:rPr>
              <w:t>0 misses across 14 expected exceptions</w:t>
            </w:r>
          </w:p>
        </w:tc>
      </w:tr>
      <w:tr>
        <w:tc>
          <w:tcPr>
            <w:tcW w:type="dxa" w:w="3000"/>
            <w:vAlign w:val="center"/>
            <w:tcMar>
              <w:top w:w="80" w:type="dxa"/>
              <w:start w:w="120" w:type="dxa"/>
              <w:bottom w:w="80" w:type="dxa"/>
              <w:end w:w="120" w:type="dxa"/>
            </w:tcMar>
          </w:tcPr>
          <w:p>
            <w:pPr>
              <w:spacing w:after="0" w:line="269" w:lineRule="auto"/>
            </w:pPr>
            <w:r>
              <w:rPr>
                <w:rFonts w:ascii="Arial" w:hAnsi="Arial"/>
                <w:color w:val="332E29"/>
                <w:sz w:val="16"/>
              </w:rPr>
              <w:t>exception_code_accuracy</w:t>
            </w:r>
          </w:p>
        </w:tc>
        <w:tc>
          <w:tcPr>
            <w:tcW w:type="dxa" w:w="1200"/>
            <w:vAlign w:val="center"/>
            <w:tcMar>
              <w:top w:w="80" w:type="dxa"/>
              <w:start w:w="120" w:type="dxa"/>
              <w:bottom w:w="80" w:type="dxa"/>
              <w:end w:w="120" w:type="dxa"/>
            </w:tcMar>
          </w:tcPr>
          <w:p>
            <w:pPr>
              <w:spacing w:after="0" w:line="269" w:lineRule="auto"/>
            </w:pPr>
            <w:r>
              <w:rPr>
                <w:rFonts w:ascii="Arial" w:hAnsi="Arial"/>
                <w:color w:val="332E29"/>
                <w:sz w:val="16"/>
              </w:rPr>
              <w:t>1.000</w:t>
            </w:r>
          </w:p>
        </w:tc>
        <w:tc>
          <w:tcPr>
            <w:tcW w:type="dxa" w:w="5160"/>
            <w:vAlign w:val="center"/>
            <w:tcMar>
              <w:top w:w="80" w:type="dxa"/>
              <w:start w:w="120" w:type="dxa"/>
              <w:bottom w:w="80" w:type="dxa"/>
              <w:end w:w="120" w:type="dxa"/>
            </w:tcMar>
          </w:tcPr>
          <w:p>
            <w:pPr>
              <w:spacing w:after="0" w:line="269" w:lineRule="auto"/>
            </w:pPr>
            <w:r>
              <w:rPr>
                <w:rFonts w:ascii="Arial" w:hAnsi="Arial"/>
                <w:color w:val="332E29"/>
                <w:sz w:val="16"/>
              </w:rPr>
              <w:t>14 correctly coded aggregate detections</w:t>
            </w:r>
          </w:p>
        </w:tc>
      </w:tr>
      <w:tr>
        <w:tc>
          <w:tcPr>
            <w:tcW w:type="dxa" w:w="3000"/>
            <w:vAlign w:val="center"/>
            <w:shd w:fill="F7F3EC"/>
            <w:tcMar>
              <w:top w:w="80" w:type="dxa"/>
              <w:start w:w="120" w:type="dxa"/>
              <w:bottom w:w="80" w:type="dxa"/>
              <w:end w:w="120" w:type="dxa"/>
            </w:tcMar>
          </w:tcPr>
          <w:p>
            <w:pPr>
              <w:spacing w:after="0" w:line="269" w:lineRule="auto"/>
            </w:pPr>
            <w:r>
              <w:rPr>
                <w:rFonts w:ascii="Arial" w:hAnsi="Arial"/>
                <w:color w:val="332E29"/>
                <w:sz w:val="16"/>
              </w:rPr>
              <w:t>exception_precision</w:t>
            </w:r>
          </w:p>
        </w:tc>
        <w:tc>
          <w:tcPr>
            <w:tcW w:type="dxa" w:w="1200"/>
            <w:vAlign w:val="center"/>
            <w:shd w:fill="F7F3EC"/>
            <w:tcMar>
              <w:top w:w="80" w:type="dxa"/>
              <w:start w:w="120" w:type="dxa"/>
              <w:bottom w:w="80" w:type="dxa"/>
              <w:end w:w="120" w:type="dxa"/>
            </w:tcMar>
          </w:tcPr>
          <w:p>
            <w:pPr>
              <w:spacing w:after="0" w:line="269" w:lineRule="auto"/>
            </w:pPr>
            <w:r>
              <w:rPr>
                <w:rFonts w:ascii="Arial" w:hAnsi="Arial"/>
                <w:color w:val="332E29"/>
                <w:sz w:val="16"/>
              </w:rPr>
              <w:t>1.000</w:t>
            </w:r>
          </w:p>
        </w:tc>
        <w:tc>
          <w:tcPr>
            <w:tcW w:type="dxa" w:w="5160"/>
            <w:vAlign w:val="center"/>
            <w:shd w:fill="F7F3EC"/>
            <w:tcMar>
              <w:top w:w="80" w:type="dxa"/>
              <w:start w:w="120" w:type="dxa"/>
              <w:bottom w:w="80" w:type="dxa"/>
              <w:end w:w="120" w:type="dxa"/>
            </w:tcMar>
          </w:tcPr>
          <w:p>
            <w:pPr>
              <w:spacing w:after="0" w:line="269" w:lineRule="auto"/>
            </w:pPr>
            <w:r>
              <w:rPr>
                <w:rFonts w:ascii="Arial" w:hAnsi="Arial"/>
                <w:color w:val="332E29"/>
                <w:sz w:val="16"/>
              </w:rPr>
              <w:t>14 flagged, 0 unsupported</w:t>
            </w:r>
          </w:p>
        </w:tc>
      </w:tr>
      <w:tr>
        <w:tc>
          <w:tcPr>
            <w:tcW w:type="dxa" w:w="3000"/>
            <w:vAlign w:val="center"/>
            <w:tcMar>
              <w:top w:w="80" w:type="dxa"/>
              <w:start w:w="120" w:type="dxa"/>
              <w:bottom w:w="80" w:type="dxa"/>
              <w:end w:w="120" w:type="dxa"/>
            </w:tcMar>
          </w:tcPr>
          <w:p>
            <w:pPr>
              <w:spacing w:after="0" w:line="269" w:lineRule="auto"/>
            </w:pPr>
            <w:r>
              <w:rPr>
                <w:rFonts w:ascii="Arial" w:hAnsi="Arial"/>
                <w:color w:val="332E29"/>
                <w:sz w:val="16"/>
              </w:rPr>
              <w:t>value_coverage</w:t>
            </w:r>
          </w:p>
        </w:tc>
        <w:tc>
          <w:tcPr>
            <w:tcW w:type="dxa" w:w="1200"/>
            <w:vAlign w:val="center"/>
            <w:tcMar>
              <w:top w:w="80" w:type="dxa"/>
              <w:start w:w="120" w:type="dxa"/>
              <w:bottom w:w="80" w:type="dxa"/>
              <w:end w:w="120" w:type="dxa"/>
            </w:tcMar>
          </w:tcPr>
          <w:p>
            <w:pPr>
              <w:spacing w:after="0" w:line="269" w:lineRule="auto"/>
            </w:pPr>
            <w:r>
              <w:rPr>
                <w:rFonts w:ascii="Arial" w:hAnsi="Arial"/>
                <w:color w:val="332E29"/>
                <w:sz w:val="16"/>
              </w:rPr>
              <w:t>1.000</w:t>
            </w:r>
          </w:p>
        </w:tc>
        <w:tc>
          <w:tcPr>
            <w:tcW w:type="dxa" w:w="5160"/>
            <w:vAlign w:val="center"/>
            <w:tcMar>
              <w:top w:w="80" w:type="dxa"/>
              <w:start w:w="120" w:type="dxa"/>
              <w:bottom w:w="80" w:type="dxa"/>
              <w:end w:w="120" w:type="dxa"/>
            </w:tcMar>
          </w:tcPr>
          <w:p>
            <w:pPr>
              <w:spacing w:after="0" w:line="269" w:lineRule="auto"/>
            </w:pPr>
            <w:r>
              <w:rPr>
                <w:rFonts w:ascii="Arial" w:hAnsi="Arial"/>
                <w:color w:val="332E29"/>
                <w:sz w:val="16"/>
              </w:rPr>
              <w:t>1,006,548,648 of 1,006,548,648 eligible minor units linked</w:t>
            </w:r>
          </w:p>
        </w:tc>
      </w:tr>
    </w:tbl>
    <w:p>
      <w:pPr>
        <w:spacing w:after="40"/>
      </w:pPr>
    </w:p>
    <w:p>
      <w:pPr>
        <w:keepNext/>
        <w:spacing w:after="160"/>
      </w:pPr>
      <w:r>
        <w:rPr>
          <w:rFonts w:ascii="Arial" w:hAnsi="Arial"/>
          <w:b/>
          <w:color w:val="D95A00"/>
          <w:sz w:val="18"/>
        </w:rPr>
        <w:t>EVIDENCE TOUR</w:t>
      </w:r>
    </w:p>
    <w:p>
      <w:pPr>
        <w:keepNext/>
        <w:spacing w:after="160"/>
      </w:pPr>
      <w:r>
        <w:rPr>
          <w:rFonts w:ascii="Arial" w:hAnsi="Arial"/>
          <w:b/>
          <w:color w:val="332E29"/>
          <w:sz w:val="48"/>
        </w:rPr>
        <w:t>Verified settlement cases to open</w:t>
      </w:r>
    </w:p>
    <w:tbl>
      <w:tblPr>
        <w:tblStyle w:val="TableGrid"/>
        <w:tblW w:type="dxa" w:w="9360"/>
        <w:tblLayout w:type="fixed"/>
        <w:tblLook w:firstColumn="1" w:firstRow="1" w:lastColumn="0" w:lastRow="0" w:noHBand="0" w:noVBand="1" w:val="04A0"/>
        <w:tblInd w:w="120" w:type="dxa"/>
      </w:tblPr>
      <w:tblGrid>
        <w:gridCol w:w="1550"/>
        <w:gridCol w:w="1850"/>
        <w:gridCol w:w="2780"/>
        <w:gridCol w:w="3180"/>
      </w:tblGrid>
      <w:tr>
        <w:trPr>
          <w:tblHeader w:val="true"/>
        </w:trPr>
        <w:tc>
          <w:tcPr>
            <w:tcW w:type="dxa" w:w="1550"/>
            <w:shd w:fill="332E29"/>
            <w:vAlign w:val="center"/>
            <w:tcMar>
              <w:top w:w="80" w:type="dxa"/>
              <w:start w:w="120" w:type="dxa"/>
              <w:bottom w:w="80" w:type="dxa"/>
              <w:end w:w="120" w:type="dxa"/>
            </w:tcMar>
          </w:tcPr>
          <w:p>
            <w:pPr>
              <w:spacing w:after="0"/>
              <w:jc w:val="left"/>
            </w:pPr>
            <w:r>
              <w:rPr>
                <w:rFonts w:ascii="Arial" w:hAnsi="Arial"/>
                <w:b/>
                <w:color w:val="FFFFFF"/>
                <w:sz w:val="16"/>
              </w:rPr>
              <w:t>SETTLEMENT</w:t>
            </w:r>
          </w:p>
        </w:tc>
        <w:tc>
          <w:tcPr>
            <w:tcW w:type="dxa" w:w="1850"/>
            <w:shd w:fill="332E29"/>
            <w:vAlign w:val="center"/>
            <w:tcMar>
              <w:top w:w="80" w:type="dxa"/>
              <w:start w:w="120" w:type="dxa"/>
              <w:bottom w:w="80" w:type="dxa"/>
              <w:end w:w="120" w:type="dxa"/>
            </w:tcMar>
          </w:tcPr>
          <w:p>
            <w:pPr>
              <w:spacing w:after="0"/>
              <w:jc w:val="left"/>
            </w:pPr>
            <w:r>
              <w:rPr>
                <w:rFonts w:ascii="Arial" w:hAnsi="Arial"/>
                <w:b/>
                <w:color w:val="FFFFFF"/>
                <w:sz w:val="16"/>
              </w:rPr>
              <w:t>EXPECTED STATUS</w:t>
            </w:r>
          </w:p>
        </w:tc>
        <w:tc>
          <w:tcPr>
            <w:tcW w:type="dxa" w:w="2780"/>
            <w:shd w:fill="332E29"/>
            <w:vAlign w:val="center"/>
            <w:tcMar>
              <w:top w:w="80" w:type="dxa"/>
              <w:start w:w="120" w:type="dxa"/>
              <w:bottom w:w="80" w:type="dxa"/>
              <w:end w:w="120" w:type="dxa"/>
            </w:tcMar>
          </w:tcPr>
          <w:p>
            <w:pPr>
              <w:spacing w:after="0"/>
              <w:jc w:val="left"/>
            </w:pPr>
            <w:r>
              <w:rPr>
                <w:rFonts w:ascii="Arial" w:hAnsi="Arial"/>
                <w:b/>
                <w:color w:val="FFFFFF"/>
                <w:sz w:val="16"/>
              </w:rPr>
              <w:t>FEATURE TO DEMONSTRATE</w:t>
            </w:r>
          </w:p>
        </w:tc>
        <w:tc>
          <w:tcPr>
            <w:tcW w:type="dxa" w:w="3180"/>
            <w:shd w:fill="332E29"/>
            <w:vAlign w:val="center"/>
            <w:tcMar>
              <w:top w:w="80" w:type="dxa"/>
              <w:start w:w="120" w:type="dxa"/>
              <w:bottom w:w="80" w:type="dxa"/>
              <w:end w:w="120" w:type="dxa"/>
            </w:tcMar>
          </w:tcPr>
          <w:p>
            <w:pPr>
              <w:spacing w:after="0"/>
              <w:jc w:val="left"/>
            </w:pPr>
            <w:r>
              <w:rPr>
                <w:rFonts w:ascii="Arial" w:hAnsi="Arial"/>
                <w:b/>
                <w:color w:val="FFFFFF"/>
                <w:sz w:val="16"/>
              </w:rPr>
              <w:t>EXPECTED EVIDENCE</w:t>
            </w:r>
          </w:p>
        </w:tc>
      </w:tr>
      <w:tr>
        <w:tc>
          <w:tcPr>
            <w:tcW w:type="dxa" w:w="1550"/>
            <w:vAlign w:val="center"/>
            <w:tcMar>
              <w:top w:w="80" w:type="dxa"/>
              <w:start w:w="120" w:type="dxa"/>
              <w:bottom w:w="80" w:type="dxa"/>
              <w:end w:w="120" w:type="dxa"/>
            </w:tcMar>
          </w:tcPr>
          <w:p>
            <w:pPr>
              <w:spacing w:after="0" w:line="269" w:lineRule="auto"/>
            </w:pPr>
            <w:r>
              <w:rPr>
                <w:rFonts w:ascii="Arial" w:hAnsi="Arial"/>
                <w:color w:val="332E29"/>
                <w:sz w:val="16"/>
              </w:rPr>
              <w:t>setl_SYN0001</w:t>
            </w:r>
          </w:p>
        </w:tc>
        <w:tc>
          <w:tcPr>
            <w:tcW w:type="dxa" w:w="1850"/>
            <w:vAlign w:val="center"/>
            <w:tcMar>
              <w:top w:w="80" w:type="dxa"/>
              <w:start w:w="120" w:type="dxa"/>
              <w:bottom w:w="80" w:type="dxa"/>
              <w:end w:w="120" w:type="dxa"/>
            </w:tcMar>
          </w:tcPr>
          <w:p>
            <w:pPr>
              <w:spacing w:after="0" w:line="269" w:lineRule="auto"/>
            </w:pPr>
            <w:r>
              <w:rPr>
                <w:rFonts w:ascii="Arial" w:hAnsi="Arial"/>
                <w:color w:val="332E29"/>
                <w:sz w:val="16"/>
              </w:rPr>
              <w:t>RECONCILED / HIGH</w:t>
            </w:r>
          </w:p>
        </w:tc>
        <w:tc>
          <w:tcPr>
            <w:tcW w:type="dxa" w:w="2780"/>
            <w:vAlign w:val="center"/>
            <w:tcMar>
              <w:top w:w="80" w:type="dxa"/>
              <w:start w:w="120" w:type="dxa"/>
              <w:bottom w:w="80" w:type="dxa"/>
              <w:end w:w="120" w:type="dxa"/>
            </w:tcMar>
          </w:tcPr>
          <w:p>
            <w:pPr>
              <w:spacing w:after="0" w:line="269" w:lineRule="auto"/>
            </w:pPr>
            <w:r>
              <w:rPr>
                <w:rFonts w:ascii="Arial" w:hAnsi="Arial"/>
                <w:color w:val="332E29"/>
                <w:sz w:val="16"/>
              </w:rPr>
              <w:t>Clean many-to-one ledger and bank proof</w:t>
            </w:r>
          </w:p>
        </w:tc>
        <w:tc>
          <w:tcPr>
            <w:tcW w:type="dxa" w:w="3180"/>
            <w:vAlign w:val="center"/>
            <w:tcMar>
              <w:top w:w="80" w:type="dxa"/>
              <w:start w:w="120" w:type="dxa"/>
              <w:bottom w:w="80" w:type="dxa"/>
              <w:end w:w="120" w:type="dxa"/>
            </w:tcMar>
          </w:tcPr>
          <w:p>
            <w:pPr>
              <w:spacing w:after="0" w:line="269" w:lineRule="auto"/>
            </w:pPr>
            <w:r>
              <w:rPr>
                <w:rFonts w:ascii="Arial" w:hAnsi="Arial"/>
                <w:color w:val="332E29"/>
                <w:sz w:val="16"/>
              </w:rPr>
              <w:t>₹0.00 gateway delta; accepted exact bank evidence</w:t>
            </w:r>
          </w:p>
        </w:tc>
      </w:tr>
      <w:tr>
        <w:tc>
          <w:tcPr>
            <w:tcW w:type="dxa" w:w="1550"/>
            <w:vAlign w:val="center"/>
            <w:shd w:fill="F7F3EC"/>
            <w:tcMar>
              <w:top w:w="80" w:type="dxa"/>
              <w:start w:w="120" w:type="dxa"/>
              <w:bottom w:w="80" w:type="dxa"/>
              <w:end w:w="120" w:type="dxa"/>
            </w:tcMar>
          </w:tcPr>
          <w:p>
            <w:pPr>
              <w:spacing w:after="0" w:line="269" w:lineRule="auto"/>
            </w:pPr>
            <w:r>
              <w:rPr>
                <w:rFonts w:ascii="Arial" w:hAnsi="Arial"/>
                <w:color w:val="332E29"/>
                <w:sz w:val="16"/>
              </w:rPr>
              <w:t>setl_SYN0013</w:t>
            </w:r>
          </w:p>
        </w:tc>
        <w:tc>
          <w:tcPr>
            <w:tcW w:type="dxa" w:w="1850"/>
            <w:vAlign w:val="center"/>
            <w:shd w:fill="F7F3EC"/>
            <w:tcMar>
              <w:top w:w="80" w:type="dxa"/>
              <w:start w:w="120" w:type="dxa"/>
              <w:bottom w:w="80" w:type="dxa"/>
              <w:end w:w="120" w:type="dxa"/>
            </w:tcMar>
          </w:tcPr>
          <w:p>
            <w:pPr>
              <w:spacing w:after="0" w:line="269" w:lineRule="auto"/>
            </w:pPr>
            <w:r>
              <w:rPr>
                <w:rFonts w:ascii="Arial" w:hAnsi="Arial"/>
                <w:color w:val="332E29"/>
                <w:sz w:val="16"/>
              </w:rPr>
              <w:t>REVIEW / MEDIUM</w:t>
            </w:r>
          </w:p>
        </w:tc>
        <w:tc>
          <w:tcPr>
            <w:tcW w:type="dxa" w:w="2780"/>
            <w:vAlign w:val="center"/>
            <w:shd w:fill="F7F3EC"/>
            <w:tcMar>
              <w:top w:w="80" w:type="dxa"/>
              <w:start w:w="120" w:type="dxa"/>
              <w:bottom w:w="80" w:type="dxa"/>
              <w:end w:w="120" w:type="dxa"/>
            </w:tcMar>
          </w:tcPr>
          <w:p>
            <w:pPr>
              <w:spacing w:after="0" w:line="269" w:lineRule="auto"/>
            </w:pPr>
            <w:r>
              <w:rPr>
                <w:rFonts w:ascii="Arial" w:hAnsi="Arial"/>
                <w:color w:val="332E29"/>
                <w:sz w:val="16"/>
              </w:rPr>
              <w:t>Missing UTR</w:t>
            </w:r>
          </w:p>
        </w:tc>
        <w:tc>
          <w:tcPr>
            <w:tcW w:type="dxa" w:w="3180"/>
            <w:vAlign w:val="center"/>
            <w:shd w:fill="F7F3EC"/>
            <w:tcMar>
              <w:top w:w="80" w:type="dxa"/>
              <w:start w:w="120" w:type="dxa"/>
              <w:bottom w:w="80" w:type="dxa"/>
              <w:end w:w="120" w:type="dxa"/>
            </w:tcMar>
          </w:tcPr>
          <w:p>
            <w:pPr>
              <w:spacing w:after="0" w:line="269" w:lineRule="auto"/>
            </w:pPr>
            <w:r>
              <w:rPr>
                <w:rFonts w:ascii="Arial" w:hAnsi="Arial"/>
                <w:color w:val="332E29"/>
                <w:sz w:val="16"/>
              </w:rPr>
              <w:t>UTR_MISSING; bank_SYN0013; exact amount alone is insufficient</w:t>
            </w:r>
          </w:p>
        </w:tc>
      </w:tr>
      <w:tr>
        <w:tc>
          <w:tcPr>
            <w:tcW w:type="dxa" w:w="1550"/>
            <w:vAlign w:val="center"/>
            <w:tcMar>
              <w:top w:w="80" w:type="dxa"/>
              <w:start w:w="120" w:type="dxa"/>
              <w:bottom w:w="80" w:type="dxa"/>
              <w:end w:w="120" w:type="dxa"/>
            </w:tcMar>
          </w:tcPr>
          <w:p>
            <w:pPr>
              <w:spacing w:after="0" w:line="269" w:lineRule="auto"/>
            </w:pPr>
            <w:r>
              <w:rPr>
                <w:rFonts w:ascii="Arial" w:hAnsi="Arial"/>
                <w:color w:val="332E29"/>
                <w:sz w:val="16"/>
              </w:rPr>
              <w:t>setl_SYN0017</w:t>
            </w:r>
          </w:p>
        </w:tc>
        <w:tc>
          <w:tcPr>
            <w:tcW w:type="dxa" w:w="1850"/>
            <w:vAlign w:val="center"/>
            <w:tcMar>
              <w:top w:w="80" w:type="dxa"/>
              <w:start w:w="120" w:type="dxa"/>
              <w:bottom w:w="80" w:type="dxa"/>
              <w:end w:w="120" w:type="dxa"/>
            </w:tcMar>
          </w:tcPr>
          <w:p>
            <w:pPr>
              <w:spacing w:after="0" w:line="269" w:lineRule="auto"/>
            </w:pPr>
            <w:r>
              <w:rPr>
                <w:rFonts w:ascii="Arial" w:hAnsi="Arial"/>
                <w:color w:val="332E29"/>
                <w:sz w:val="16"/>
              </w:rPr>
              <w:t>UNRECONCILED / NONE</w:t>
            </w:r>
          </w:p>
        </w:tc>
        <w:tc>
          <w:tcPr>
            <w:tcW w:type="dxa" w:w="2780"/>
            <w:vAlign w:val="center"/>
            <w:tcMar>
              <w:top w:w="80" w:type="dxa"/>
              <w:start w:w="120" w:type="dxa"/>
              <w:bottom w:w="80" w:type="dxa"/>
              <w:end w:w="120" w:type="dxa"/>
            </w:tcMar>
          </w:tcPr>
          <w:p>
            <w:pPr>
              <w:spacing w:after="0" w:line="269" w:lineRule="auto"/>
            </w:pPr>
            <w:r>
              <w:rPr>
                <w:rFonts w:ascii="Arial" w:hAnsi="Arial"/>
                <w:color w:val="332E29"/>
                <w:sz w:val="16"/>
              </w:rPr>
              <w:t>Missing bank credit</w:t>
            </w:r>
          </w:p>
        </w:tc>
        <w:tc>
          <w:tcPr>
            <w:tcW w:type="dxa" w:w="3180"/>
            <w:vAlign w:val="center"/>
            <w:tcMar>
              <w:top w:w="80" w:type="dxa"/>
              <w:start w:w="120" w:type="dxa"/>
              <w:bottom w:w="80" w:type="dxa"/>
              <w:end w:w="120" w:type="dxa"/>
            </w:tcMar>
          </w:tcPr>
          <w:p>
            <w:pPr>
              <w:spacing w:after="0" w:line="269" w:lineRule="auto"/>
            </w:pPr>
            <w:r>
              <w:rPr>
                <w:rFonts w:ascii="Arial" w:hAnsi="Arial"/>
                <w:color w:val="332E29"/>
                <w:sz w:val="16"/>
              </w:rPr>
              <w:t>BANK_CREDIT_MISSING; no candidate passes gates</w:t>
            </w:r>
          </w:p>
        </w:tc>
      </w:tr>
      <w:tr>
        <w:tc>
          <w:tcPr>
            <w:tcW w:type="dxa" w:w="1550"/>
            <w:vAlign w:val="center"/>
            <w:shd w:fill="F7F3EC"/>
            <w:tcMar>
              <w:top w:w="80" w:type="dxa"/>
              <w:start w:w="120" w:type="dxa"/>
              <w:bottom w:w="80" w:type="dxa"/>
              <w:end w:w="120" w:type="dxa"/>
            </w:tcMar>
          </w:tcPr>
          <w:p>
            <w:pPr>
              <w:spacing w:after="0" w:line="269" w:lineRule="auto"/>
            </w:pPr>
            <w:r>
              <w:rPr>
                <w:rFonts w:ascii="Arial" w:hAnsi="Arial"/>
                <w:color w:val="332E29"/>
                <w:sz w:val="16"/>
              </w:rPr>
              <w:t>setl_SYN0019</w:t>
            </w:r>
          </w:p>
        </w:tc>
        <w:tc>
          <w:tcPr>
            <w:tcW w:type="dxa" w:w="1850"/>
            <w:vAlign w:val="center"/>
            <w:shd w:fill="F7F3EC"/>
            <w:tcMar>
              <w:top w:w="80" w:type="dxa"/>
              <w:start w:w="120" w:type="dxa"/>
              <w:bottom w:w="80" w:type="dxa"/>
              <w:end w:w="120" w:type="dxa"/>
            </w:tcMar>
          </w:tcPr>
          <w:p>
            <w:pPr>
              <w:spacing w:after="0" w:line="269" w:lineRule="auto"/>
            </w:pPr>
            <w:r>
              <w:rPr>
                <w:rFonts w:ascii="Arial" w:hAnsi="Arial"/>
                <w:color w:val="332E29"/>
                <w:sz w:val="16"/>
              </w:rPr>
              <w:t>UNRECONCILED / HIGH</w:t>
            </w:r>
          </w:p>
        </w:tc>
        <w:tc>
          <w:tcPr>
            <w:tcW w:type="dxa" w:w="2780"/>
            <w:vAlign w:val="center"/>
            <w:shd w:fill="F7F3EC"/>
            <w:tcMar>
              <w:top w:w="80" w:type="dxa"/>
              <w:start w:w="120" w:type="dxa"/>
              <w:bottom w:w="80" w:type="dxa"/>
              <w:end w:w="120" w:type="dxa"/>
            </w:tcMar>
          </w:tcPr>
          <w:p>
            <w:pPr>
              <w:spacing w:after="0" w:line="269" w:lineRule="auto"/>
            </w:pPr>
            <w:r>
              <w:rPr>
                <w:rFonts w:ascii="Arial" w:hAnsi="Arial"/>
                <w:color w:val="332E29"/>
                <w:sz w:val="16"/>
              </w:rPr>
              <w:t>Settlement amount contradiction</w:t>
            </w:r>
          </w:p>
        </w:tc>
        <w:tc>
          <w:tcPr>
            <w:tcW w:type="dxa" w:w="3180"/>
            <w:vAlign w:val="center"/>
            <w:shd w:fill="F7F3EC"/>
            <w:tcMar>
              <w:top w:w="80" w:type="dxa"/>
              <w:start w:w="120" w:type="dxa"/>
              <w:bottom w:w="80" w:type="dxa"/>
              <w:end w:w="120" w:type="dxa"/>
            </w:tcMar>
          </w:tcPr>
          <w:p>
            <w:pPr>
              <w:spacing w:after="0" w:line="269" w:lineRule="auto"/>
            </w:pPr>
            <w:r>
              <w:rPr>
                <w:rFonts w:ascii="Arial" w:hAnsi="Arial"/>
                <w:color w:val="332E29"/>
                <w:sz w:val="16"/>
              </w:rPr>
              <w:t>SETTLEMENT_AMOUNT_MISMATCH; −₹2,420.00 gateway delta</w:t>
            </w:r>
          </w:p>
        </w:tc>
      </w:tr>
      <w:tr>
        <w:tc>
          <w:tcPr>
            <w:tcW w:type="dxa" w:w="1550"/>
            <w:vAlign w:val="center"/>
            <w:tcMar>
              <w:top w:w="80" w:type="dxa"/>
              <w:start w:w="120" w:type="dxa"/>
              <w:bottom w:w="80" w:type="dxa"/>
              <w:end w:w="120" w:type="dxa"/>
            </w:tcMar>
          </w:tcPr>
          <w:p>
            <w:pPr>
              <w:spacing w:after="0" w:line="269" w:lineRule="auto"/>
            </w:pPr>
            <w:r>
              <w:rPr>
                <w:rFonts w:ascii="Arial" w:hAnsi="Arial"/>
                <w:color w:val="332E29"/>
                <w:sz w:val="16"/>
              </w:rPr>
              <w:t>setl_SYN0023</w:t>
            </w:r>
          </w:p>
        </w:tc>
        <w:tc>
          <w:tcPr>
            <w:tcW w:type="dxa" w:w="1850"/>
            <w:vAlign w:val="center"/>
            <w:tcMar>
              <w:top w:w="80" w:type="dxa"/>
              <w:start w:w="120" w:type="dxa"/>
              <w:bottom w:w="80" w:type="dxa"/>
              <w:end w:w="120" w:type="dxa"/>
            </w:tcMar>
          </w:tcPr>
          <w:p>
            <w:pPr>
              <w:spacing w:after="0" w:line="269" w:lineRule="auto"/>
            </w:pPr>
            <w:r>
              <w:rPr>
                <w:rFonts w:ascii="Arial" w:hAnsi="Arial"/>
                <w:color w:val="332E29"/>
                <w:sz w:val="16"/>
              </w:rPr>
              <w:t>REVIEW / LOW</w:t>
            </w:r>
          </w:p>
        </w:tc>
        <w:tc>
          <w:tcPr>
            <w:tcW w:type="dxa" w:w="2780"/>
            <w:vAlign w:val="center"/>
            <w:tcMar>
              <w:top w:w="80" w:type="dxa"/>
              <w:start w:w="120" w:type="dxa"/>
              <w:bottom w:w="80" w:type="dxa"/>
              <w:end w:w="120" w:type="dxa"/>
            </w:tcMar>
          </w:tcPr>
          <w:p>
            <w:pPr>
              <w:spacing w:after="0" w:line="269" w:lineRule="auto"/>
            </w:pPr>
            <w:r>
              <w:rPr>
                <w:rFonts w:ascii="Arial" w:hAnsi="Arial"/>
                <w:color w:val="332E29"/>
                <w:sz w:val="16"/>
              </w:rPr>
              <w:t>Duplicate/ambiguous bank candidates</w:t>
            </w:r>
          </w:p>
        </w:tc>
        <w:tc>
          <w:tcPr>
            <w:tcW w:type="dxa" w:w="3180"/>
            <w:vAlign w:val="center"/>
            <w:tcMar>
              <w:top w:w="80" w:type="dxa"/>
              <w:start w:w="120" w:type="dxa"/>
              <w:bottom w:w="80" w:type="dxa"/>
              <w:end w:w="120" w:type="dxa"/>
            </w:tcMar>
          </w:tcPr>
          <w:p>
            <w:pPr>
              <w:spacing w:after="0" w:line="269" w:lineRule="auto"/>
            </w:pPr>
            <w:r>
              <w:rPr>
                <w:rFonts w:ascii="Arial" w:hAnsi="Arial"/>
                <w:color w:val="332E29"/>
                <w:sz w:val="16"/>
              </w:rPr>
              <w:t>AMBIGUOUS_BANK_MATCH; multiple candidates satisfy auto rule</w:t>
            </w:r>
          </w:p>
        </w:tc>
      </w:tr>
      <w:tr>
        <w:tc>
          <w:tcPr>
            <w:tcW w:type="dxa" w:w="1550"/>
            <w:vAlign w:val="center"/>
            <w:shd w:fill="F7F3EC"/>
            <w:tcMar>
              <w:top w:w="80" w:type="dxa"/>
              <w:start w:w="120" w:type="dxa"/>
              <w:bottom w:w="80" w:type="dxa"/>
              <w:end w:w="120" w:type="dxa"/>
            </w:tcMar>
          </w:tcPr>
          <w:p>
            <w:pPr>
              <w:spacing w:after="0" w:line="269" w:lineRule="auto"/>
            </w:pPr>
            <w:r>
              <w:rPr>
                <w:rFonts w:ascii="Arial" w:hAnsi="Arial"/>
                <w:color w:val="332E29"/>
                <w:sz w:val="16"/>
              </w:rPr>
              <w:t>setl_SYN0026</w:t>
            </w:r>
          </w:p>
        </w:tc>
        <w:tc>
          <w:tcPr>
            <w:tcW w:type="dxa" w:w="1850"/>
            <w:vAlign w:val="center"/>
            <w:shd w:fill="F7F3EC"/>
            <w:tcMar>
              <w:top w:w="80" w:type="dxa"/>
              <w:start w:w="120" w:type="dxa"/>
              <w:bottom w:w="80" w:type="dxa"/>
              <w:end w:w="120" w:type="dxa"/>
            </w:tcMar>
          </w:tcPr>
          <w:p>
            <w:pPr>
              <w:spacing w:after="0" w:line="269" w:lineRule="auto"/>
            </w:pPr>
            <w:r>
              <w:rPr>
                <w:rFonts w:ascii="Arial" w:hAnsi="Arial"/>
                <w:color w:val="332E29"/>
                <w:sz w:val="16"/>
              </w:rPr>
              <w:t>REVIEW / MEDIUM</w:t>
            </w:r>
          </w:p>
        </w:tc>
        <w:tc>
          <w:tcPr>
            <w:tcW w:type="dxa" w:w="2780"/>
            <w:vAlign w:val="center"/>
            <w:shd w:fill="F7F3EC"/>
            <w:tcMar>
              <w:top w:w="80" w:type="dxa"/>
              <w:start w:w="120" w:type="dxa"/>
              <w:bottom w:w="80" w:type="dxa"/>
              <w:end w:w="120" w:type="dxa"/>
            </w:tcMar>
          </w:tcPr>
          <w:p>
            <w:pPr>
              <w:spacing w:after="0" w:line="269" w:lineRule="auto"/>
            </w:pPr>
            <w:r>
              <w:rPr>
                <w:rFonts w:ascii="Arial" w:hAnsi="Arial"/>
                <w:color w:val="332E29"/>
                <w:sz w:val="16"/>
              </w:rPr>
              <w:t>Second missing-UTR example</w:t>
            </w:r>
          </w:p>
        </w:tc>
        <w:tc>
          <w:tcPr>
            <w:tcW w:type="dxa" w:w="3180"/>
            <w:vAlign w:val="center"/>
            <w:shd w:fill="F7F3EC"/>
            <w:tcMar>
              <w:top w:w="80" w:type="dxa"/>
              <w:start w:w="120" w:type="dxa"/>
              <w:bottom w:w="80" w:type="dxa"/>
              <w:end w:w="120" w:type="dxa"/>
            </w:tcMar>
          </w:tcPr>
          <w:p>
            <w:pPr>
              <w:spacing w:after="0" w:line="269" w:lineRule="auto"/>
            </w:pPr>
            <w:r>
              <w:rPr>
                <w:rFonts w:ascii="Arial" w:hAnsi="Arial"/>
                <w:color w:val="332E29"/>
                <w:sz w:val="16"/>
              </w:rPr>
              <w:t>UTR_MISSING; unique amount candidate retained for review</w:t>
            </w:r>
          </w:p>
        </w:tc>
      </w:tr>
      <w:tr>
        <w:tc>
          <w:tcPr>
            <w:tcW w:type="dxa" w:w="1550"/>
            <w:vAlign w:val="center"/>
            <w:tcMar>
              <w:top w:w="80" w:type="dxa"/>
              <w:start w:w="120" w:type="dxa"/>
              <w:bottom w:w="80" w:type="dxa"/>
              <w:end w:w="120" w:type="dxa"/>
            </w:tcMar>
          </w:tcPr>
          <w:p>
            <w:pPr>
              <w:spacing w:after="0" w:line="269" w:lineRule="auto"/>
            </w:pPr>
            <w:r>
              <w:rPr>
                <w:rFonts w:ascii="Arial" w:hAnsi="Arial"/>
                <w:color w:val="332E29"/>
                <w:sz w:val="16"/>
              </w:rPr>
              <w:t>setl_SYN0034</w:t>
            </w:r>
          </w:p>
        </w:tc>
        <w:tc>
          <w:tcPr>
            <w:tcW w:type="dxa" w:w="1850"/>
            <w:vAlign w:val="center"/>
            <w:tcMar>
              <w:top w:w="80" w:type="dxa"/>
              <w:start w:w="120" w:type="dxa"/>
              <w:bottom w:w="80" w:type="dxa"/>
              <w:end w:w="120" w:type="dxa"/>
            </w:tcMar>
          </w:tcPr>
          <w:p>
            <w:pPr>
              <w:spacing w:after="0" w:line="269" w:lineRule="auto"/>
            </w:pPr>
            <w:r>
              <w:rPr>
                <w:rFonts w:ascii="Arial" w:hAnsi="Arial"/>
                <w:color w:val="332E29"/>
                <w:sz w:val="16"/>
              </w:rPr>
              <w:t>UNRECONCILED / NONE</w:t>
            </w:r>
          </w:p>
        </w:tc>
        <w:tc>
          <w:tcPr>
            <w:tcW w:type="dxa" w:w="2780"/>
            <w:vAlign w:val="center"/>
            <w:tcMar>
              <w:top w:w="80" w:type="dxa"/>
              <w:start w:w="120" w:type="dxa"/>
              <w:bottom w:w="80" w:type="dxa"/>
              <w:end w:w="120" w:type="dxa"/>
            </w:tcMar>
          </w:tcPr>
          <w:p>
            <w:pPr>
              <w:spacing w:after="0" w:line="269" w:lineRule="auto"/>
            </w:pPr>
            <w:r>
              <w:rPr>
                <w:rFonts w:ascii="Arial" w:hAnsi="Arial"/>
                <w:color w:val="332E29"/>
                <w:sz w:val="16"/>
              </w:rPr>
              <w:t>Second missing-credit example</w:t>
            </w:r>
          </w:p>
        </w:tc>
        <w:tc>
          <w:tcPr>
            <w:tcW w:type="dxa" w:w="3180"/>
            <w:vAlign w:val="center"/>
            <w:tcMar>
              <w:top w:w="80" w:type="dxa"/>
              <w:start w:w="120" w:type="dxa"/>
              <w:bottom w:w="80" w:type="dxa"/>
              <w:end w:w="120" w:type="dxa"/>
            </w:tcMar>
          </w:tcPr>
          <w:p>
            <w:pPr>
              <w:spacing w:after="0" w:line="269" w:lineRule="auto"/>
            </w:pPr>
            <w:r>
              <w:rPr>
                <w:rFonts w:ascii="Arial" w:hAnsi="Arial"/>
                <w:color w:val="332E29"/>
                <w:sz w:val="16"/>
              </w:rPr>
              <w:t>BANK_CREDIT_MISSING</w:t>
            </w:r>
          </w:p>
        </w:tc>
      </w:tr>
      <w:tr>
        <w:tc>
          <w:tcPr>
            <w:tcW w:type="dxa" w:w="1550"/>
            <w:vAlign w:val="center"/>
            <w:shd w:fill="F7F3EC"/>
            <w:tcMar>
              <w:top w:w="80" w:type="dxa"/>
              <w:start w:w="120" w:type="dxa"/>
              <w:bottom w:w="80" w:type="dxa"/>
              <w:end w:w="120" w:type="dxa"/>
            </w:tcMar>
          </w:tcPr>
          <w:p>
            <w:pPr>
              <w:spacing w:after="0" w:line="269" w:lineRule="auto"/>
            </w:pPr>
            <w:r>
              <w:rPr>
                <w:rFonts w:ascii="Arial" w:hAnsi="Arial"/>
                <w:color w:val="332E29"/>
                <w:sz w:val="16"/>
              </w:rPr>
              <w:t>setl_SYN0038</w:t>
            </w:r>
          </w:p>
        </w:tc>
        <w:tc>
          <w:tcPr>
            <w:tcW w:type="dxa" w:w="1850"/>
            <w:vAlign w:val="center"/>
            <w:shd w:fill="F7F3EC"/>
            <w:tcMar>
              <w:top w:w="80" w:type="dxa"/>
              <w:start w:w="120" w:type="dxa"/>
              <w:bottom w:w="80" w:type="dxa"/>
              <w:end w:w="120" w:type="dxa"/>
            </w:tcMar>
          </w:tcPr>
          <w:p>
            <w:pPr>
              <w:spacing w:after="0" w:line="269" w:lineRule="auto"/>
            </w:pPr>
            <w:r>
              <w:rPr>
                <w:rFonts w:ascii="Arial" w:hAnsi="Arial"/>
                <w:color w:val="332E29"/>
                <w:sz w:val="16"/>
              </w:rPr>
              <w:t>UNRECONCILED / HIGH</w:t>
            </w:r>
          </w:p>
        </w:tc>
        <w:tc>
          <w:tcPr>
            <w:tcW w:type="dxa" w:w="2780"/>
            <w:vAlign w:val="center"/>
            <w:shd w:fill="F7F3EC"/>
            <w:tcMar>
              <w:top w:w="80" w:type="dxa"/>
              <w:start w:w="120" w:type="dxa"/>
              <w:bottom w:w="80" w:type="dxa"/>
              <w:end w:w="120" w:type="dxa"/>
            </w:tcMar>
          </w:tcPr>
          <w:p>
            <w:pPr>
              <w:spacing w:after="0" w:line="269" w:lineRule="auto"/>
            </w:pPr>
            <w:r>
              <w:rPr>
                <w:rFonts w:ascii="Arial" w:hAnsi="Arial"/>
                <w:color w:val="332E29"/>
                <w:sz w:val="16"/>
              </w:rPr>
              <w:t>Second amount mismatch</w:t>
            </w:r>
          </w:p>
        </w:tc>
        <w:tc>
          <w:tcPr>
            <w:tcW w:type="dxa" w:w="3180"/>
            <w:vAlign w:val="center"/>
            <w:shd w:fill="F7F3EC"/>
            <w:tcMar>
              <w:top w:w="80" w:type="dxa"/>
              <w:start w:w="120" w:type="dxa"/>
              <w:bottom w:w="80" w:type="dxa"/>
              <w:end w:w="120" w:type="dxa"/>
            </w:tcMar>
          </w:tcPr>
          <w:p>
            <w:pPr>
              <w:spacing w:after="0" w:line="269" w:lineRule="auto"/>
            </w:pPr>
            <w:r>
              <w:rPr>
                <w:rFonts w:ascii="Arial" w:hAnsi="Arial"/>
                <w:color w:val="332E29"/>
                <w:sz w:val="16"/>
              </w:rPr>
              <w:t>SETTLEMENT_AMOUNT_MISMATCH; −₹2,420.00 gateway delta</w:t>
            </w:r>
          </w:p>
        </w:tc>
      </w:tr>
      <w:tr>
        <w:tc>
          <w:tcPr>
            <w:tcW w:type="dxa" w:w="1550"/>
            <w:vAlign w:val="center"/>
            <w:tcMar>
              <w:top w:w="80" w:type="dxa"/>
              <w:start w:w="120" w:type="dxa"/>
              <w:bottom w:w="80" w:type="dxa"/>
              <w:end w:w="120" w:type="dxa"/>
            </w:tcMar>
          </w:tcPr>
          <w:p>
            <w:pPr>
              <w:spacing w:after="0" w:line="269" w:lineRule="auto"/>
            </w:pPr>
            <w:r>
              <w:rPr>
                <w:rFonts w:ascii="Arial" w:hAnsi="Arial"/>
                <w:color w:val="332E29"/>
                <w:sz w:val="16"/>
              </w:rPr>
              <w:t>setl_SYN0039</w:t>
            </w:r>
          </w:p>
        </w:tc>
        <w:tc>
          <w:tcPr>
            <w:tcW w:type="dxa" w:w="1850"/>
            <w:vAlign w:val="center"/>
            <w:tcMar>
              <w:top w:w="80" w:type="dxa"/>
              <w:start w:w="120" w:type="dxa"/>
              <w:bottom w:w="80" w:type="dxa"/>
              <w:end w:w="120" w:type="dxa"/>
            </w:tcMar>
          </w:tcPr>
          <w:p>
            <w:pPr>
              <w:spacing w:after="0" w:line="269" w:lineRule="auto"/>
            </w:pPr>
            <w:r>
              <w:rPr>
                <w:rFonts w:ascii="Arial" w:hAnsi="Arial"/>
                <w:color w:val="332E29"/>
                <w:sz w:val="16"/>
              </w:rPr>
              <w:t>REVIEW / MEDIUM</w:t>
            </w:r>
          </w:p>
        </w:tc>
        <w:tc>
          <w:tcPr>
            <w:tcW w:type="dxa" w:w="2780"/>
            <w:vAlign w:val="center"/>
            <w:tcMar>
              <w:top w:w="80" w:type="dxa"/>
              <w:start w:w="120" w:type="dxa"/>
              <w:bottom w:w="80" w:type="dxa"/>
              <w:end w:w="120" w:type="dxa"/>
            </w:tcMar>
          </w:tcPr>
          <w:p>
            <w:pPr>
              <w:spacing w:after="0" w:line="269" w:lineRule="auto"/>
            </w:pPr>
            <w:r>
              <w:rPr>
                <w:rFonts w:ascii="Arial" w:hAnsi="Arial"/>
                <w:color w:val="332E29"/>
                <w:sz w:val="16"/>
              </w:rPr>
              <w:t>Third missing-UTR example</w:t>
            </w:r>
          </w:p>
        </w:tc>
        <w:tc>
          <w:tcPr>
            <w:tcW w:type="dxa" w:w="3180"/>
            <w:vAlign w:val="center"/>
            <w:tcMar>
              <w:top w:w="80" w:type="dxa"/>
              <w:start w:w="120" w:type="dxa"/>
              <w:bottom w:w="80" w:type="dxa"/>
              <w:end w:w="120" w:type="dxa"/>
            </w:tcMar>
          </w:tcPr>
          <w:p>
            <w:pPr>
              <w:spacing w:after="0" w:line="269" w:lineRule="auto"/>
            </w:pPr>
            <w:r>
              <w:rPr>
                <w:rFonts w:ascii="Arial" w:hAnsi="Arial"/>
                <w:color w:val="332E29"/>
                <w:sz w:val="16"/>
              </w:rPr>
              <w:t>UTR_MISSING</w:t>
            </w:r>
          </w:p>
        </w:tc>
      </w:tr>
      <w:tr>
        <w:tc>
          <w:tcPr>
            <w:tcW w:type="dxa" w:w="1550"/>
            <w:vAlign w:val="center"/>
            <w:shd w:fill="F7F3EC"/>
            <w:tcMar>
              <w:top w:w="80" w:type="dxa"/>
              <w:start w:w="120" w:type="dxa"/>
              <w:bottom w:w="80" w:type="dxa"/>
              <w:end w:w="120" w:type="dxa"/>
            </w:tcMar>
          </w:tcPr>
          <w:p>
            <w:pPr>
              <w:spacing w:after="0" w:line="269" w:lineRule="auto"/>
            </w:pPr>
            <w:r>
              <w:rPr>
                <w:rFonts w:ascii="Arial" w:hAnsi="Arial"/>
                <w:color w:val="332E29"/>
                <w:sz w:val="16"/>
              </w:rPr>
              <w:t>setl_SYN0046</w:t>
            </w:r>
          </w:p>
        </w:tc>
        <w:tc>
          <w:tcPr>
            <w:tcW w:type="dxa" w:w="1850"/>
            <w:vAlign w:val="center"/>
            <w:shd w:fill="F7F3EC"/>
            <w:tcMar>
              <w:top w:w="80" w:type="dxa"/>
              <w:start w:w="120" w:type="dxa"/>
              <w:bottom w:w="80" w:type="dxa"/>
              <w:end w:w="120" w:type="dxa"/>
            </w:tcMar>
          </w:tcPr>
          <w:p>
            <w:pPr>
              <w:spacing w:after="0" w:line="269" w:lineRule="auto"/>
            </w:pPr>
            <w:r>
              <w:rPr>
                <w:rFonts w:ascii="Arial" w:hAnsi="Arial"/>
                <w:color w:val="332E29"/>
                <w:sz w:val="16"/>
              </w:rPr>
              <w:t>REVIEW / LOW</w:t>
            </w:r>
          </w:p>
        </w:tc>
        <w:tc>
          <w:tcPr>
            <w:tcW w:type="dxa" w:w="2780"/>
            <w:vAlign w:val="center"/>
            <w:shd w:fill="F7F3EC"/>
            <w:tcMar>
              <w:top w:w="80" w:type="dxa"/>
              <w:start w:w="120" w:type="dxa"/>
              <w:bottom w:w="80" w:type="dxa"/>
              <w:end w:w="120" w:type="dxa"/>
            </w:tcMar>
          </w:tcPr>
          <w:p>
            <w:pPr>
              <w:spacing w:after="0" w:line="269" w:lineRule="auto"/>
            </w:pPr>
            <w:r>
              <w:rPr>
                <w:rFonts w:ascii="Arial" w:hAnsi="Arial"/>
                <w:color w:val="332E29"/>
                <w:sz w:val="16"/>
              </w:rPr>
              <w:t>Second ambiguity example</w:t>
            </w:r>
          </w:p>
        </w:tc>
        <w:tc>
          <w:tcPr>
            <w:tcW w:type="dxa" w:w="3180"/>
            <w:vAlign w:val="center"/>
            <w:shd w:fill="F7F3EC"/>
            <w:tcMar>
              <w:top w:w="80" w:type="dxa"/>
              <w:start w:w="120" w:type="dxa"/>
              <w:bottom w:w="80" w:type="dxa"/>
              <w:end w:w="120" w:type="dxa"/>
            </w:tcMar>
          </w:tcPr>
          <w:p>
            <w:pPr>
              <w:spacing w:after="0" w:line="269" w:lineRule="auto"/>
            </w:pPr>
            <w:r>
              <w:rPr>
                <w:rFonts w:ascii="Arial" w:hAnsi="Arial"/>
                <w:color w:val="332E29"/>
                <w:sz w:val="16"/>
              </w:rPr>
              <w:t>AMBIGUOUS_BANK_MATCH</w:t>
            </w:r>
          </w:p>
        </w:tc>
      </w:tr>
    </w:tbl>
    <w:p>
      <w:pPr>
        <w:spacing w:after="40"/>
      </w:pPr>
    </w:p>
    <w:p>
      <w:pPr>
        <w:pStyle w:val="Heading2"/>
      </w:pPr>
      <w:r>
        <w:t>Commercial exceptions available through the API</w:t>
      </w:r>
    </w:p>
    <w:p>
      <w:pPr>
        <w:pStyle w:val="ListBullet"/>
        <w:spacing w:after="80" w:line="300" w:lineRule="auto"/>
        <w:ind w:left="540" w:hanging="271"/>
      </w:pPr>
      <w:r>
        <w:t>ORPHAN_PAYMENT — pay_SYN000097 references order_NOT_IMPORTED.</w:t>
      </w:r>
    </w:p>
    <w:p>
      <w:pPr>
        <w:pStyle w:val="ListBullet"/>
        <w:spacing w:after="80" w:line="300" w:lineRule="auto"/>
        <w:ind w:left="540" w:hanging="271"/>
      </w:pPr>
      <w:r>
        <w:t>ORDER_WITHOUT_CAPTURED_PAYMENT — order_SYN000097 and order_SYN000152.</w:t>
      </w:r>
    </w:p>
    <w:p>
      <w:pPr>
        <w:pStyle w:val="ListBullet"/>
        <w:spacing w:after="80" w:line="300" w:lineRule="auto"/>
        <w:ind w:left="540" w:hanging="271"/>
      </w:pPr>
      <w:r>
        <w:t>PAYMENT_AMOUNT_MISMATCH — order_SYN000113 differs by 12,345 minor units.</w:t>
      </w:r>
    </w:p>
    <w:p>
      <w:pPr>
        <w:pStyle w:val="ListBullet"/>
        <w:spacing w:after="80" w:line="300" w:lineRule="auto"/>
        <w:ind w:left="540" w:hanging="271"/>
      </w:pPr>
      <w:r>
        <w:t>ORPHAN_REFUND — rfnd_ORPHAN references pay_NOT_IMPORTED.</w:t>
      </w:r>
    </w:p>
    <w:p>
      <w:r>
        <w:br w:type="page"/>
      </w:r>
    </w:p>
    <w:p>
      <w:pPr>
        <w:keepNext/>
        <w:spacing w:after="160"/>
      </w:pPr>
      <w:r>
        <w:rPr>
          <w:rFonts w:ascii="Arial" w:hAnsi="Arial"/>
          <w:b/>
          <w:color w:val="D95A00"/>
          <w:sz w:val="18"/>
        </w:rPr>
        <w:t>ACCEPTANCE CHECKLIST</w:t>
      </w:r>
    </w:p>
    <w:p>
      <w:pPr>
        <w:keepNext/>
        <w:spacing w:after="160"/>
      </w:pPr>
      <w:r>
        <w:rPr>
          <w:rFonts w:ascii="Arial" w:hAnsi="Arial"/>
          <w:b/>
          <w:color w:val="332E29"/>
          <w:sz w:val="48"/>
        </w:rPr>
        <w:t>Complete feature verification matrix</w:t>
      </w:r>
    </w:p>
    <w:p>
      <w:pPr>
        <w:spacing w:after="120"/>
      </w:pPr>
      <w:r>
        <w:t>Use this after the live presentation or during judge Q&amp;A. Mark Pass only when the observed result matches the Expected result column.</w:t>
      </w:r>
    </w:p>
    <w:p>
      <w:pPr>
        <w:pStyle w:val="Heading2"/>
      </w:pPr>
      <w:r>
        <w:t>A. Product demonstration</w:t>
      </w:r>
    </w:p>
    <w:tbl>
      <w:tblPr>
        <w:tblStyle w:val="TableGrid"/>
        <w:tblW w:type="dxa" w:w="9360"/>
        <w:tblLayout w:type="fixed"/>
        <w:tblLook w:firstColumn="1" w:firstRow="1" w:lastColumn="0" w:lastRow="0" w:noHBand="0" w:noVBand="1" w:val="04A0"/>
        <w:tblInd w:w="120" w:type="dxa"/>
      </w:tblPr>
      <w:tblGrid>
        <w:gridCol w:w="1900"/>
        <w:gridCol w:w="2250"/>
        <w:gridCol w:w="4410"/>
        <w:gridCol w:w="800"/>
      </w:tblGrid>
      <w:tr>
        <w:trPr>
          <w:tblHeader w:val="true"/>
        </w:trPr>
        <w:tc>
          <w:tcPr>
            <w:tcW w:type="dxa" w:w="1900"/>
            <w:shd w:fill="332E29"/>
            <w:vAlign w:val="center"/>
            <w:tcMar>
              <w:top w:w="80" w:type="dxa"/>
              <w:start w:w="120" w:type="dxa"/>
              <w:bottom w:w="80" w:type="dxa"/>
              <w:end w:w="120" w:type="dxa"/>
            </w:tcMar>
          </w:tcPr>
          <w:p>
            <w:pPr>
              <w:spacing w:after="0"/>
              <w:jc w:val="left"/>
            </w:pPr>
            <w:r>
              <w:rPr>
                <w:rFonts w:ascii="Arial" w:hAnsi="Arial"/>
                <w:b/>
                <w:color w:val="FFFFFF"/>
                <w:sz w:val="16"/>
              </w:rPr>
              <w:t>FEATURE</w:t>
            </w:r>
          </w:p>
        </w:tc>
        <w:tc>
          <w:tcPr>
            <w:tcW w:type="dxa" w:w="2250"/>
            <w:shd w:fill="332E29"/>
            <w:vAlign w:val="center"/>
            <w:tcMar>
              <w:top w:w="80" w:type="dxa"/>
              <w:start w:w="120" w:type="dxa"/>
              <w:bottom w:w="80" w:type="dxa"/>
              <w:end w:w="120" w:type="dxa"/>
            </w:tcMar>
          </w:tcPr>
          <w:p>
            <w:pPr>
              <w:spacing w:after="0"/>
              <w:jc w:val="left"/>
            </w:pPr>
            <w:r>
              <w:rPr>
                <w:rFonts w:ascii="Arial" w:hAnsi="Arial"/>
                <w:b/>
                <w:color w:val="FFFFFF"/>
                <w:sz w:val="16"/>
              </w:rPr>
              <w:t>HOW TO CHECK</w:t>
            </w:r>
          </w:p>
        </w:tc>
        <w:tc>
          <w:tcPr>
            <w:tcW w:type="dxa" w:w="4410"/>
            <w:shd w:fill="332E29"/>
            <w:vAlign w:val="center"/>
            <w:tcMar>
              <w:top w:w="80" w:type="dxa"/>
              <w:start w:w="120" w:type="dxa"/>
              <w:bottom w:w="80" w:type="dxa"/>
              <w:end w:w="120" w:type="dxa"/>
            </w:tcMar>
          </w:tcPr>
          <w:p>
            <w:pPr>
              <w:spacing w:after="0"/>
              <w:jc w:val="left"/>
            </w:pPr>
            <w:r>
              <w:rPr>
                <w:rFonts w:ascii="Arial" w:hAnsi="Arial"/>
                <w:b/>
                <w:color w:val="FFFFFF"/>
                <w:sz w:val="16"/>
              </w:rPr>
              <w:t>EXPECTED RESULT</w:t>
            </w:r>
          </w:p>
        </w:tc>
        <w:tc>
          <w:tcPr>
            <w:tcW w:type="dxa" w:w="800"/>
            <w:shd w:fill="332E29"/>
            <w:vAlign w:val="center"/>
            <w:tcMar>
              <w:top w:w="80" w:type="dxa"/>
              <w:start w:w="120" w:type="dxa"/>
              <w:bottom w:w="80" w:type="dxa"/>
              <w:end w:w="120" w:type="dxa"/>
            </w:tcMar>
          </w:tcPr>
          <w:p>
            <w:pPr>
              <w:spacing w:after="0"/>
              <w:jc w:val="left"/>
            </w:pPr>
            <w:r>
              <w:rPr>
                <w:rFonts w:ascii="Arial" w:hAnsi="Arial"/>
                <w:b/>
                <w:color w:val="FFFFFF"/>
                <w:sz w:val="16"/>
              </w:rPr>
              <w:t>PASS</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Brand + responsive UI</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Open desktop and narrow/mobile width</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Logo, orange/bone/charcoal palette, readable tables, non-colour status labels; no horizontal scorecard overflow</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shd w:fill="F7F3EC"/>
            <w:tcMar>
              <w:top w:w="80" w:type="dxa"/>
              <w:start w:w="120" w:type="dxa"/>
              <w:bottom w:w="80" w:type="dxa"/>
              <w:end w:w="120" w:type="dxa"/>
            </w:tcMar>
          </w:tcPr>
          <w:p>
            <w:pPr>
              <w:spacing w:after="0" w:line="269" w:lineRule="auto"/>
            </w:pPr>
            <w:r>
              <w:rPr>
                <w:rFonts w:ascii="Arial" w:hAnsi="Arial"/>
                <w:color w:val="332E29"/>
                <w:sz w:val="15"/>
              </w:rPr>
              <w:t>Synthetic demo</w:t>
            </w:r>
          </w:p>
        </w:tc>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5"/>
              </w:rPr>
              <w:t>Run 500-order demo</w:t>
            </w:r>
          </w:p>
        </w:tc>
        <w:tc>
          <w:tcPr>
            <w:tcW w:type="dxa" w:w="4410"/>
            <w:vAlign w:val="center"/>
            <w:shd w:fill="F7F3EC"/>
            <w:tcMar>
              <w:top w:w="80" w:type="dxa"/>
              <w:start w:w="120" w:type="dxa"/>
              <w:bottom w:w="80" w:type="dxa"/>
              <w:end w:w="120" w:type="dxa"/>
            </w:tcMar>
          </w:tcPr>
          <w:p>
            <w:pPr>
              <w:spacing w:after="0" w:line="269" w:lineRule="auto"/>
            </w:pPr>
            <w:r>
              <w:rPr>
                <w:rFonts w:ascii="Arial" w:hAnsi="Arial"/>
                <w:color w:val="332E29"/>
                <w:sz w:val="15"/>
              </w:rPr>
              <w:t>Seeded run completes with 48 settlements and stable baseline output</w:t>
            </w:r>
          </w:p>
        </w:tc>
        <w:tc>
          <w:tcPr>
            <w:tcW w:type="dxa" w:w="800"/>
            <w:vAlign w:val="center"/>
            <w:shd w:fill="F7F3EC"/>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Integer money arithmetic</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Open settlement evidence equation</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Captured/refund/fee/GST components and expected net remain exact to paise</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shd w:fill="F7F3EC"/>
            <w:tcMar>
              <w:top w:w="80" w:type="dxa"/>
              <w:start w:w="120" w:type="dxa"/>
              <w:bottom w:w="80" w:type="dxa"/>
              <w:end w:w="120" w:type="dxa"/>
            </w:tcMar>
          </w:tcPr>
          <w:p>
            <w:pPr>
              <w:spacing w:after="0" w:line="269" w:lineRule="auto"/>
            </w:pPr>
            <w:r>
              <w:rPr>
                <w:rFonts w:ascii="Arial" w:hAnsi="Arial"/>
                <w:color w:val="332E29"/>
                <w:sz w:val="15"/>
              </w:rPr>
              <w:t>Signed ledger semantics</w:t>
            </w:r>
          </w:p>
        </w:tc>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5"/>
              </w:rPr>
              <w:t>Inspect expected-net breakdown</w:t>
            </w:r>
          </w:p>
        </w:tc>
        <w:tc>
          <w:tcPr>
            <w:tcW w:type="dxa" w:w="4410"/>
            <w:vAlign w:val="center"/>
            <w:shd w:fill="F7F3EC"/>
            <w:tcMar>
              <w:top w:w="80" w:type="dxa"/>
              <w:start w:w="120" w:type="dxa"/>
              <w:bottom w:w="80" w:type="dxa"/>
              <w:end w:w="120" w:type="dxa"/>
            </w:tcMar>
          </w:tcPr>
          <w:p>
            <w:pPr>
              <w:spacing w:after="0" w:line="269" w:lineRule="auto"/>
            </w:pPr>
            <w:r>
              <w:rPr>
                <w:rFonts w:ascii="Arial" w:hAnsi="Arial"/>
                <w:color w:val="332E29"/>
                <w:sz w:val="15"/>
              </w:rPr>
              <w:t>Credits/debits/fees/tax apply once; no fee/tax double count</w:t>
            </w:r>
          </w:p>
        </w:tc>
        <w:tc>
          <w:tcPr>
            <w:tcW w:type="dxa" w:w="800"/>
            <w:vAlign w:val="center"/>
            <w:shd w:fill="F7F3EC"/>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Conservative bank matching</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Open SYN0001, SYN0013, SYN0023</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Exact match accepted; missing UTR reviewed; tied candidates rejected</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shd w:fill="F7F3EC"/>
            <w:tcMar>
              <w:top w:w="80" w:type="dxa"/>
              <w:start w:w="120" w:type="dxa"/>
              <w:bottom w:w="80" w:type="dxa"/>
              <w:end w:w="120" w:type="dxa"/>
            </w:tcMar>
          </w:tcPr>
          <w:p>
            <w:pPr>
              <w:spacing w:after="0" w:line="269" w:lineRule="auto"/>
            </w:pPr>
            <w:r>
              <w:rPr>
                <w:rFonts w:ascii="Arial" w:hAnsi="Arial"/>
                <w:color w:val="332E29"/>
                <w:sz w:val="15"/>
              </w:rPr>
              <w:t>Status filtering</w:t>
            </w:r>
          </w:p>
        </w:tc>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5"/>
              </w:rPr>
              <w:t>Filter Reconciled, Review required, Unreconciled</w:t>
            </w:r>
          </w:p>
        </w:tc>
        <w:tc>
          <w:tcPr>
            <w:tcW w:type="dxa" w:w="4410"/>
            <w:vAlign w:val="center"/>
            <w:shd w:fill="F7F3EC"/>
            <w:tcMar>
              <w:top w:w="80" w:type="dxa"/>
              <w:start w:w="120" w:type="dxa"/>
              <w:bottom w:w="80" w:type="dxa"/>
              <w:end w:w="120" w:type="dxa"/>
            </w:tcMar>
          </w:tcPr>
          <w:p>
            <w:pPr>
              <w:spacing w:after="0" w:line="269" w:lineRule="auto"/>
            </w:pPr>
            <w:r>
              <w:rPr>
                <w:rFonts w:ascii="Arial" w:hAnsi="Arial"/>
                <w:color w:val="332E29"/>
                <w:sz w:val="15"/>
              </w:rPr>
              <w:t>Rows update without recomputing financial results</w:t>
            </w:r>
          </w:p>
        </w:tc>
        <w:tc>
          <w:tcPr>
            <w:tcW w:type="dxa" w:w="800"/>
            <w:vAlign w:val="center"/>
            <w:shd w:fill="F7F3EC"/>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Evidence lineage</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Open any exception settlement</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Settlement ID, bank ID, ledger-line count, rule confidence, and exception evidence are shown</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shd w:fill="F7F3EC"/>
            <w:tcMar>
              <w:top w:w="80" w:type="dxa"/>
              <w:start w:w="120" w:type="dxa"/>
              <w:bottom w:w="80" w:type="dxa"/>
              <w:end w:w="120" w:type="dxa"/>
            </w:tcMar>
          </w:tcPr>
          <w:p>
            <w:pPr>
              <w:spacing w:after="0" w:line="269" w:lineRule="auto"/>
            </w:pPr>
            <w:r>
              <w:rPr>
                <w:rFonts w:ascii="Arial" w:hAnsi="Arial"/>
                <w:color w:val="332E29"/>
                <w:sz w:val="15"/>
              </w:rPr>
              <w:t>Exception taxonomy</w:t>
            </w:r>
          </w:p>
        </w:tc>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5"/>
              </w:rPr>
              <w:t>Open SYN0017, SYN0019, SYN0023</w:t>
            </w:r>
          </w:p>
        </w:tc>
        <w:tc>
          <w:tcPr>
            <w:tcW w:type="dxa" w:w="4410"/>
            <w:vAlign w:val="center"/>
            <w:shd w:fill="F7F3EC"/>
            <w:tcMar>
              <w:top w:w="80" w:type="dxa"/>
              <w:start w:w="120" w:type="dxa"/>
              <w:bottom w:w="80" w:type="dxa"/>
              <w:end w:w="120" w:type="dxa"/>
            </w:tcMar>
          </w:tcPr>
          <w:p>
            <w:pPr>
              <w:spacing w:after="0" w:line="269" w:lineRule="auto"/>
            </w:pPr>
            <w:r>
              <w:rPr>
                <w:rFonts w:ascii="Arial" w:hAnsi="Arial"/>
                <w:color w:val="332E29"/>
                <w:sz w:val="15"/>
              </w:rPr>
              <w:t>Missing credit, amount mismatch, and ambiguity have distinct codes/reasons</w:t>
            </w:r>
          </w:p>
        </w:tc>
        <w:tc>
          <w:tcPr>
            <w:tcW w:type="dxa" w:w="800"/>
            <w:vAlign w:val="center"/>
            <w:shd w:fill="F7F3EC"/>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AI controller / Gemini</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Investigate SYN0013</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Advisory answer cites known evidence IDs and requests human review</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shd w:fill="F7F3EC"/>
            <w:tcMar>
              <w:top w:w="80" w:type="dxa"/>
              <w:start w:w="120" w:type="dxa"/>
              <w:bottom w:w="80" w:type="dxa"/>
              <w:end w:w="120" w:type="dxa"/>
            </w:tcMar>
          </w:tcPr>
          <w:p>
            <w:pPr>
              <w:spacing w:after="0" w:line="269" w:lineRule="auto"/>
            </w:pPr>
            <w:r>
              <w:rPr>
                <w:rFonts w:ascii="Arial" w:hAnsi="Arial"/>
                <w:color w:val="332E29"/>
                <w:sz w:val="15"/>
              </w:rPr>
              <w:t>AI safety fallback</w:t>
            </w:r>
          </w:p>
        </w:tc>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5"/>
              </w:rPr>
              <w:t>Disable provider or use invalid provider response in test</w:t>
            </w:r>
          </w:p>
        </w:tc>
        <w:tc>
          <w:tcPr>
            <w:tcW w:type="dxa" w:w="4410"/>
            <w:vAlign w:val="center"/>
            <w:shd w:fill="F7F3EC"/>
            <w:tcMar>
              <w:top w:w="80" w:type="dxa"/>
              <w:start w:w="120" w:type="dxa"/>
              <w:bottom w:w="80" w:type="dxa"/>
              <w:end w:w="120" w:type="dxa"/>
            </w:tcMar>
          </w:tcPr>
          <w:p>
            <w:pPr>
              <w:spacing w:after="0" w:line="269" w:lineRule="auto"/>
            </w:pPr>
            <w:r>
              <w:rPr>
                <w:rFonts w:ascii="Arial" w:hAnsi="Arial"/>
                <w:color w:val="332E29"/>
                <w:sz w:val="15"/>
              </w:rPr>
              <w:t>Local evidence narration continues; status and money do not change</w:t>
            </w:r>
          </w:p>
        </w:tc>
        <w:tc>
          <w:tcPr>
            <w:tcW w:type="dxa" w:w="800"/>
            <w:vAlign w:val="center"/>
            <w:shd w:fill="F7F3EC"/>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Evaluation scorecard</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Scroll to Evaluation</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Nine metrics, targets/details, 48/48 outcomes, and 0 false reconciliations</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bl>
    <w:p>
      <w:pPr>
        <w:spacing w:after="40"/>
      </w:pPr>
    </w:p>
    <w:p>
      <w:r>
        <w:br w:type="page"/>
      </w:r>
    </w:p>
    <w:p>
      <w:pPr>
        <w:pStyle w:val="Heading2"/>
      </w:pPr>
      <w:r>
        <w:t>B. Operational and engineering controls</w:t>
      </w:r>
    </w:p>
    <w:tbl>
      <w:tblPr>
        <w:tblStyle w:val="TableGrid"/>
        <w:tblW w:type="dxa" w:w="9360"/>
        <w:tblLayout w:type="fixed"/>
        <w:tblLook w:firstColumn="1" w:firstRow="1" w:lastColumn="0" w:lastRow="0" w:noHBand="0" w:noVBand="1" w:val="04A0"/>
        <w:tblInd w:w="120" w:type="dxa"/>
      </w:tblPr>
      <w:tblGrid>
        <w:gridCol w:w="1900"/>
        <w:gridCol w:w="2250"/>
        <w:gridCol w:w="4410"/>
        <w:gridCol w:w="800"/>
      </w:tblGrid>
      <w:tr>
        <w:trPr>
          <w:tblHeader w:val="true"/>
        </w:trPr>
        <w:tc>
          <w:tcPr>
            <w:tcW w:type="dxa" w:w="1900"/>
            <w:shd w:fill="332E29"/>
            <w:vAlign w:val="center"/>
            <w:tcMar>
              <w:top w:w="80" w:type="dxa"/>
              <w:start w:w="120" w:type="dxa"/>
              <w:bottom w:w="80" w:type="dxa"/>
              <w:end w:w="120" w:type="dxa"/>
            </w:tcMar>
          </w:tcPr>
          <w:p>
            <w:pPr>
              <w:spacing w:after="0"/>
              <w:jc w:val="left"/>
            </w:pPr>
            <w:r>
              <w:rPr>
                <w:rFonts w:ascii="Arial" w:hAnsi="Arial"/>
                <w:b/>
                <w:color w:val="FFFFFF"/>
                <w:sz w:val="16"/>
              </w:rPr>
              <w:t>FEATURE</w:t>
            </w:r>
          </w:p>
        </w:tc>
        <w:tc>
          <w:tcPr>
            <w:tcW w:type="dxa" w:w="2250"/>
            <w:shd w:fill="332E29"/>
            <w:vAlign w:val="center"/>
            <w:tcMar>
              <w:top w:w="80" w:type="dxa"/>
              <w:start w:w="120" w:type="dxa"/>
              <w:bottom w:w="80" w:type="dxa"/>
              <w:end w:w="120" w:type="dxa"/>
            </w:tcMar>
          </w:tcPr>
          <w:p>
            <w:pPr>
              <w:spacing w:after="0"/>
              <w:jc w:val="left"/>
            </w:pPr>
            <w:r>
              <w:rPr>
                <w:rFonts w:ascii="Arial" w:hAnsi="Arial"/>
                <w:b/>
                <w:color w:val="FFFFFF"/>
                <w:sz w:val="16"/>
              </w:rPr>
              <w:t>HOW TO CHECK</w:t>
            </w:r>
          </w:p>
        </w:tc>
        <w:tc>
          <w:tcPr>
            <w:tcW w:type="dxa" w:w="4410"/>
            <w:shd w:fill="332E29"/>
            <w:vAlign w:val="center"/>
            <w:tcMar>
              <w:top w:w="80" w:type="dxa"/>
              <w:start w:w="120" w:type="dxa"/>
              <w:bottom w:w="80" w:type="dxa"/>
              <w:end w:w="120" w:type="dxa"/>
            </w:tcMar>
          </w:tcPr>
          <w:p>
            <w:pPr>
              <w:spacing w:after="0"/>
              <w:jc w:val="left"/>
            </w:pPr>
            <w:r>
              <w:rPr>
                <w:rFonts w:ascii="Arial" w:hAnsi="Arial"/>
                <w:b/>
                <w:color w:val="FFFFFF"/>
                <w:sz w:val="16"/>
              </w:rPr>
              <w:t>EXPECTED RESULT</w:t>
            </w:r>
          </w:p>
        </w:tc>
        <w:tc>
          <w:tcPr>
            <w:tcW w:type="dxa" w:w="800"/>
            <w:shd w:fill="332E29"/>
            <w:vAlign w:val="center"/>
            <w:tcMar>
              <w:top w:w="80" w:type="dxa"/>
              <w:start w:w="120" w:type="dxa"/>
              <w:bottom w:w="80" w:type="dxa"/>
              <w:end w:w="120" w:type="dxa"/>
            </w:tcMar>
          </w:tcPr>
          <w:p>
            <w:pPr>
              <w:spacing w:after="0"/>
              <w:jc w:val="left"/>
            </w:pPr>
            <w:r>
              <w:rPr>
                <w:rFonts w:ascii="Arial" w:hAnsi="Arial"/>
                <w:b/>
                <w:color w:val="FFFFFF"/>
                <w:sz w:val="16"/>
              </w:rPr>
              <w:t>PASS</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Hidden truth protection</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Inspect analytics/API response</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Aggregate metrics appear; ground-truth record mapping does not</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shd w:fill="F7F3EC"/>
            <w:tcMar>
              <w:top w:w="80" w:type="dxa"/>
              <w:start w:w="120" w:type="dxa"/>
              <w:bottom w:w="80" w:type="dxa"/>
              <w:end w:w="120" w:type="dxa"/>
            </w:tcMar>
          </w:tcPr>
          <w:p>
            <w:pPr>
              <w:spacing w:after="0" w:line="269" w:lineRule="auto"/>
            </w:pPr>
            <w:r>
              <w:rPr>
                <w:rFonts w:ascii="Arial" w:hAnsi="Arial"/>
                <w:color w:val="332E29"/>
                <w:sz w:val="15"/>
              </w:rPr>
              <w:t>Six-file CSV import</w:t>
            </w:r>
          </w:p>
        </w:tc>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5"/>
              </w:rPr>
              <w:t>POST /api/v1/imports/reconcile</w:t>
            </w:r>
          </w:p>
        </w:tc>
        <w:tc>
          <w:tcPr>
            <w:tcW w:type="dxa" w:w="4410"/>
            <w:vAlign w:val="center"/>
            <w:shd w:fill="F7F3EC"/>
            <w:tcMar>
              <w:top w:w="80" w:type="dxa"/>
              <w:start w:w="120" w:type="dxa"/>
              <w:bottom w:w="80" w:type="dxa"/>
              <w:end w:w="120" w:type="dxa"/>
            </w:tcMar>
          </w:tcPr>
          <w:p>
            <w:pPr>
              <w:spacing w:after="0" w:line="269" w:lineRule="auto"/>
            </w:pPr>
            <w:r>
              <w:rPr>
                <w:rFonts w:ascii="Arial" w:hAnsi="Arial"/>
                <w:color w:val="332E29"/>
                <w:sz w:val="15"/>
              </w:rPr>
              <w:t>Accepted/quarantined/duplicate counts and file hashes returned per source</w:t>
            </w:r>
          </w:p>
        </w:tc>
        <w:tc>
          <w:tcPr>
            <w:tcW w:type="dxa" w:w="800"/>
            <w:vAlign w:val="center"/>
            <w:shd w:fill="F7F3EC"/>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Duplicate suppression</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Import duplicated fixture / run contract test</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Duplicates do not amplify money or normalized facts</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shd w:fill="F7F3EC"/>
            <w:tcMar>
              <w:top w:w="80" w:type="dxa"/>
              <w:start w:w="120" w:type="dxa"/>
              <w:bottom w:w="80" w:type="dxa"/>
              <w:end w:w="120" w:type="dxa"/>
            </w:tcMar>
          </w:tcPr>
          <w:p>
            <w:pPr>
              <w:spacing w:after="0" w:line="269" w:lineRule="auto"/>
            </w:pPr>
            <w:r>
              <w:rPr>
                <w:rFonts w:ascii="Arial" w:hAnsi="Arial"/>
                <w:color w:val="332E29"/>
                <w:sz w:val="15"/>
              </w:rPr>
              <w:t>Malformed-row quarantine</w:t>
            </w:r>
          </w:p>
        </w:tc>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5"/>
              </w:rPr>
              <w:t>Import a malformed row with valid rows</w:t>
            </w:r>
          </w:p>
        </w:tc>
        <w:tc>
          <w:tcPr>
            <w:tcW w:type="dxa" w:w="4410"/>
            <w:vAlign w:val="center"/>
            <w:shd w:fill="F7F3EC"/>
            <w:tcMar>
              <w:top w:w="80" w:type="dxa"/>
              <w:start w:w="120" w:type="dxa"/>
              <w:bottom w:w="80" w:type="dxa"/>
              <w:end w:w="120" w:type="dxa"/>
            </w:tcMar>
          </w:tcPr>
          <w:p>
            <w:pPr>
              <w:spacing w:after="0" w:line="269" w:lineRule="auto"/>
            </w:pPr>
            <w:r>
              <w:rPr>
                <w:rFonts w:ascii="Arial" w:hAnsi="Arial"/>
                <w:color w:val="332E29"/>
                <w:sz w:val="15"/>
              </w:rPr>
              <w:t>Bad row is reported while valid rows continue</w:t>
            </w:r>
          </w:p>
        </w:tc>
        <w:tc>
          <w:tcPr>
            <w:tcW w:type="dxa" w:w="800"/>
            <w:vAlign w:val="center"/>
            <w:shd w:fill="F7F3EC"/>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Review append</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POST settlement review</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New review is stored; deterministic evidence is not overwritten</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shd w:fill="F7F3EC"/>
            <w:tcMar>
              <w:top w:w="80" w:type="dxa"/>
              <w:start w:w="120" w:type="dxa"/>
              <w:bottom w:w="80" w:type="dxa"/>
              <w:end w:w="120" w:type="dxa"/>
            </w:tcMar>
          </w:tcPr>
          <w:p>
            <w:pPr>
              <w:spacing w:after="0" w:line="269" w:lineRule="auto"/>
            </w:pPr>
            <w:r>
              <w:rPr>
                <w:rFonts w:ascii="Arial" w:hAnsi="Arial"/>
                <w:color w:val="332E29"/>
                <w:sz w:val="15"/>
              </w:rPr>
              <w:t>Audit events</w:t>
            </w:r>
          </w:p>
        </w:tc>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5"/>
              </w:rPr>
              <w:t>GET /api/v1/audit-events</w:t>
            </w:r>
          </w:p>
        </w:tc>
        <w:tc>
          <w:tcPr>
            <w:tcW w:type="dxa" w:w="4410"/>
            <w:vAlign w:val="center"/>
            <w:shd w:fill="F7F3EC"/>
            <w:tcMar>
              <w:top w:w="80" w:type="dxa"/>
              <w:start w:w="120" w:type="dxa"/>
              <w:bottom w:w="80" w:type="dxa"/>
              <w:end w:w="120" w:type="dxa"/>
            </w:tcMar>
          </w:tcPr>
          <w:p>
            <w:pPr>
              <w:spacing w:after="0" w:line="269" w:lineRule="auto"/>
            </w:pPr>
            <w:r>
              <w:rPr>
                <w:rFonts w:ascii="Arial" w:hAnsi="Arial"/>
                <w:color w:val="332E29"/>
                <w:sz w:val="15"/>
              </w:rPr>
              <w:t>Run/review/AI events contain safe IDs, hashes, actor, version, and timestamp</w:t>
            </w:r>
          </w:p>
        </w:tc>
        <w:tc>
          <w:tcPr>
            <w:tcW w:type="dxa" w:w="800"/>
            <w:vAlign w:val="center"/>
            <w:shd w:fill="F7F3EC"/>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Immutable run list</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GET /api/v1/reconciliation-runs</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Completed snapshots remain queryable and versioned</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shd w:fill="F7F3EC"/>
            <w:tcMar>
              <w:top w:w="80" w:type="dxa"/>
              <w:start w:w="120" w:type="dxa"/>
              <w:bottom w:w="80" w:type="dxa"/>
              <w:end w:w="120" w:type="dxa"/>
            </w:tcMar>
          </w:tcPr>
          <w:p>
            <w:pPr>
              <w:spacing w:after="0" w:line="269" w:lineRule="auto"/>
            </w:pPr>
            <w:r>
              <w:rPr>
                <w:rFonts w:ascii="Arial" w:hAnsi="Arial"/>
                <w:color w:val="332E29"/>
                <w:sz w:val="15"/>
              </w:rPr>
              <w:t>PostgreSQL durability</w:t>
            </w:r>
          </w:p>
        </w:tc>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5"/>
              </w:rPr>
              <w:t>Restart API in PostgreSQL mode</w:t>
            </w:r>
          </w:p>
        </w:tc>
        <w:tc>
          <w:tcPr>
            <w:tcW w:type="dxa" w:w="4410"/>
            <w:vAlign w:val="center"/>
            <w:shd w:fill="F7F3EC"/>
            <w:tcMar>
              <w:top w:w="80" w:type="dxa"/>
              <w:start w:w="120" w:type="dxa"/>
              <w:bottom w:w="80" w:type="dxa"/>
              <w:end w:w="120" w:type="dxa"/>
            </w:tcMar>
          </w:tcPr>
          <w:p>
            <w:pPr>
              <w:spacing w:after="0" w:line="269" w:lineRule="auto"/>
            </w:pPr>
            <w:r>
              <w:rPr>
                <w:rFonts w:ascii="Arial" w:hAnsi="Arial"/>
                <w:color w:val="332E29"/>
                <w:sz w:val="15"/>
              </w:rPr>
              <w:t>Run, outcomes, reviews, investigations, and audit events survive restart</w:t>
            </w:r>
          </w:p>
        </w:tc>
        <w:tc>
          <w:tcPr>
            <w:tcW w:type="dxa" w:w="800"/>
            <w:vAlign w:val="center"/>
            <w:shd w:fill="F7F3EC"/>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Tenant isolation</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Run PostgreSQL integration test</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Cross-tenant record access is denied</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shd w:fill="F7F3EC"/>
            <w:tcMar>
              <w:top w:w="80" w:type="dxa"/>
              <w:start w:w="120" w:type="dxa"/>
              <w:bottom w:w="80" w:type="dxa"/>
              <w:end w:w="120" w:type="dxa"/>
            </w:tcMar>
          </w:tcPr>
          <w:p>
            <w:pPr>
              <w:spacing w:after="0" w:line="269" w:lineRule="auto"/>
            </w:pPr>
            <w:r>
              <w:rPr>
                <w:rFonts w:ascii="Arial" w:hAnsi="Arial"/>
                <w:color w:val="332E29"/>
                <w:sz w:val="15"/>
              </w:rPr>
              <w:t>OpenAPI contract</w:t>
            </w:r>
          </w:p>
        </w:tc>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5"/>
              </w:rPr>
              <w:t>Open http://localhost:8000/docs</w:t>
            </w:r>
          </w:p>
        </w:tc>
        <w:tc>
          <w:tcPr>
            <w:tcW w:type="dxa" w:w="4410"/>
            <w:vAlign w:val="center"/>
            <w:shd w:fill="F7F3EC"/>
            <w:tcMar>
              <w:top w:w="80" w:type="dxa"/>
              <w:start w:w="120" w:type="dxa"/>
              <w:bottom w:w="80" w:type="dxa"/>
              <w:end w:w="120" w:type="dxa"/>
            </w:tcMar>
          </w:tcPr>
          <w:p>
            <w:pPr>
              <w:spacing w:after="0" w:line="269" w:lineRule="auto"/>
            </w:pPr>
            <w:r>
              <w:rPr>
                <w:rFonts w:ascii="Arial" w:hAnsi="Arial"/>
                <w:color w:val="332E29"/>
                <w:sz w:val="15"/>
              </w:rPr>
              <w:t>Demo, import, analytics, evidence, exception, review, audit, and AI routes visible</w:t>
            </w:r>
          </w:p>
        </w:tc>
        <w:tc>
          <w:tcPr>
            <w:tcW w:type="dxa" w:w="800"/>
            <w:vAlign w:val="center"/>
            <w:shd w:fill="F7F3EC"/>
            <w:tcMar>
              <w:top w:w="80" w:type="dxa"/>
              <w:start w:w="120" w:type="dxa"/>
              <w:bottom w:w="80" w:type="dxa"/>
              <w:end w:w="120" w:type="dxa"/>
            </w:tcMar>
          </w:tcPr>
          <w:p>
            <w:pPr>
              <w:spacing w:after="0" w:line="269" w:lineRule="auto"/>
            </w:pPr>
            <w:r>
              <w:rPr>
                <w:rFonts w:ascii="Arial" w:hAnsi="Arial"/>
                <w:color w:val="332E29"/>
                <w:sz w:val="15"/>
              </w:rPr>
              <w:t>___</w:t>
            </w:r>
          </w:p>
        </w:tc>
      </w:tr>
      <w:tr>
        <w:tc>
          <w:tcPr>
            <w:tcW w:type="dxa" w:w="1900"/>
            <w:vAlign w:val="center"/>
            <w:tcMar>
              <w:top w:w="80" w:type="dxa"/>
              <w:start w:w="120" w:type="dxa"/>
              <w:bottom w:w="80" w:type="dxa"/>
              <w:end w:w="120" w:type="dxa"/>
            </w:tcMar>
          </w:tcPr>
          <w:p>
            <w:pPr>
              <w:spacing w:after="0" w:line="269" w:lineRule="auto"/>
            </w:pPr>
            <w:r>
              <w:rPr>
                <w:rFonts w:ascii="Arial" w:hAnsi="Arial"/>
                <w:color w:val="332E29"/>
                <w:sz w:val="15"/>
              </w:rPr>
              <w:t>Automated regression</w:t>
            </w:r>
          </w:p>
        </w:tc>
        <w:tc>
          <w:tcPr>
            <w:tcW w:type="dxa" w:w="2250"/>
            <w:vAlign w:val="center"/>
            <w:tcMar>
              <w:top w:w="80" w:type="dxa"/>
              <w:start w:w="120" w:type="dxa"/>
              <w:bottom w:w="80" w:type="dxa"/>
              <w:end w:w="120" w:type="dxa"/>
            </w:tcMar>
          </w:tcPr>
          <w:p>
            <w:pPr>
              <w:spacing w:after="0" w:line="269" w:lineRule="auto"/>
            </w:pPr>
            <w:r>
              <w:rPr>
                <w:rFonts w:ascii="Arial" w:hAnsi="Arial"/>
                <w:color w:val="332E29"/>
                <w:sz w:val="15"/>
              </w:rPr>
              <w:t>Run verification suite</w:t>
            </w:r>
          </w:p>
        </w:tc>
        <w:tc>
          <w:tcPr>
            <w:tcW w:type="dxa" w:w="4410"/>
            <w:vAlign w:val="center"/>
            <w:tcMar>
              <w:top w:w="80" w:type="dxa"/>
              <w:start w:w="120" w:type="dxa"/>
              <w:bottom w:w="80" w:type="dxa"/>
              <w:end w:w="120" w:type="dxa"/>
            </w:tcMar>
          </w:tcPr>
          <w:p>
            <w:pPr>
              <w:spacing w:after="0" w:line="269" w:lineRule="auto"/>
            </w:pPr>
            <w:r>
              <w:rPr>
                <w:rFonts w:ascii="Arial" w:hAnsi="Arial"/>
                <w:color w:val="332E29"/>
                <w:sz w:val="15"/>
              </w:rPr>
              <w:t>Ruff, strict mypy, backend tests, frontend lint/build, and Compose validation pass</w:t>
            </w:r>
          </w:p>
        </w:tc>
        <w:tc>
          <w:tcPr>
            <w:tcW w:type="dxa" w:w="800"/>
            <w:vAlign w:val="center"/>
            <w:tcMar>
              <w:top w:w="80" w:type="dxa"/>
              <w:start w:w="120" w:type="dxa"/>
              <w:bottom w:w="80" w:type="dxa"/>
              <w:end w:w="120" w:type="dxa"/>
            </w:tcMar>
          </w:tcPr>
          <w:p>
            <w:pPr>
              <w:spacing w:after="0" w:line="269" w:lineRule="auto"/>
            </w:pPr>
            <w:r>
              <w:rPr>
                <w:rFonts w:ascii="Arial" w:hAnsi="Arial"/>
                <w:color w:val="332E29"/>
                <w:sz w:val="15"/>
              </w:rPr>
              <w:t>___</w:t>
            </w:r>
          </w:p>
        </w:tc>
      </w:tr>
    </w:tbl>
    <w:p>
      <w:pPr>
        <w:spacing w:after="40"/>
      </w:pPr>
    </w:p>
    <w:p>
      <w:r>
        <w:br w:type="page"/>
      </w:r>
    </w:p>
    <w:p>
      <w:pPr>
        <w:keepNext/>
        <w:spacing w:after="160"/>
      </w:pPr>
      <w:r>
        <w:rPr>
          <w:rFonts w:ascii="Arial" w:hAnsi="Arial"/>
          <w:b/>
          <w:color w:val="D95A00"/>
          <w:sz w:val="18"/>
        </w:rPr>
        <w:t>ADVANCED VERIFICATION</w:t>
      </w:r>
    </w:p>
    <w:p>
      <w:pPr>
        <w:keepNext/>
        <w:spacing w:after="160"/>
      </w:pPr>
      <w:r>
        <w:rPr>
          <w:rFonts w:ascii="Arial" w:hAnsi="Arial"/>
          <w:b/>
          <w:color w:val="332E29"/>
          <w:sz w:val="48"/>
        </w:rPr>
        <w:t>API, import, review, and audit checks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8EADB"/>
            <w:vAlign w:val="center"/>
          </w:tcPr>
          <w:p>
            <w:pPr>
              <w:spacing w:after="0"/>
            </w:pPr>
            <w:r>
              <w:rPr>
                <w:b/>
                <w:color w:val="A95712"/>
              </w:rPr>
              <w:t xml:space="preserve">UI SCOPE  </w:t>
            </w:r>
            <w:r>
              <w:rPr>
                <w:color w:val="332E29"/>
              </w:rPr>
              <w:t>The current dashboard is optimized for the generated demonstration. Six-file imports, human-review submission, audit-event queries, run listing, and commercial-exception listing are fully exposed through FastAPI/OpenAPI and can be shown in Swagger during technical Q&amp;A.</w:t>
            </w:r>
          </w:p>
        </w:tc>
      </w:tr>
    </w:tbl>
    <w:p>
      <w:pPr>
        <w:spacing w:after="40"/>
      </w:pPr>
    </w:p>
    <w:p>
      <w:pPr>
        <w:pStyle w:val="Heading2"/>
      </w:pPr>
      <w:r>
        <w:t>Generate the six public import contracts</w:t>
      </w:r>
    </w:p>
    <w:p>
      <w:pPr>
        <w:spacing w:before="60" w:after="160" w:line="240" w:lineRule="auto"/>
        <w:ind w:left="216" w:right="216"/>
        <w:shd w:fill="EEE9E1"/>
      </w:pPr>
      <w:r>
        <w:rPr>
          <w:rFonts w:ascii="Courier New" w:hAnsi="Courier New"/>
          <w:color w:val="332E29"/>
          <w:sz w:val="17"/>
        </w:rPr>
        <w:t>.venv/bin/recon-demo --orders 500 --seed 20260825 --output data/generated/demo</w:t>
      </w:r>
    </w:p>
    <w:p>
      <w:pPr>
        <w:spacing w:after="120"/>
      </w:pPr>
      <w:r>
        <w:t>Expected files: merchant_orders.csv, razorpay_payments.csv, razorpay_refunds.csv, razorpay_settlements.csv, razorpay_settlement_recon.csv, bank_statement.csv, and manifest.json. The dot-prefixed ground-truth file is evaluator-only and must never be served or uploaded as product data.</w:t>
      </w:r>
    </w:p>
    <w:p>
      <w:pPr>
        <w:pStyle w:val="Heading2"/>
      </w:pPr>
      <w:r>
        <w:t>Import and reconcile</w:t>
      </w:r>
    </w:p>
    <w:p>
      <w:pPr>
        <w:spacing w:before="60" w:after="160" w:line="240" w:lineRule="auto"/>
        <w:ind w:left="216" w:right="216"/>
        <w:shd w:fill="EEE9E1"/>
      </w:pPr>
      <w:r>
        <w:rPr>
          <w:rFonts w:ascii="Courier New" w:hAnsi="Courier New"/>
          <w:color w:val="332E29"/>
          <w:sz w:val="17"/>
        </w:rPr>
        <w:t>curl -sS -X POST http://localhost:8000/api/v1/imports/reconcile \</w:t>
        <w:br/>
        <w:t xml:space="preserve">  -F orders=@data/generated/demo/merchant_orders.csv \</w:t>
        <w:br/>
        <w:t xml:space="preserve">  -F payments=@data/generated/demo/razorpay_payments.csv \</w:t>
        <w:br/>
        <w:t xml:space="preserve">  -F refunds=@data/generated/demo/razorpay_refunds.csv \</w:t>
        <w:br/>
        <w:t xml:space="preserve">  -F settlements=@data/generated/demo/razorpay_settlements.csv \</w:t>
        <w:br/>
        <w:t xml:space="preserve">  -F ledger=@data/generated/demo/razorpay_settlement_recon.csv \</w:t>
        <w:br/>
        <w:t xml:space="preserve">  -F bank=@data/generated/demo/bank_statement.csv \</w:t>
        <w:br/>
        <w:t xml:space="preserve">  -F 'manifest=&lt;data/generated/demo/manifest.json'</w:t>
      </w:r>
    </w:p>
    <w:p>
      <w:pPr>
        <w:spacing w:after="120"/>
      </w:pPr>
      <w:r>
        <w:t>Expected: HTTP 201 with a run_id plus accepted, quarantined, duplicates, and file_hash fields for every imported source.</w:t>
      </w:r>
    </w:p>
    <w:p>
      <w:pPr>
        <w:pStyle w:val="Heading2"/>
      </w:pPr>
      <w:r>
        <w:t>Query evidence and exceptions</w:t>
      </w:r>
    </w:p>
    <w:p>
      <w:pPr>
        <w:spacing w:before="60" w:after="160" w:line="240" w:lineRule="auto"/>
        <w:ind w:left="216" w:right="216"/>
        <w:shd w:fill="EEE9E1"/>
      </w:pPr>
      <w:r>
        <w:rPr>
          <w:rFonts w:ascii="Courier New" w:hAnsi="Courier New"/>
          <w:color w:val="332E29"/>
          <w:sz w:val="17"/>
        </w:rPr>
        <w:t>RUN_ID='&lt;copy run_id&gt;'</w:t>
        <w:br/>
        <w:t>curl -sS http://localhost:8000/api/v1/reconciliation-runs/$RUN_ID/analytics</w:t>
        <w:br/>
        <w:t>curl -sS http://localhost:8000/api/v1/reconciliation-runs/$RUN_ID/settlements/setl_SYN0013</w:t>
        <w:br/>
        <w:t>curl -sS http://localhost:8000/api/v1/reconciliation-runs/$RUN_ID/exceptions</w:t>
      </w:r>
    </w:p>
    <w:p>
      <w:pPr>
        <w:pStyle w:val="Heading2"/>
      </w:pPr>
      <w:r>
        <w:t>Append a human review and inspect audit history</w:t>
      </w:r>
    </w:p>
    <w:p>
      <w:pPr>
        <w:spacing w:before="60" w:after="160" w:line="240" w:lineRule="auto"/>
        <w:ind w:left="216" w:right="216"/>
        <w:shd w:fill="EEE9E1"/>
      </w:pPr>
      <w:r>
        <w:rPr>
          <w:rFonts w:ascii="Courier New" w:hAnsi="Courier New"/>
          <w:color w:val="332E29"/>
          <w:sz w:val="17"/>
        </w:rPr>
        <w:t>curl -sS -X POST http://localhost:8000/api/v1/reconciliation-runs/$RUN_ID/settlements/setl_SYN0013/reviews \</w:t>
        <w:br/>
        <w:t xml:space="preserve">  -H 'Content-Type: application/json' \</w:t>
        <w:br/>
        <w:t xml:space="preserve">  -d '{"decision":"KEEP_IN_REVIEW","reason":"UTR requires bank confirmation","actor":"demo-reviewer"}'</w:t>
        <w:br/>
        <w:br/>
        <w:t>curl -sS 'http://localhost:8000/api/v1/audit-events?subject_id=setl_SYN0013'</w:t>
      </w:r>
    </w:p>
    <w:p>
      <w:pPr>
        <w:spacing w:after="120"/>
      </w:pPr>
      <w:r>
        <w:t>Expected: the review is appended with actor and timestamp; an audit event is queryable. The settlement’s deterministic calculation and historical evidence remain unchanged.</w:t>
      </w:r>
    </w:p>
    <w:p>
      <w:pPr>
        <w:keepNext/>
        <w:spacing w:after="160"/>
      </w:pPr>
      <w:r>
        <w:rPr>
          <w:rFonts w:ascii="Arial" w:hAnsi="Arial"/>
          <w:b/>
          <w:color w:val="D95A00"/>
          <w:sz w:val="18"/>
        </w:rPr>
        <w:t>CONFIDENCE BEFORE STAGE TIME</w:t>
      </w:r>
    </w:p>
    <w:p>
      <w:pPr>
        <w:keepNext/>
        <w:spacing w:after="160"/>
      </w:pPr>
      <w:r>
        <w:rPr>
          <w:rFonts w:ascii="Arial" w:hAnsi="Arial"/>
          <w:b/>
          <w:color w:val="332E29"/>
          <w:sz w:val="48"/>
        </w:rPr>
        <w:t>Final tests and fallback plan</w:t>
      </w:r>
    </w:p>
    <w:p>
      <w:pPr>
        <w:pStyle w:val="Heading2"/>
      </w:pPr>
      <w:r>
        <w:t>Run the verification suite</w:t>
      </w:r>
    </w:p>
    <w:p>
      <w:pPr>
        <w:spacing w:before="60" w:after="160" w:line="240" w:lineRule="auto"/>
        <w:ind w:left="216" w:right="216"/>
        <w:shd w:fill="EEE9E1"/>
      </w:pPr>
      <w:r>
        <w:rPr>
          <w:rFonts w:ascii="Courier New" w:hAnsi="Courier New"/>
          <w:color w:val="332E29"/>
          <w:sz w:val="17"/>
        </w:rPr>
        <w:t>.venv/bin/ruff check src apps/api tests migrations</w:t>
        <w:br/>
        <w:t>.venv/bin/mypy</w:t>
        <w:br/>
        <w:t>.venv/bin/pytest --cov=src/recon</w:t>
        <w:br/>
        <w:t>cd apps/web &amp;&amp; npm run lint &amp;&amp; npm run build</w:t>
        <w:br/>
        <w:t>cd ../.. &amp;&amp; docker compose config --quiet</w:t>
      </w:r>
    </w:p>
    <w:p>
      <w:pPr>
        <w:spacing w:after="120"/>
      </w:pPr>
      <w:r>
        <w:t>Expected baseline from the last complete verification: 29 tests passed, 1 PostgreSQL-only test skipped when TEST_DATABASE_URL was absent; strict mypy, Ruff, frontend lint/build, and Compose validation passed. If the code changes later, quote the new live result rather than this historical baseline.</w:t>
      </w:r>
    </w:p>
    <w:p>
      <w:pPr>
        <w:pStyle w:val="Heading2"/>
      </w:pPr>
      <w:r>
        <w:t>If something goes wrong</w:t>
      </w:r>
    </w:p>
    <w:tbl>
      <w:tblPr>
        <w:tblStyle w:val="TableGrid"/>
        <w:tblW w:type="dxa" w:w="9360"/>
        <w:tblLayout w:type="fixed"/>
        <w:tblLook w:firstColumn="1" w:firstRow="1" w:lastColumn="0" w:lastRow="0" w:noHBand="0" w:noVBand="1" w:val="04A0"/>
        <w:tblInd w:w="120" w:type="dxa"/>
      </w:tblPr>
      <w:tblGrid>
        <w:gridCol w:w="2250"/>
        <w:gridCol w:w="3310"/>
        <w:gridCol w:w="3800"/>
      </w:tblGrid>
      <w:tr>
        <w:trPr>
          <w:tblHeader w:val="true"/>
        </w:trPr>
        <w:tc>
          <w:tcPr>
            <w:tcW w:type="dxa" w:w="2250"/>
            <w:shd w:fill="332E29"/>
            <w:vAlign w:val="center"/>
            <w:tcMar>
              <w:top w:w="80" w:type="dxa"/>
              <w:start w:w="120" w:type="dxa"/>
              <w:bottom w:w="80" w:type="dxa"/>
              <w:end w:w="120" w:type="dxa"/>
            </w:tcMar>
          </w:tcPr>
          <w:p>
            <w:pPr>
              <w:spacing w:after="0"/>
              <w:jc w:val="left"/>
            </w:pPr>
            <w:r>
              <w:rPr>
                <w:rFonts w:ascii="Arial" w:hAnsi="Arial"/>
                <w:b/>
                <w:color w:val="FFFFFF"/>
                <w:sz w:val="16"/>
              </w:rPr>
              <w:t>SYMPTOM</w:t>
            </w:r>
          </w:p>
        </w:tc>
        <w:tc>
          <w:tcPr>
            <w:tcW w:type="dxa" w:w="3310"/>
            <w:shd w:fill="332E29"/>
            <w:vAlign w:val="center"/>
            <w:tcMar>
              <w:top w:w="80" w:type="dxa"/>
              <w:start w:w="120" w:type="dxa"/>
              <w:bottom w:w="80" w:type="dxa"/>
              <w:end w:w="120" w:type="dxa"/>
            </w:tcMar>
          </w:tcPr>
          <w:p>
            <w:pPr>
              <w:spacing w:after="0"/>
              <w:jc w:val="left"/>
            </w:pPr>
            <w:r>
              <w:rPr>
                <w:rFonts w:ascii="Arial" w:hAnsi="Arial"/>
                <w:b/>
                <w:color w:val="FFFFFF"/>
                <w:sz w:val="16"/>
              </w:rPr>
              <w:t>PRESENTER-SAFE ACTION</w:t>
            </w:r>
          </w:p>
        </w:tc>
        <w:tc>
          <w:tcPr>
            <w:tcW w:type="dxa" w:w="3800"/>
            <w:shd w:fill="332E29"/>
            <w:vAlign w:val="center"/>
            <w:tcMar>
              <w:top w:w="80" w:type="dxa"/>
              <w:start w:w="120" w:type="dxa"/>
              <w:bottom w:w="80" w:type="dxa"/>
              <w:end w:w="120" w:type="dxa"/>
            </w:tcMar>
          </w:tcPr>
          <w:p>
            <w:pPr>
              <w:spacing w:after="0"/>
              <w:jc w:val="left"/>
            </w:pPr>
            <w:r>
              <w:rPr>
                <w:rFonts w:ascii="Arial" w:hAnsi="Arial"/>
                <w:b/>
                <w:color w:val="FFFFFF"/>
                <w:sz w:val="16"/>
              </w:rPr>
              <w:t>WHAT TO SAY</w:t>
            </w:r>
          </w:p>
        </w:tc>
      </w:tr>
      <w:tr>
        <w:tc>
          <w:tcPr>
            <w:tcW w:type="dxa" w:w="2250"/>
            <w:vAlign w:val="center"/>
            <w:tcMar>
              <w:top w:w="80" w:type="dxa"/>
              <w:start w:w="120" w:type="dxa"/>
              <w:bottom w:w="80" w:type="dxa"/>
              <w:end w:w="120" w:type="dxa"/>
            </w:tcMar>
          </w:tcPr>
          <w:p>
            <w:pPr>
              <w:spacing w:after="0" w:line="269" w:lineRule="auto"/>
            </w:pPr>
            <w:r>
              <w:rPr>
                <w:rFonts w:ascii="Arial" w:hAnsi="Arial"/>
                <w:color w:val="332E29"/>
                <w:sz w:val="16"/>
              </w:rPr>
              <w:t>Port 3000 is occupied</w:t>
            </w:r>
          </w:p>
        </w:tc>
        <w:tc>
          <w:tcPr>
            <w:tcW w:type="dxa" w:w="3310"/>
            <w:vAlign w:val="center"/>
            <w:tcMar>
              <w:top w:w="80" w:type="dxa"/>
              <w:start w:w="120" w:type="dxa"/>
              <w:bottom w:w="80" w:type="dxa"/>
              <w:end w:w="120" w:type="dxa"/>
            </w:tcMar>
          </w:tcPr>
          <w:p>
            <w:pPr>
              <w:spacing w:after="0" w:line="269" w:lineRule="auto"/>
            </w:pPr>
            <w:r>
              <w:rPr>
                <w:rFonts w:ascii="Arial" w:hAnsi="Arial"/>
                <w:color w:val="332E29"/>
                <w:sz w:val="16"/>
              </w:rPr>
              <w:t>Use the port printed by Next.js, commonly 3001.</w:t>
            </w:r>
          </w:p>
        </w:tc>
        <w:tc>
          <w:tcPr>
            <w:tcW w:type="dxa" w:w="3800"/>
            <w:vAlign w:val="center"/>
            <w:tcMar>
              <w:top w:w="80" w:type="dxa"/>
              <w:start w:w="120" w:type="dxa"/>
              <w:bottom w:w="80" w:type="dxa"/>
              <w:end w:w="120" w:type="dxa"/>
            </w:tcMar>
          </w:tcPr>
          <w:p>
            <w:pPr>
              <w:spacing w:after="0" w:line="269" w:lineRule="auto"/>
            </w:pPr>
            <w:r>
              <w:rPr>
                <w:rFonts w:ascii="Arial" w:hAnsi="Arial"/>
                <w:color w:val="332E29"/>
                <w:sz w:val="16"/>
              </w:rPr>
              <w:t>“The dev server selected the next available local port; product behavior is unchanged.”</w:t>
            </w:r>
          </w:p>
        </w:tc>
      </w:tr>
      <w:tr>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6"/>
              </w:rPr>
              <w:t>API health fails</w:t>
            </w:r>
          </w:p>
        </w:tc>
        <w:tc>
          <w:tcPr>
            <w:tcW w:type="dxa" w:w="3310"/>
            <w:vAlign w:val="center"/>
            <w:shd w:fill="F7F3EC"/>
            <w:tcMar>
              <w:top w:w="80" w:type="dxa"/>
              <w:start w:w="120" w:type="dxa"/>
              <w:bottom w:w="80" w:type="dxa"/>
              <w:end w:w="120" w:type="dxa"/>
            </w:tcMar>
          </w:tcPr>
          <w:p>
            <w:pPr>
              <w:spacing w:after="0" w:line="269" w:lineRule="auto"/>
            </w:pPr>
            <w:r>
              <w:rPr>
                <w:rFonts w:ascii="Arial" w:hAnsi="Arial"/>
                <w:color w:val="332E29"/>
                <w:sz w:val="16"/>
              </w:rPr>
              <w:t>Restart the API; verify port 8000 and NEXT_PUBLIC_API_URL.</w:t>
            </w:r>
          </w:p>
        </w:tc>
        <w:tc>
          <w:tcPr>
            <w:tcW w:type="dxa" w:w="3800"/>
            <w:vAlign w:val="center"/>
            <w:shd w:fill="F7F3EC"/>
            <w:tcMar>
              <w:top w:w="80" w:type="dxa"/>
              <w:start w:w="120" w:type="dxa"/>
              <w:bottom w:w="80" w:type="dxa"/>
              <w:end w:w="120" w:type="dxa"/>
            </w:tcMar>
          </w:tcPr>
          <w:p>
            <w:pPr>
              <w:spacing w:after="0" w:line="269" w:lineRule="auto"/>
            </w:pPr>
            <w:r>
              <w:rPr>
                <w:rFonts w:ascii="Arial" w:hAnsi="Arial"/>
                <w:color w:val="332E29"/>
                <w:sz w:val="16"/>
              </w:rPr>
              <w:t>Do not continue with stale dashboard data.</w:t>
            </w:r>
          </w:p>
        </w:tc>
      </w:tr>
      <w:tr>
        <w:tc>
          <w:tcPr>
            <w:tcW w:type="dxa" w:w="2250"/>
            <w:vAlign w:val="center"/>
            <w:tcMar>
              <w:top w:w="80" w:type="dxa"/>
              <w:start w:w="120" w:type="dxa"/>
              <w:bottom w:w="80" w:type="dxa"/>
              <w:end w:w="120" w:type="dxa"/>
            </w:tcMar>
          </w:tcPr>
          <w:p>
            <w:pPr>
              <w:spacing w:after="0" w:line="269" w:lineRule="auto"/>
            </w:pPr>
            <w:r>
              <w:rPr>
                <w:rFonts w:ascii="Arial" w:hAnsi="Arial"/>
                <w:color w:val="332E29"/>
                <w:sz w:val="16"/>
              </w:rPr>
              <w:t>Gemini is slow/unavailable</w:t>
            </w:r>
          </w:p>
        </w:tc>
        <w:tc>
          <w:tcPr>
            <w:tcW w:type="dxa" w:w="3310"/>
            <w:vAlign w:val="center"/>
            <w:tcMar>
              <w:top w:w="80" w:type="dxa"/>
              <w:start w:w="120" w:type="dxa"/>
              <w:bottom w:w="80" w:type="dxa"/>
              <w:end w:w="120" w:type="dxa"/>
            </w:tcMar>
          </w:tcPr>
          <w:p>
            <w:pPr>
              <w:spacing w:after="0" w:line="269" w:lineRule="auto"/>
            </w:pPr>
            <w:r>
              <w:rPr>
                <w:rFonts w:ascii="Arial" w:hAnsi="Arial"/>
                <w:color w:val="332E29"/>
                <w:sz w:val="16"/>
              </w:rPr>
              <w:t>Wait once; then show deterministic evidence and safe fallback.</w:t>
            </w:r>
          </w:p>
        </w:tc>
        <w:tc>
          <w:tcPr>
            <w:tcW w:type="dxa" w:w="3800"/>
            <w:vAlign w:val="center"/>
            <w:tcMar>
              <w:top w:w="80" w:type="dxa"/>
              <w:start w:w="120" w:type="dxa"/>
              <w:bottom w:w="80" w:type="dxa"/>
              <w:end w:w="120" w:type="dxa"/>
            </w:tcMar>
          </w:tcPr>
          <w:p>
            <w:pPr>
              <w:spacing w:after="0" w:line="269" w:lineRule="auto"/>
            </w:pPr>
            <w:r>
              <w:rPr>
                <w:rFonts w:ascii="Arial" w:hAnsi="Arial"/>
                <w:color w:val="332E29"/>
                <w:sz w:val="16"/>
              </w:rPr>
              <w:t>“AI is advisory. Reconciliation and evidence remain fully available without it.”</w:t>
            </w:r>
          </w:p>
        </w:tc>
      </w:tr>
      <w:tr>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6"/>
              </w:rPr>
              <w:t>PostgreSQL is unavailable</w:t>
            </w:r>
          </w:p>
        </w:tc>
        <w:tc>
          <w:tcPr>
            <w:tcW w:type="dxa" w:w="3310"/>
            <w:vAlign w:val="center"/>
            <w:shd w:fill="F7F3EC"/>
            <w:tcMar>
              <w:top w:w="80" w:type="dxa"/>
              <w:start w:w="120" w:type="dxa"/>
              <w:bottom w:w="80" w:type="dxa"/>
              <w:end w:w="120" w:type="dxa"/>
            </w:tcMar>
          </w:tcPr>
          <w:p>
            <w:pPr>
              <w:spacing w:after="0" w:line="269" w:lineRule="auto"/>
            </w:pPr>
            <w:r>
              <w:rPr>
                <w:rFonts w:ascii="Arial" w:hAnsi="Arial"/>
                <w:color w:val="332E29"/>
                <w:sz w:val="16"/>
              </w:rPr>
              <w:t>Switch to RECON_PERSISTENCE=memory and restart API.</w:t>
            </w:r>
          </w:p>
        </w:tc>
        <w:tc>
          <w:tcPr>
            <w:tcW w:type="dxa" w:w="3800"/>
            <w:vAlign w:val="center"/>
            <w:shd w:fill="F7F3EC"/>
            <w:tcMar>
              <w:top w:w="80" w:type="dxa"/>
              <w:start w:w="120" w:type="dxa"/>
              <w:bottom w:w="80" w:type="dxa"/>
              <w:end w:w="120" w:type="dxa"/>
            </w:tcMar>
          </w:tcPr>
          <w:p>
            <w:pPr>
              <w:spacing w:after="0" w:line="269" w:lineRule="auto"/>
            </w:pPr>
            <w:r>
              <w:rPr>
                <w:rFonts w:ascii="Arial" w:hAnsi="Arial"/>
                <w:color w:val="332E29"/>
                <w:sz w:val="16"/>
              </w:rPr>
              <w:t>“For this demo we use an isolated temporary store; financial rules are identical.”</w:t>
            </w:r>
          </w:p>
        </w:tc>
      </w:tr>
      <w:tr>
        <w:tc>
          <w:tcPr>
            <w:tcW w:type="dxa" w:w="2250"/>
            <w:vAlign w:val="center"/>
            <w:tcMar>
              <w:top w:w="80" w:type="dxa"/>
              <w:start w:w="120" w:type="dxa"/>
              <w:bottom w:w="80" w:type="dxa"/>
              <w:end w:w="120" w:type="dxa"/>
            </w:tcMar>
          </w:tcPr>
          <w:p>
            <w:pPr>
              <w:spacing w:after="0" w:line="269" w:lineRule="auto"/>
            </w:pPr>
            <w:r>
              <w:rPr>
                <w:rFonts w:ascii="Arial" w:hAnsi="Arial"/>
                <w:color w:val="332E29"/>
                <w:sz w:val="16"/>
              </w:rPr>
              <w:t>Unexpected score</w:t>
            </w:r>
          </w:p>
        </w:tc>
        <w:tc>
          <w:tcPr>
            <w:tcW w:type="dxa" w:w="3310"/>
            <w:vAlign w:val="center"/>
            <w:tcMar>
              <w:top w:w="80" w:type="dxa"/>
              <w:start w:w="120" w:type="dxa"/>
              <w:bottom w:w="80" w:type="dxa"/>
              <w:end w:w="120" w:type="dxa"/>
            </w:tcMar>
          </w:tcPr>
          <w:p>
            <w:pPr>
              <w:spacing w:after="0" w:line="269" w:lineRule="auto"/>
            </w:pPr>
            <w:r>
              <w:rPr>
                <w:rFonts w:ascii="Arial" w:hAnsi="Arial"/>
                <w:color w:val="332E29"/>
                <w:sz w:val="16"/>
              </w:rPr>
              <w:t>Run a fresh seed 20260825 dataset; confirm order_count=500.</w:t>
            </w:r>
          </w:p>
        </w:tc>
        <w:tc>
          <w:tcPr>
            <w:tcW w:type="dxa" w:w="3800"/>
            <w:vAlign w:val="center"/>
            <w:tcMar>
              <w:top w:w="80" w:type="dxa"/>
              <w:start w:w="120" w:type="dxa"/>
              <w:bottom w:w="80" w:type="dxa"/>
              <w:end w:w="120" w:type="dxa"/>
            </w:tcMar>
          </w:tcPr>
          <w:p>
            <w:pPr>
              <w:spacing w:after="0" w:line="269" w:lineRule="auto"/>
            </w:pPr>
            <w:r>
              <w:rPr>
                <w:rFonts w:ascii="Arial" w:hAnsi="Arial"/>
                <w:color w:val="332E29"/>
                <w:sz w:val="16"/>
              </w:rPr>
              <w:t>“Scores are computed live, never hardcoded. Different inputs correctly produce different results.”</w:t>
            </w:r>
          </w:p>
        </w:tc>
      </w:tr>
      <w:tr>
        <w:tc>
          <w:tcPr>
            <w:tcW w:type="dxa" w:w="2250"/>
            <w:vAlign w:val="center"/>
            <w:shd w:fill="F7F3EC"/>
            <w:tcMar>
              <w:top w:w="80" w:type="dxa"/>
              <w:start w:w="120" w:type="dxa"/>
              <w:bottom w:w="80" w:type="dxa"/>
              <w:end w:w="120" w:type="dxa"/>
            </w:tcMar>
          </w:tcPr>
          <w:p>
            <w:pPr>
              <w:spacing w:after="0" w:line="269" w:lineRule="auto"/>
            </w:pPr>
            <w:r>
              <w:rPr>
                <w:rFonts w:ascii="Arial" w:hAnsi="Arial"/>
                <w:color w:val="332E29"/>
                <w:sz w:val="16"/>
              </w:rPr>
              <w:t>Audience asks for raw truth</w:t>
            </w:r>
          </w:p>
        </w:tc>
        <w:tc>
          <w:tcPr>
            <w:tcW w:type="dxa" w:w="3310"/>
            <w:vAlign w:val="center"/>
            <w:shd w:fill="F7F3EC"/>
            <w:tcMar>
              <w:top w:w="80" w:type="dxa"/>
              <w:start w:w="120" w:type="dxa"/>
              <w:bottom w:w="80" w:type="dxa"/>
              <w:end w:w="120" w:type="dxa"/>
            </w:tcMar>
          </w:tcPr>
          <w:p>
            <w:pPr>
              <w:spacing w:after="0" w:line="269" w:lineRule="auto"/>
            </w:pPr>
            <w:r>
              <w:rPr>
                <w:rFonts w:ascii="Arial" w:hAnsi="Arial"/>
                <w:color w:val="332E29"/>
                <w:sz w:val="16"/>
              </w:rPr>
              <w:t>Show aggregate scorecard only; do not expose .ground_truth.json.</w:t>
            </w:r>
          </w:p>
        </w:tc>
        <w:tc>
          <w:tcPr>
            <w:tcW w:type="dxa" w:w="3800"/>
            <w:vAlign w:val="center"/>
            <w:shd w:fill="F7F3EC"/>
            <w:tcMar>
              <w:top w:w="80" w:type="dxa"/>
              <w:start w:w="120" w:type="dxa"/>
              <w:bottom w:w="80" w:type="dxa"/>
              <w:end w:w="120" w:type="dxa"/>
            </w:tcMar>
          </w:tcPr>
          <w:p>
            <w:pPr>
              <w:spacing w:after="0" w:line="269" w:lineRule="auto"/>
            </w:pPr>
            <w:r>
              <w:rPr>
                <w:rFonts w:ascii="Arial" w:hAnsi="Arial"/>
                <w:color w:val="332E29"/>
                <w:sz w:val="16"/>
              </w:rPr>
              <w:t>“Truth rows are evaluator-only to prevent leakage; product APIs expose only aggregate evaluation.”</w:t>
            </w:r>
          </w:p>
        </w:tc>
      </w:tr>
      <w:tr>
        <w:tc>
          <w:tcPr>
            <w:tcW w:type="dxa" w:w="2250"/>
            <w:vAlign w:val="center"/>
            <w:tcMar>
              <w:top w:w="80" w:type="dxa"/>
              <w:start w:w="120" w:type="dxa"/>
              <w:bottom w:w="80" w:type="dxa"/>
              <w:end w:w="120" w:type="dxa"/>
            </w:tcMar>
          </w:tcPr>
          <w:p>
            <w:pPr>
              <w:spacing w:after="0" w:line="269" w:lineRule="auto"/>
            </w:pPr>
            <w:r>
              <w:rPr>
                <w:rFonts w:ascii="Arial" w:hAnsi="Arial"/>
                <w:color w:val="332E29"/>
                <w:sz w:val="16"/>
              </w:rPr>
              <w:t>Audience asks AI to reconcile</w:t>
            </w:r>
          </w:p>
        </w:tc>
        <w:tc>
          <w:tcPr>
            <w:tcW w:type="dxa" w:w="3310"/>
            <w:vAlign w:val="center"/>
            <w:tcMar>
              <w:top w:w="80" w:type="dxa"/>
              <w:start w:w="120" w:type="dxa"/>
              <w:bottom w:w="80" w:type="dxa"/>
              <w:end w:w="120" w:type="dxa"/>
            </w:tcMar>
          </w:tcPr>
          <w:p>
            <w:pPr>
              <w:spacing w:after="0" w:line="269" w:lineRule="auto"/>
            </w:pPr>
            <w:r>
              <w:rPr>
                <w:rFonts w:ascii="Arial" w:hAnsi="Arial"/>
                <w:color w:val="332E29"/>
                <w:sz w:val="16"/>
              </w:rPr>
              <w:t>Decline and explain policy.</w:t>
            </w:r>
          </w:p>
        </w:tc>
        <w:tc>
          <w:tcPr>
            <w:tcW w:type="dxa" w:w="3800"/>
            <w:vAlign w:val="center"/>
            <w:tcMar>
              <w:top w:w="80" w:type="dxa"/>
              <w:start w:w="120" w:type="dxa"/>
              <w:bottom w:w="80" w:type="dxa"/>
              <w:end w:w="120" w:type="dxa"/>
            </w:tcMar>
          </w:tcPr>
          <w:p>
            <w:pPr>
              <w:spacing w:after="0" w:line="269" w:lineRule="auto"/>
            </w:pPr>
            <w:r>
              <w:rPr>
                <w:rFonts w:ascii="Arial" w:hAnsi="Arial"/>
                <w:color w:val="332E29"/>
                <w:sz w:val="16"/>
              </w:rPr>
              <w:t>“The model may explain and recommend; only deterministic rules and human review govern status.”</w:t>
            </w:r>
          </w:p>
        </w:tc>
      </w:tr>
    </w:tbl>
    <w:p>
      <w:pPr>
        <w:spacing w:after="40"/>
      </w:pPr>
    </w:p>
    <w:p>
      <w:r>
        <w:br w:type="page"/>
      </w:r>
    </w:p>
    <w:p>
      <w:pPr>
        <w:pStyle w:val="Heading2"/>
      </w:pPr>
      <w:r>
        <w:t>Thirty-second closing</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0E9"/>
            <w:vAlign w:val="center"/>
          </w:tcPr>
          <w:p>
            <w:pPr>
              <w:spacing w:after="0"/>
            </w:pPr>
            <w:r>
              <w:rPr>
                <w:b/>
                <w:color w:val="356B50"/>
              </w:rPr>
              <w:t xml:space="preserve">CLOSING SCRIPT  </w:t>
            </w:r>
            <w:r>
              <w:rPr>
                <w:color w:val="332E29"/>
              </w:rPr>
              <w:t>“Settlewise does not use AI to guess where money went. It deterministically proves what can be proven, sends uncertainty to review, preserves evidence and audit history, and uses Gemini only to make that evidence easier for finance teams to investigate.”</w:t>
            </w:r>
          </w:p>
        </w:tc>
      </w:tr>
    </w:tbl>
    <w:p>
      <w:pPr>
        <w:spacing w:after="40"/>
      </w:pPr>
    </w:p>
    <w:p>
      <w:pPr>
        <w:pStyle w:val="Heading2"/>
      </w:pPr>
      <w:r>
        <w:t>Do not overclaim</w:t>
      </w:r>
    </w:p>
    <w:p>
      <w:pPr>
        <w:pStyle w:val="ListBullet"/>
        <w:spacing w:after="80" w:line="300" w:lineRule="auto"/>
        <w:ind w:left="540" w:hanging="271"/>
      </w:pPr>
      <w:r>
        <w:t>This V1 is a settlement-reconciliation demonstrator, not a payment gateway, ERP, general ledger, GST filing product, or autonomous accounting system.</w:t>
      </w:r>
    </w:p>
    <w:p>
      <w:pPr>
        <w:pStyle w:val="ListBullet"/>
        <w:spacing w:after="80" w:line="300" w:lineRule="auto"/>
        <w:ind w:left="540" w:hanging="271"/>
      </w:pPr>
      <w:r>
        <w:t>The generated demo is INR and one merchant tenant. Cross-currency conversion, live webhooks, chargebacks, and split-credit inference are outside V1.</w:t>
      </w:r>
    </w:p>
    <w:p>
      <w:pPr>
        <w:pStyle w:val="ListBullet"/>
        <w:spacing w:after="80" w:line="300" w:lineRule="auto"/>
        <w:ind w:left="540" w:hanging="271"/>
      </w:pPr>
      <w:r>
        <w:t>The frontend emphasizes the generated run; several operational capabilities are demonstrated through the API/OpenAPI surface.</w:t>
      </w:r>
    </w:p>
    <w:p>
      <w:pPr>
        <w:pStyle w:val="ListBullet"/>
        <w:spacing w:after="80" w:line="300" w:lineRule="auto"/>
        <w:ind w:left="540" w:hanging="271"/>
      </w:pPr>
      <w:r>
        <w:t>Human review metadata never rewrites historical calculations or deterministic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D625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DDD4C7"/>
      </w:pBdr>
    </w:pPr>
    <w:r>
      <w:rPr>
        <w:rFonts w:ascii="Arial" w:hAnsi="Arial"/>
        <w:b/>
        <w:color w:val="6D6259"/>
        <w:sz w:val="17"/>
      </w:rPr>
      <w:t>SETTLEWISE   /   DEMO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332E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332E2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D95A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2E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Settlewise Demo Runbook</dc:title>
  <dc:subject>Presenter guide and complete feature verification checklist</dc:subject>
  <dc:creator>Settlewise</dc:creator>
  <cp:keywords>settlement reconciliation, Razorpay, demo, runbook, verification</cp:keywords>
  <dc:description>generated by python-docx</dc:description>
  <cp:lastModifiedBy/>
  <cp:revision>1</cp:revision>
  <dcterms:created xsi:type="dcterms:W3CDTF">2013-12-23T23:15:00Z</dcterms:created>
  <dcterms:modified xsi:type="dcterms:W3CDTF">2013-12-23T23:15:00Z</dcterms:modified>
  <cp:category/>
</cp:coreProperties>
</file>