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UPI Transaction Intelligence &amp; Fraud Analytics — 2024</w:t>
      </w:r>
    </w:p>
    <w:p>
      <w:pPr>
        <w:jc w:val="center"/>
      </w:pPr>
      <w:r>
        <w:rPr>
          <w:sz w:val="24"/>
        </w:rPr>
        <w:t>IBM SkillsBuild Data Analytics with AI Academic Internship Project Report</w:t>
      </w:r>
    </w:p>
    <w:p/>
    <w:p>
      <w:pPr>
        <w:jc w:val="center"/>
      </w:pPr>
      <w:r>
        <w:rPr>
          <w:b/>
        </w:rPr>
        <w:t>Submitted by</w:t>
        <w:br/>
      </w:r>
      <w:r>
        <w:t>Sairam Ranveerkar</w:t>
        <w:br/>
      </w:r>
      <w:r>
        <w:t>B.Tech — Computer Science &amp; Engineering</w:t>
        <w:br/>
      </w:r>
      <w:r>
        <w:t>Hyderabad, Telangana, India</w:t>
      </w:r>
    </w:p>
    <w:p>
      <w:r>
        <w:br w:type="page"/>
      </w:r>
    </w:p>
    <w:p>
      <w:pPr>
        <w:pStyle w:val="Heading1"/>
      </w:pPr>
      <w:r>
        <w:t>1. Executive Summary</w:t>
      </w:r>
    </w:p>
    <w:p>
      <w:r>
        <w:t>This project presents an end-to-end analytics solution for a 2024 UPI transaction dataset containing 89,019 transaction records. The analysis evaluates transaction volume, monetary value, payment success, customer and merchant behavior, banking and regional patterns, device and network usage, fraud-flagged transactions, and potential transaction-volume anomalies.</w:t>
      </w:r>
    </w:p>
    <w:p>
      <w:r>
        <w:t>The dataset contains transactions from 2024-01-01 to 2024-12-30. The total transaction value is ₹116,495,487, with an average transaction amount of ₹1,308.66 and a median of ₹628. 84,640 transactions were successful and 4,379 were failed, giving a success rate of 95.08%.</w:t>
      </w:r>
    </w:p>
    <w:p>
      <w:r>
        <w:t>The supplied fraud_flag field marks 165 transactions (0.185% of all transactions) with a combined flagged amount of ₹276,959. These are reported as fraud-flagged transactions rather than independently confirmed fraud. Daily transaction-volume anomalies are screened using a 7-day rolling baseline, while an IQR-based amount anomaly screen is included as an additional exploratory method.</w:t>
      </w:r>
    </w:p>
    <w:p>
      <w:pPr>
        <w:pStyle w:val="Heading1"/>
      </w:pPr>
      <w:r>
        <w:t>2. Problem Statement</w:t>
      </w:r>
    </w:p>
    <w:p>
      <w:r>
        <w:t>Digital payment platforms generate high-volume transaction data that can be used to understand customer behavior, monitor operational performance, identify regional and banking patterns, and prioritize unusual activity for review. The problem addressed by this project is how to convert a large transaction dataset into reliable, interpretable business insights using data analytics and AI-assisted interaction.</w:t>
      </w:r>
    </w:p>
    <w:p>
      <w:pPr>
        <w:pStyle w:val="Heading1"/>
      </w:pPr>
      <w:r>
        <w:t>3. Objectives</w:t>
      </w:r>
    </w:p>
    <w:p>
      <w:pPr>
        <w:pStyle w:val="ListBullet"/>
      </w:pPr>
      <w:r>
        <w:t>Measure overall UPI transaction volume and monetary value.</w:t>
      </w:r>
    </w:p>
    <w:p>
      <w:pPr>
        <w:pStyle w:val="ListBullet"/>
      </w:pPr>
      <w:r>
        <w:t>Evaluate successful and failed payment activity.</w:t>
      </w:r>
    </w:p>
    <w:p>
      <w:pPr>
        <w:pStyle w:val="ListBullet"/>
      </w:pPr>
      <w:r>
        <w:t>Identify monthly, daily, hourly and weekly transaction patterns.</w:t>
      </w:r>
    </w:p>
    <w:p>
      <w:pPr>
        <w:pStyle w:val="ListBullet"/>
      </w:pPr>
      <w:r>
        <w:t>Compare transaction types and merchant categories.</w:t>
      </w:r>
    </w:p>
    <w:p>
      <w:pPr>
        <w:pStyle w:val="ListBullet"/>
      </w:pPr>
      <w:r>
        <w:t>Analyze state-level and bank-level transaction activity.</w:t>
      </w:r>
    </w:p>
    <w:p>
      <w:pPr>
        <w:pStyle w:val="ListBullet"/>
      </w:pPr>
      <w:r>
        <w:t>Understand customer age-group, device and network behavior.</w:t>
      </w:r>
    </w:p>
    <w:p>
      <w:pPr>
        <w:pStyle w:val="ListBullet"/>
      </w:pPr>
      <w:r>
        <w:t>Analyze patterns in transactions flagged by the supplied fraud_flag field.</w:t>
      </w:r>
    </w:p>
    <w:p>
      <w:pPr>
        <w:pStyle w:val="ListBullet"/>
      </w:pPr>
      <w:r>
        <w:t>Screen daily transaction volume and transaction amounts for unusual patterns.</w:t>
      </w:r>
    </w:p>
    <w:p>
      <w:pPr>
        <w:pStyle w:val="ListBullet"/>
      </w:pPr>
      <w:r>
        <w:t>Create an interactive dashboard for business-oriented exploration.</w:t>
      </w:r>
    </w:p>
    <w:p>
      <w:pPr>
        <w:pStyle w:val="ListBullet"/>
      </w:pPr>
      <w:r>
        <w:t>Use IBM Bob as a natural-language analytics assistant over validated project outputs.</w:t>
      </w:r>
    </w:p>
    <w:p>
      <w:pPr>
        <w:pStyle w:val="Heading1"/>
      </w:pPr>
      <w:r>
        <w:t>4. Dataset Description</w:t>
      </w:r>
    </w:p>
    <w:p>
      <w:r>
        <w:t>The cleaned project dataset contains 89,019 records and 22 columns. The original transaction attributes cover transaction identifiers, timestamps, transaction type, merchant category, amount, transaction status, sender/receiver age groups, sender state, sender/receiver banks, device type, network type, fraud flag, hour/day/weekend information. Additional derived fields support month, quarter and year-month analysis.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Attribute</w:t>
            </w:r>
          </w:p>
        </w:tc>
        <w:tc>
          <w:tcPr>
            <w:tcW w:type="dxa" w:w="4968"/>
          </w:tcPr>
          <w:p>
            <w:r>
              <w:rPr>
                <w:b/>
              </w:rPr>
              <w:t>Value</w:t>
            </w:r>
          </w:p>
        </w:tc>
      </w:tr>
      <w:tr>
        <w:tc>
          <w:tcPr>
            <w:tcW w:type="dxa" w:w="4968"/>
          </w:tcPr>
          <w:p>
            <w:r>
              <w:t>Records</w:t>
            </w:r>
          </w:p>
        </w:tc>
        <w:tc>
          <w:tcPr>
            <w:tcW w:type="dxa" w:w="4968"/>
          </w:tcPr>
          <w:p>
            <w:r>
              <w:t>89,019</w:t>
            </w:r>
          </w:p>
        </w:tc>
      </w:tr>
      <w:tr>
        <w:tc>
          <w:tcPr>
            <w:tcW w:type="dxa" w:w="4968"/>
          </w:tcPr>
          <w:p>
            <w:r>
              <w:t>Columns</w:t>
            </w:r>
          </w:p>
        </w:tc>
        <w:tc>
          <w:tcPr>
            <w:tcW w:type="dxa" w:w="4968"/>
          </w:tcPr>
          <w:p>
            <w:r>
              <w:t>22</w:t>
            </w:r>
          </w:p>
        </w:tc>
      </w:tr>
      <w:tr>
        <w:tc>
          <w:tcPr>
            <w:tcW w:type="dxa" w:w="4968"/>
          </w:tcPr>
          <w:p>
            <w:r>
              <w:t>Date range</w:t>
            </w:r>
          </w:p>
        </w:tc>
        <w:tc>
          <w:tcPr>
            <w:tcW w:type="dxa" w:w="4968"/>
          </w:tcPr>
          <w:p>
            <w:r>
              <w:t>2024-01-01 to 2024-12-30</w:t>
            </w:r>
          </w:p>
        </w:tc>
      </w:tr>
      <w:tr>
        <w:tc>
          <w:tcPr>
            <w:tcW w:type="dxa" w:w="4968"/>
          </w:tcPr>
          <w:p>
            <w:r>
              <w:t>Missing values</w:t>
            </w:r>
          </w:p>
        </w:tc>
        <w:tc>
          <w:tcPr>
            <w:tcW w:type="dxa" w:w="4968"/>
          </w:tcPr>
          <w:p>
            <w:r>
              <w:t>0</w:t>
            </w:r>
          </w:p>
        </w:tc>
      </w:tr>
      <w:tr>
        <w:tc>
          <w:tcPr>
            <w:tcW w:type="dxa" w:w="4968"/>
          </w:tcPr>
          <w:p>
            <w:r>
              <w:t>Duplicate transaction IDs</w:t>
            </w:r>
          </w:p>
        </w:tc>
        <w:tc>
          <w:tcPr>
            <w:tcW w:type="dxa" w:w="4968"/>
          </w:tcPr>
          <w:p>
            <w:r>
              <w:t>0</w:t>
            </w:r>
          </w:p>
        </w:tc>
      </w:tr>
      <w:tr>
        <w:tc>
          <w:tcPr>
            <w:tcW w:type="dxa" w:w="4968"/>
          </w:tcPr>
          <w:p>
            <w:r>
              <w:t>Fraud-flagged records</w:t>
            </w:r>
          </w:p>
        </w:tc>
        <w:tc>
          <w:tcPr>
            <w:tcW w:type="dxa" w:w="4968"/>
          </w:tcPr>
          <w:p>
            <w:r>
              <w:t>165</w:t>
            </w:r>
          </w:p>
        </w:tc>
      </w:tr>
    </w:tbl>
    <w:p>
      <w:pPr>
        <w:pStyle w:val="Heading1"/>
      </w:pPr>
      <w:r>
        <w:t>5. Data Preparation and Quality Checks</w:t>
      </w:r>
    </w:p>
    <w:p>
      <w:pPr>
        <w:pStyle w:val="ListBullet"/>
      </w:pPr>
      <w:r>
        <w:t>Loaded the CSV dataset using Pandas.</w:t>
      </w:r>
    </w:p>
    <w:p>
      <w:pPr>
        <w:pStyle w:val="ListBullet"/>
      </w:pPr>
      <w:r>
        <w:t>Parsed the timestamp field into a DateTime representation.</w:t>
      </w:r>
    </w:p>
    <w:p>
      <w:pPr>
        <w:pStyle w:val="ListBullet"/>
      </w:pPr>
      <w:r>
        <w:t>Verified row and column counts.</w:t>
      </w:r>
    </w:p>
    <w:p>
      <w:pPr>
        <w:pStyle w:val="ListBullet"/>
      </w:pPr>
      <w:r>
        <w:t>Checked missing values across all fields.</w:t>
      </w:r>
    </w:p>
    <w:p>
      <w:pPr>
        <w:pStyle w:val="ListBullet"/>
      </w:pPr>
      <w:r>
        <w:t>Checked duplicate transaction IDs.</w:t>
      </w:r>
    </w:p>
    <w:p>
      <w:pPr>
        <w:pStyle w:val="ListBullet"/>
      </w:pPr>
      <w:r>
        <w:t>Created/validated derived time dimensions including date, month, quarter and year-month.</w:t>
      </w:r>
    </w:p>
    <w:p>
      <w:pPr>
        <w:pStyle w:val="ListBullet"/>
      </w:pPr>
      <w:r>
        <w:t>Kept the original transaction dataset unchanged during analysis.</w:t>
      </w:r>
    </w:p>
    <w:p>
      <w:pPr>
        <w:pStyle w:val="ListBullet"/>
      </w:pPr>
      <w:r>
        <w:t>Applied consistent interpretation rules for fraud_flag and anomaly results.</w:t>
      </w:r>
    </w:p>
    <w:p>
      <w:pPr>
        <w:pStyle w:val="Heading1"/>
      </w:pPr>
      <w:r>
        <w:t>6. Technology Stack</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Technology</w:t>
            </w:r>
          </w:p>
        </w:tc>
        <w:tc>
          <w:tcPr>
            <w:tcW w:type="dxa" w:w="4968"/>
          </w:tcPr>
          <w:p>
            <w:r>
              <w:rPr>
                <w:b/>
              </w:rPr>
              <w:t>Purpose</w:t>
            </w:r>
          </w:p>
        </w:tc>
      </w:tr>
      <w:tr>
        <w:tc>
          <w:tcPr>
            <w:tcW w:type="dxa" w:w="4968"/>
          </w:tcPr>
          <w:p>
            <w:r>
              <w:t>Python</w:t>
            </w:r>
          </w:p>
        </w:tc>
        <w:tc>
          <w:tcPr>
            <w:tcW w:type="dxa" w:w="4968"/>
          </w:tcPr>
          <w:p>
            <w:r>
              <w:t>Data preparation, analysis and automation</w:t>
            </w:r>
          </w:p>
        </w:tc>
      </w:tr>
      <w:tr>
        <w:tc>
          <w:tcPr>
            <w:tcW w:type="dxa" w:w="4968"/>
          </w:tcPr>
          <w:p>
            <w:r>
              <w:t>Pandas</w:t>
            </w:r>
          </w:p>
        </w:tc>
        <w:tc>
          <w:tcPr>
            <w:tcW w:type="dxa" w:w="4968"/>
          </w:tcPr>
          <w:p>
            <w:r>
              <w:t>Data manipulation and aggregation</w:t>
            </w:r>
          </w:p>
        </w:tc>
      </w:tr>
      <w:tr>
        <w:tc>
          <w:tcPr>
            <w:tcW w:type="dxa" w:w="4968"/>
          </w:tcPr>
          <w:p>
            <w:r>
              <w:t>NumPy</w:t>
            </w:r>
          </w:p>
        </w:tc>
        <w:tc>
          <w:tcPr>
            <w:tcW w:type="dxa" w:w="4968"/>
          </w:tcPr>
          <w:p>
            <w:r>
              <w:t>Numerical calculations</w:t>
            </w:r>
          </w:p>
        </w:tc>
      </w:tr>
      <w:tr>
        <w:tc>
          <w:tcPr>
            <w:tcW w:type="dxa" w:w="4968"/>
          </w:tcPr>
          <w:p>
            <w:r>
              <w:t>Matplotlib</w:t>
            </w:r>
          </w:p>
        </w:tc>
        <w:tc>
          <w:tcPr>
            <w:tcW w:type="dxa" w:w="4968"/>
          </w:tcPr>
          <w:p>
            <w:r>
              <w:t>Analytical visualizations</w:t>
            </w:r>
          </w:p>
        </w:tc>
      </w:tr>
      <w:tr>
        <w:tc>
          <w:tcPr>
            <w:tcW w:type="dxa" w:w="4968"/>
          </w:tcPr>
          <w:p>
            <w:r>
              <w:t>Seaborn</w:t>
            </w:r>
          </w:p>
        </w:tc>
        <w:tc>
          <w:tcPr>
            <w:tcW w:type="dxa" w:w="4968"/>
          </w:tcPr>
          <w:p>
            <w:r>
              <w:t>Statistical and categorical visualizations</w:t>
            </w:r>
          </w:p>
        </w:tc>
      </w:tr>
      <w:tr>
        <w:tc>
          <w:tcPr>
            <w:tcW w:type="dxa" w:w="4968"/>
          </w:tcPr>
          <w:p>
            <w:r>
              <w:t>Jupyter Notebook</w:t>
            </w:r>
          </w:p>
        </w:tc>
        <w:tc>
          <w:tcPr>
            <w:tcW w:type="dxa" w:w="4968"/>
          </w:tcPr>
          <w:p>
            <w:r>
              <w:t>Reproducible project analysis</w:t>
            </w:r>
          </w:p>
        </w:tc>
      </w:tr>
      <w:tr>
        <w:tc>
          <w:tcPr>
            <w:tcW w:type="dxa" w:w="4968"/>
          </w:tcPr>
          <w:p>
            <w:r>
              <w:t>SQL / SQLite</w:t>
            </w:r>
          </w:p>
        </w:tc>
        <w:tc>
          <w:tcPr>
            <w:tcW w:type="dxa" w:w="4968"/>
          </w:tcPr>
          <w:p>
            <w:r>
              <w:t>Relational business queries and validation</w:t>
            </w:r>
          </w:p>
        </w:tc>
      </w:tr>
      <w:tr>
        <w:tc>
          <w:tcPr>
            <w:tcW w:type="dxa" w:w="4968"/>
          </w:tcPr>
          <w:p>
            <w:r>
              <w:t>HTML/CSS/JavaScript</w:t>
            </w:r>
          </w:p>
        </w:tc>
        <w:tc>
          <w:tcPr>
            <w:tcW w:type="dxa" w:w="4968"/>
          </w:tcPr>
          <w:p>
            <w:r>
              <w:t>Interactive dashboard</w:t>
            </w:r>
          </w:p>
        </w:tc>
      </w:tr>
      <w:tr>
        <w:tc>
          <w:tcPr>
            <w:tcW w:type="dxa" w:w="4968"/>
          </w:tcPr>
          <w:p>
            <w:r>
              <w:t>IBM Bob</w:t>
            </w:r>
          </w:p>
        </w:tc>
        <w:tc>
          <w:tcPr>
            <w:tcW w:type="dxa" w:w="4968"/>
          </w:tcPr>
          <w:p>
            <w:r>
              <w:t>AI-assisted natural-language analytics</w:t>
            </w:r>
          </w:p>
        </w:tc>
      </w:tr>
    </w:tbl>
    <w:p>
      <w:pPr>
        <w:pStyle w:val="Heading1"/>
      </w:pPr>
      <w:r>
        <w:t>7. KPI Analysis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KPI</w:t>
            </w:r>
          </w:p>
        </w:tc>
        <w:tc>
          <w:tcPr>
            <w:tcW w:type="dxa" w:w="4968"/>
          </w:tcPr>
          <w:p>
            <w:r>
              <w:rPr>
                <w:b/>
              </w:rPr>
              <w:t>Result</w:t>
            </w:r>
          </w:p>
        </w:tc>
      </w:tr>
      <w:tr>
        <w:tc>
          <w:tcPr>
            <w:tcW w:type="dxa" w:w="4968"/>
          </w:tcPr>
          <w:p>
            <w:r>
              <w:t>Total transactions</w:t>
            </w:r>
          </w:p>
        </w:tc>
        <w:tc>
          <w:tcPr>
            <w:tcW w:type="dxa" w:w="4968"/>
          </w:tcPr>
          <w:p>
            <w:r>
              <w:t>89,019</w:t>
            </w:r>
          </w:p>
        </w:tc>
      </w:tr>
      <w:tr>
        <w:tc>
          <w:tcPr>
            <w:tcW w:type="dxa" w:w="4968"/>
          </w:tcPr>
          <w:p>
            <w:r>
              <w:t>Total transaction value</w:t>
            </w:r>
          </w:p>
        </w:tc>
        <w:tc>
          <w:tcPr>
            <w:tcW w:type="dxa" w:w="4968"/>
          </w:tcPr>
          <w:p>
            <w:r>
              <w:t>₹116,495,487</w:t>
            </w:r>
          </w:p>
        </w:tc>
      </w:tr>
      <w:tr>
        <w:tc>
          <w:tcPr>
            <w:tcW w:type="dxa" w:w="4968"/>
          </w:tcPr>
          <w:p>
            <w:r>
              <w:t>Average transaction amount</w:t>
            </w:r>
          </w:p>
        </w:tc>
        <w:tc>
          <w:tcPr>
            <w:tcW w:type="dxa" w:w="4968"/>
          </w:tcPr>
          <w:p>
            <w:r>
              <w:t>₹1,308.66</w:t>
            </w:r>
          </w:p>
        </w:tc>
      </w:tr>
      <w:tr>
        <w:tc>
          <w:tcPr>
            <w:tcW w:type="dxa" w:w="4968"/>
          </w:tcPr>
          <w:p>
            <w:r>
              <w:t>Median transaction amount</w:t>
            </w:r>
          </w:p>
        </w:tc>
        <w:tc>
          <w:tcPr>
            <w:tcW w:type="dxa" w:w="4968"/>
          </w:tcPr>
          <w:p>
            <w:r>
              <w:t>₹628</w:t>
            </w:r>
          </w:p>
        </w:tc>
      </w:tr>
      <w:tr>
        <w:tc>
          <w:tcPr>
            <w:tcW w:type="dxa" w:w="4968"/>
          </w:tcPr>
          <w:p>
            <w:r>
              <w:t>Minimum transaction amount</w:t>
            </w:r>
          </w:p>
        </w:tc>
        <w:tc>
          <w:tcPr>
            <w:tcW w:type="dxa" w:w="4968"/>
          </w:tcPr>
          <w:p>
            <w:r>
              <w:t>₹10</w:t>
            </w:r>
          </w:p>
        </w:tc>
      </w:tr>
      <w:tr>
        <w:tc>
          <w:tcPr>
            <w:tcW w:type="dxa" w:w="4968"/>
          </w:tcPr>
          <w:p>
            <w:r>
              <w:t>Maximum transaction amount</w:t>
            </w:r>
          </w:p>
        </w:tc>
        <w:tc>
          <w:tcPr>
            <w:tcW w:type="dxa" w:w="4968"/>
          </w:tcPr>
          <w:p>
            <w:r>
              <w:t>₹34,304</w:t>
            </w:r>
          </w:p>
        </w:tc>
      </w:tr>
      <w:tr>
        <w:tc>
          <w:tcPr>
            <w:tcW w:type="dxa" w:w="4968"/>
          </w:tcPr>
          <w:p>
            <w:r>
              <w:t>Successful transactions</w:t>
            </w:r>
          </w:p>
        </w:tc>
        <w:tc>
          <w:tcPr>
            <w:tcW w:type="dxa" w:w="4968"/>
          </w:tcPr>
          <w:p>
            <w:r>
              <w:t>84,640</w:t>
            </w:r>
          </w:p>
        </w:tc>
      </w:tr>
      <w:tr>
        <w:tc>
          <w:tcPr>
            <w:tcW w:type="dxa" w:w="4968"/>
          </w:tcPr>
          <w:p>
            <w:r>
              <w:t>Failed transactions</w:t>
            </w:r>
          </w:p>
        </w:tc>
        <w:tc>
          <w:tcPr>
            <w:tcW w:type="dxa" w:w="4968"/>
          </w:tcPr>
          <w:p>
            <w:r>
              <w:t>4,379</w:t>
            </w:r>
          </w:p>
        </w:tc>
      </w:tr>
      <w:tr>
        <w:tc>
          <w:tcPr>
            <w:tcW w:type="dxa" w:w="4968"/>
          </w:tcPr>
          <w:p>
            <w:r>
              <w:t>Success rate</w:t>
            </w:r>
          </w:p>
        </w:tc>
        <w:tc>
          <w:tcPr>
            <w:tcW w:type="dxa" w:w="4968"/>
          </w:tcPr>
          <w:p>
            <w:r>
              <w:t>95.08%</w:t>
            </w:r>
          </w:p>
        </w:tc>
      </w:tr>
      <w:tr>
        <w:tc>
          <w:tcPr>
            <w:tcW w:type="dxa" w:w="4968"/>
          </w:tcPr>
          <w:p>
            <w:r>
              <w:t>Failure rate</w:t>
            </w:r>
          </w:p>
        </w:tc>
        <w:tc>
          <w:tcPr>
            <w:tcW w:type="dxa" w:w="4968"/>
          </w:tcPr>
          <w:p>
            <w:r>
              <w:t>4.92%</w:t>
            </w:r>
          </w:p>
        </w:tc>
      </w:tr>
      <w:tr>
        <w:tc>
          <w:tcPr>
            <w:tcW w:type="dxa" w:w="4968"/>
          </w:tcPr>
          <w:p>
            <w:r>
              <w:t>Fraud-flagged transactions</w:t>
            </w:r>
          </w:p>
        </w:tc>
        <w:tc>
          <w:tcPr>
            <w:tcW w:type="dxa" w:w="4968"/>
          </w:tcPr>
          <w:p>
            <w:r>
              <w:t>165</w:t>
            </w:r>
          </w:p>
        </w:tc>
      </w:tr>
      <w:tr>
        <w:tc>
          <w:tcPr>
            <w:tcW w:type="dxa" w:w="4968"/>
          </w:tcPr>
          <w:p>
            <w:r>
              <w:t>Fraud-flag rate</w:t>
            </w:r>
          </w:p>
        </w:tc>
        <w:tc>
          <w:tcPr>
            <w:tcW w:type="dxa" w:w="4968"/>
          </w:tcPr>
          <w:p>
            <w:r>
              <w:t>0.185%</w:t>
            </w:r>
          </w:p>
        </w:tc>
      </w:tr>
      <w:tr>
        <w:tc>
          <w:tcPr>
            <w:tcW w:type="dxa" w:w="4968"/>
          </w:tcPr>
          <w:p>
            <w:r>
              <w:t>Fraud-flagged amount</w:t>
            </w:r>
          </w:p>
        </w:tc>
        <w:tc>
          <w:tcPr>
            <w:tcW w:type="dxa" w:w="4968"/>
          </w:tcPr>
          <w:p>
            <w:r>
              <w:t>₹276,959</w:t>
            </w:r>
          </w:p>
        </w:tc>
      </w:tr>
    </w:tbl>
    <w:p>
      <w:pPr>
        <w:pStyle w:val="Heading1"/>
      </w:pPr>
      <w:r>
        <w:t>8. Transaction Performance Analysis</w:t>
      </w:r>
    </w:p>
    <w:p>
      <w:r>
        <w:t>The dataset records 84,640 successful and 4,379 failed transactions. The success rate is 95.08% and the failure rate is 4.92%, where the denominator is all 89,019 transactions.</w:t>
      </w:r>
    </w:p>
    <w:p>
      <w:r>
        <w:t>The highest monthly transaction volume occurred in 2024-01 with 7,674 transactions. The highest monthly transaction value occurred in 2024-08 at ₹9,963,909.</w:t>
      </w:r>
    </w:p>
    <w:p>
      <w:pPr>
        <w:pStyle w:val="Heading1"/>
      </w:pPr>
      <w:r>
        <w:t>9. Transaction Type and Merchant Analysis</w:t>
      </w:r>
    </w:p>
    <w:p>
      <w:r>
        <w:t>The transaction type with the highest average transaction amount is P2P at ₹1,314.12. The merchant category with the highest transaction volume is Grocery with 17,675 transactions.</w:t>
      </w:r>
    </w:p>
    <w:p>
      <w:pPr>
        <w:pStyle w:val="Heading1"/>
      </w:pPr>
      <w:r>
        <w:t>10. Regional and Banking Analysis</w:t>
      </w:r>
    </w:p>
    <w:p>
      <w:r>
        <w:t>Maharashtra has the highest sender-state transaction value at ₹17,019,090. SBI has the highest sender-bank transaction value at ₹29,048,869.</w:t>
      </w:r>
    </w:p>
    <w:p>
      <w:r>
        <w:t>State and bank comparisons are descriptive. Higher transaction volume or value does not by itself establish better or worse performance because differences may reflect customer base, market size, transaction mix, or other factors.</w:t>
      </w:r>
    </w:p>
    <w:p>
      <w:pPr>
        <w:pStyle w:val="Heading1"/>
      </w:pPr>
      <w:r>
        <w:t>11. Customer and Usage Behavior</w:t>
      </w:r>
    </w:p>
    <w:p>
      <w:r>
        <w:t>The analysis compares sender and receiver age groups, device types, network types, day-of-week activity, weekend versus weekday activity, and hour-of-day transaction patterns. These dimensions help describe how UPI activity is distributed across different usage contexts.</w:t>
      </w:r>
    </w:p>
    <w:p>
      <w:pPr>
        <w:pStyle w:val="Heading1"/>
      </w:pPr>
      <w:r>
        <w:t>12. Fraud-Flag Analytics</w:t>
      </w:r>
    </w:p>
    <w:p>
      <w:r>
        <w:t>The supplied dataset marks 165 transactions as fraud_flag = 1, representing 0.185% of all 89,019 transactions. The total amount associated with flagged transactions is ₹276,959.</w:t>
      </w:r>
    </w:p>
    <w:p>
      <w:r>
        <w:t>The device category with the highest fraud-flag rate is Web at 0.222%, while the network category with the highest fraud-flag rate is WiFi at 0.258%.</w:t>
      </w:r>
    </w:p>
    <w:p>
      <w:r>
        <w:t>The hour with the largest number of fraud flags is 12:00, with 17 flagged transactions. Rates should be interpreted together with the underlying transaction volume; small groups can produce unstable rates.</w:t>
      </w:r>
    </w:p>
    <w:p>
      <w:pPr>
        <w:pStyle w:val="Heading1"/>
      </w:pPr>
      <w:r>
        <w:t>13. Anomaly Detection</w:t>
      </w:r>
    </w:p>
    <w:p>
      <w:r>
        <w:t>Daily transaction volume was compared with a 7-day rolling mean and standard deviation. A potential volume anomaly was defined as an absolute rolling z-score of at least 2. This screening identified 3 potential volume-anomaly days. These are operational screening results and should not be interpreted as fraud.</w:t>
      </w:r>
    </w:p>
    <w:p>
      <w:r>
        <w:t>An additional IQR-based screen is provided in the notebook to identify unusually large or small transaction amounts. Both methods are exploratory and would require business validation before being used for production alerts.</w:t>
      </w:r>
    </w:p>
    <w:p>
      <w:pPr>
        <w:pStyle w:val="Heading1"/>
      </w:pPr>
      <w:r>
        <w:t>14. Dashboard and AI Assistant</w:t>
      </w:r>
    </w:p>
    <w:p>
      <w:r>
        <w:t>The project includes an interactive dashboard with executive KPIs, monthly trends, transaction and merchant analysis, customer and usage behavior, banking and regional analysis, fraud-flag analysis, and anomaly views.</w:t>
      </w:r>
    </w:p>
    <w:p>
      <w:r>
        <w:t>IBM Bob is configured as a UPI Transaction Analytics Assistant. It uses validated project outputs and is instructed not to invent numbers, to report denominators for percentages, to distinguish fraud flags from confirmed fraud, and to distinguish anomalies from fraud conclusions.</w:t>
      </w:r>
    </w:p>
    <w:p>
      <w:pPr>
        <w:pStyle w:val="Heading1"/>
      </w:pPr>
      <w:r>
        <w:t>15. Business Insights</w:t>
      </w:r>
    </w:p>
    <w:p>
      <w:pPr>
        <w:pStyle w:val="ListBullet"/>
      </w:pPr>
      <w:r>
        <w:t>The dataset contains 89,019 UPI transactions with a total value of ₹116,495,487.</w:t>
      </w:r>
    </w:p>
    <w:p>
      <w:pPr>
        <w:pStyle w:val="ListBullet"/>
      </w:pPr>
      <w:r>
        <w:t>The average transaction is ₹1,308.66, while the median is ₹628, indicating a right-skewed amount distribution.</w:t>
      </w:r>
    </w:p>
    <w:p>
      <w:pPr>
        <w:pStyle w:val="ListBullet"/>
      </w:pPr>
      <w:r>
        <w:t>The overall payment success rate is 95.08%, with 4,379 failed transactions.</w:t>
      </w:r>
    </w:p>
    <w:p>
      <w:pPr>
        <w:pStyle w:val="ListBullet"/>
      </w:pPr>
      <w:r>
        <w:t>2024-01 has the highest monthly transaction volume at 7,674.</w:t>
      </w:r>
    </w:p>
    <w:p>
      <w:pPr>
        <w:pStyle w:val="ListBullet"/>
      </w:pPr>
      <w:r>
        <w:t>2024-08 has the highest monthly transaction value at ₹9,963,909.</w:t>
      </w:r>
    </w:p>
    <w:p>
      <w:pPr>
        <w:pStyle w:val="ListBullet"/>
      </w:pPr>
      <w:r>
        <w:t>Maharashtra has the highest sender-state transaction value at ₹17,019,090.</w:t>
      </w:r>
    </w:p>
    <w:p>
      <w:pPr>
        <w:pStyle w:val="ListBullet"/>
      </w:pPr>
      <w:r>
        <w:t>Grocery is the largest merchant category by transaction count with 17,675 transactions.</w:t>
      </w:r>
    </w:p>
    <w:p>
      <w:pPr>
        <w:pStyle w:val="ListBullet"/>
      </w:pPr>
      <w:r>
        <w:t>SBI has the highest sender-bank transaction value at ₹29,048,869.</w:t>
      </w:r>
    </w:p>
    <w:p>
      <w:pPr>
        <w:pStyle w:val="ListBullet"/>
      </w:pPr>
      <w:r>
        <w:t>The dataset contains 165 fraud-flagged transactions, representing 0.185% of all transactions.</w:t>
      </w:r>
    </w:p>
    <w:p>
      <w:pPr>
        <w:pStyle w:val="ListBullet"/>
      </w:pPr>
      <w:r>
        <w:t>Daily volume anomaly screening identified 3 potential high/low-volume days under the defined rolling z-score rule.</w:t>
      </w:r>
    </w:p>
    <w:p>
      <w:pPr>
        <w:pStyle w:val="Heading1"/>
      </w:pPr>
      <w:r>
        <w:t>16. Business Recommendations</w:t>
      </w:r>
    </w:p>
    <w:p>
      <w:pPr>
        <w:pStyle w:val="ListBullet"/>
      </w:pPr>
      <w:r>
        <w:t>Monitor failure rates by month, transaction type, bank and network to identify operational areas requiring investigation.</w:t>
      </w:r>
    </w:p>
    <w:p>
      <w:pPr>
        <w:pStyle w:val="ListBullet"/>
      </w:pPr>
      <w:r>
        <w:t>Use transaction volume and rate together when prioritizing fraud-flag monitoring to avoid overemphasizing low-volume groups.</w:t>
      </w:r>
    </w:p>
    <w:p>
      <w:pPr>
        <w:pStyle w:val="ListBullet"/>
      </w:pPr>
      <w:r>
        <w:t>Use anomaly screening as an early-warning mechanism for unusual transaction-volume changes, followed by operational validation.</w:t>
      </w:r>
    </w:p>
    <w:p>
      <w:pPr>
        <w:pStyle w:val="ListBullet"/>
      </w:pPr>
      <w:r>
        <w:t>Track merchant-category and state-level trends to support capacity planning and targeted customer experience improvements.</w:t>
      </w:r>
    </w:p>
    <w:p>
      <w:pPr>
        <w:pStyle w:val="ListBullet"/>
      </w:pPr>
      <w:r>
        <w:t>Use the AI assistant for exploratory questions, but validate important decisions against source data and business rules.</w:t>
      </w:r>
    </w:p>
    <w:p>
      <w:pPr>
        <w:pStyle w:val="ListBullet"/>
      </w:pPr>
      <w:r>
        <w:t>For production fraud detection, introduce confirmed labels, model evaluation metrics, alert thresholds, and human review workflows.</w:t>
      </w:r>
    </w:p>
    <w:p>
      <w:pPr>
        <w:pStyle w:val="Heading1"/>
      </w:pPr>
      <w:r>
        <w:t>17. Limitations</w:t>
      </w:r>
    </w:p>
    <w:p>
      <w:pPr>
        <w:pStyle w:val="ListBullet"/>
      </w:pPr>
      <w:r>
        <w:t>The dataset is observational and does not establish causal relationships.</w:t>
      </w:r>
    </w:p>
    <w:p>
      <w:pPr>
        <w:pStyle w:val="ListBullet"/>
      </w:pPr>
      <w:r>
        <w:t>The fraud_flag field is treated as a supplied dataset label rather than independently verified fraud.</w:t>
      </w:r>
    </w:p>
    <w:p>
      <w:pPr>
        <w:pStyle w:val="ListBullet"/>
      </w:pPr>
      <w:r>
        <w:t>The anomaly methods are exploratory screening methods, not production risk models.</w:t>
      </w:r>
    </w:p>
    <w:p>
      <w:pPr>
        <w:pStyle w:val="ListBullet"/>
      </w:pPr>
      <w:r>
        <w:t>The project is based on a fixed 2024 dataset and is not connected to a live UPI transaction stream.</w:t>
      </w:r>
    </w:p>
    <w:p>
      <w:pPr>
        <w:pStyle w:val="ListBullet"/>
      </w:pPr>
      <w:r>
        <w:t>No personally identifying or payment credential information is required by the analytical workflow.</w:t>
      </w:r>
    </w:p>
    <w:p>
      <w:pPr>
        <w:pStyle w:val="ListBullet"/>
      </w:pPr>
      <w:r>
        <w:t>Future model evaluation would require reliable confirmed fraud labels and a clearly defined validation strategy.</w:t>
      </w:r>
    </w:p>
    <w:p>
      <w:pPr>
        <w:pStyle w:val="Heading1"/>
      </w:pPr>
      <w:r>
        <w:t>18. Future Scope</w:t>
      </w:r>
    </w:p>
    <w:p>
      <w:pPr>
        <w:pStyle w:val="ListBullet"/>
      </w:pPr>
      <w:r>
        <w:t>Add real-time transaction streaming and alerting.</w:t>
      </w:r>
    </w:p>
    <w:p>
      <w:pPr>
        <w:pStyle w:val="ListBullet"/>
      </w:pPr>
      <w:r>
        <w:t>Develop supervised and unsupervised anomaly/risk models.</w:t>
      </w:r>
    </w:p>
    <w:p>
      <w:pPr>
        <w:pStyle w:val="ListBullet"/>
      </w:pPr>
      <w:r>
        <w:t>Evaluate models using precision, recall, F1-score, ROC-AUC and business-cost metrics where appropriate.</w:t>
      </w:r>
    </w:p>
    <w:p>
      <w:pPr>
        <w:pStyle w:val="ListBullet"/>
      </w:pPr>
      <w:r>
        <w:t>Add explainable AI for risk scoring.</w:t>
      </w:r>
    </w:p>
    <w:p>
      <w:pPr>
        <w:pStyle w:val="ListBullet"/>
      </w:pPr>
      <w:r>
        <w:t>Integrate role-based access and audit logging.</w:t>
      </w:r>
    </w:p>
    <w:p>
      <w:pPr>
        <w:pStyle w:val="ListBullet"/>
      </w:pPr>
      <w:r>
        <w:t>Add automated email or dashboard alerts for material anomalies.</w:t>
      </w:r>
    </w:p>
    <w:p>
      <w:pPr>
        <w:pStyle w:val="ListBullet"/>
      </w:pPr>
      <w:r>
        <w:t>Expand the AI assistant with governed semantic metrics and controlled data access.</w:t>
      </w:r>
    </w:p>
    <w:p>
      <w:pPr>
        <w:pStyle w:val="Heading1"/>
      </w:pPr>
      <w:r>
        <w:t>19. Reproducibility and Submission Files</w:t>
      </w:r>
    </w:p>
    <w:p>
      <w:r>
        <w:t>The primary reproducible code is supplied as `SairamRanveerkar_UPITransactionIntelligence2024.ipynb`. Python dependencies are listed in `requirements.txt`. The GitHub-style project overview is supplied in `README.md`.</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Required submission item</w:t>
            </w:r>
          </w:p>
        </w:tc>
        <w:tc>
          <w:tcPr>
            <w:tcW w:type="dxa" w:w="4968"/>
          </w:tcPr>
          <w:p>
            <w:r>
              <w:rPr>
                <w:b/>
              </w:rPr>
              <w:t>Prepared file</w:t>
            </w:r>
          </w:p>
        </w:tc>
      </w:tr>
      <w:tr>
        <w:tc>
          <w:tcPr>
            <w:tcW w:type="dxa" w:w="4968"/>
          </w:tcPr>
          <w:p>
            <w:r>
              <w:t>Code File</w:t>
            </w:r>
          </w:p>
        </w:tc>
        <w:tc>
          <w:tcPr>
            <w:tcW w:type="dxa" w:w="4968"/>
          </w:tcPr>
          <w:p>
            <w:r>
              <w:t>SairamRanveerkar_UPITransactionIntelligence2024.ipynb</w:t>
            </w:r>
          </w:p>
        </w:tc>
      </w:tr>
      <w:tr>
        <w:tc>
          <w:tcPr>
            <w:tcW w:type="dxa" w:w="4968"/>
          </w:tcPr>
          <w:p>
            <w:r>
              <w:t>Requirements File</w:t>
            </w:r>
          </w:p>
        </w:tc>
        <w:tc>
          <w:tcPr>
            <w:tcW w:type="dxa" w:w="4968"/>
          </w:tcPr>
          <w:p>
            <w:r>
              <w:t>requirements.txt</w:t>
            </w:r>
          </w:p>
        </w:tc>
      </w:tr>
      <w:tr>
        <w:tc>
          <w:tcPr>
            <w:tcW w:type="dxa" w:w="4968"/>
          </w:tcPr>
          <w:p>
            <w:r>
              <w:t>Project Report</w:t>
            </w:r>
          </w:p>
        </w:tc>
        <w:tc>
          <w:tcPr>
            <w:tcW w:type="dxa" w:w="4968"/>
          </w:tcPr>
          <w:p>
            <w:r>
              <w:t>SairamRanveerkar_UPITransactionIntelligence2024_ProjectReport.docx</w:t>
            </w:r>
          </w:p>
        </w:tc>
      </w:tr>
      <w:tr>
        <w:tc>
          <w:tcPr>
            <w:tcW w:type="dxa" w:w="4968"/>
          </w:tcPr>
          <w:p>
            <w:r>
              <w:t>README File</w:t>
            </w:r>
          </w:p>
        </w:tc>
        <w:tc>
          <w:tcPr>
            <w:tcW w:type="dxa" w:w="4968"/>
          </w:tcPr>
          <w:p>
            <w:r>
              <w:t>README.md</w:t>
            </w:r>
          </w:p>
        </w:tc>
      </w:tr>
    </w:tbl>
    <w:p>
      <w:pPr>
        <w:pStyle w:val="Heading1"/>
      </w:pPr>
      <w:r>
        <w:t>20. Conclusion</w:t>
      </w:r>
    </w:p>
    <w:p>
      <w:r>
        <w:t>The project demonstrates an end-to-end data analytics workflow for UPI transaction data, from data validation and exploratory analysis through SQL analysis, dashboarding, fraud-flag analytics, anomaly screening and AI-assisted natural-language analysis. The solution is designed as an academic and portfolio project and provides a foundation that can be extended toward real-time monitoring and production-grade risk analytics.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