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44"/>
        </w:rPr>
        <w:t>Project Proposal: Enterprise Intelligent Automation Hub</w:t>
      </w:r>
    </w:p>
    <w:p>
      <w:r>
        <w:rPr>
          <w:i/>
          <w:color w:val="787878"/>
          <w:sz w:val="20"/>
        </w:rPr>
        <w:t>Prepared for: Executive Leadership Team  |  Date: October 2026  |  Version: 1.0</w:t>
      </w:r>
    </w:p>
    <w:p>
      <w:pPr>
        <w:pStyle w:val="Heading1"/>
      </w:pPr>
      <w:r>
        <w:t>1. Executive Summary</w:t>
      </w:r>
    </w:p>
    <w:p>
      <w:r>
        <w:t>This proposal outlines the initiative to deploy an autonomous agentic orchestration layer across core business workflows. By reducing repetitive manual data entry between legacy CRM, ERP, and communication channels, this project projects a 40% reduction in operational cycle time and an estimated $420,000 annual cost savings within 12 months.</w:t>
      </w:r>
    </w:p>
    <w:p>
      <w:pPr>
        <w:pStyle w:val="Heading1"/>
      </w:pPr>
      <w:r>
        <w:t>2. Project Objectives &amp; Scope</w:t>
      </w:r>
    </w:p>
    <w:p>
      <w:pPr>
        <w:pStyle w:val="ListBullet"/>
      </w:pPr>
      <w:r>
        <w:t>Unify browser-based SaaS workflows into automated agent task queues.</w:t>
      </w:r>
    </w:p>
    <w:p>
      <w:pPr>
        <w:pStyle w:val="ListBullet"/>
      </w:pPr>
      <w:r>
        <w:t>Implement human-in-the-loop review guardrails for compliance and data governance.</w:t>
      </w:r>
    </w:p>
    <w:p>
      <w:pPr>
        <w:pStyle w:val="ListBullet"/>
      </w:pPr>
      <w:r>
        <w:t>Integrate automated document parsing (invoices, client intake, contract verification).</w:t>
      </w:r>
    </w:p>
    <w:p>
      <w:pPr>
        <w:pStyle w:val="Heading1"/>
      </w:pPr>
      <w:r>
        <w:t>3. Implementation Roadmap</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Key Deliverable</w:t>
            </w:r>
          </w:p>
        </w:tc>
        <w:tc>
          <w:tcPr>
            <w:tcW w:type="dxa" w:w="2160"/>
          </w:tcPr>
          <w:p>
            <w:r>
              <w:t>Duration</w:t>
            </w:r>
          </w:p>
        </w:tc>
        <w:tc>
          <w:tcPr>
            <w:tcW w:type="dxa" w:w="2160"/>
          </w:tcPr>
          <w:p>
            <w:r>
              <w:t>Success Metric</w:t>
            </w:r>
          </w:p>
        </w:tc>
      </w:tr>
      <w:tr>
        <w:tc>
          <w:tcPr>
            <w:tcW w:type="dxa" w:w="2160"/>
          </w:tcPr>
          <w:p>
            <w:r>
              <w:t>Phase 1: Discovery &amp; Architecture</w:t>
            </w:r>
          </w:p>
        </w:tc>
        <w:tc>
          <w:tcPr>
            <w:tcW w:type="dxa" w:w="2160"/>
          </w:tcPr>
          <w:p>
            <w:r>
              <w:t>Infrastructure audit &amp; agent sandbox</w:t>
            </w:r>
          </w:p>
        </w:tc>
        <w:tc>
          <w:tcPr>
            <w:tcW w:type="dxa" w:w="2160"/>
          </w:tcPr>
          <w:p>
            <w:r>
              <w:t>Weeks 1-3</w:t>
            </w:r>
          </w:p>
        </w:tc>
        <w:tc>
          <w:tcPr>
            <w:tcW w:type="dxa" w:w="2160"/>
          </w:tcPr>
          <w:p>
            <w:r>
              <w:t>Architecture approved</w:t>
            </w:r>
          </w:p>
        </w:tc>
      </w:tr>
      <w:tr>
        <w:tc>
          <w:tcPr>
            <w:tcW w:type="dxa" w:w="2160"/>
          </w:tcPr>
          <w:p>
            <w:r>
              <w:t>Phase 2: Core Pilot Deployment</w:t>
            </w:r>
          </w:p>
        </w:tc>
        <w:tc>
          <w:tcPr>
            <w:tcW w:type="dxa" w:w="2160"/>
          </w:tcPr>
          <w:p>
            <w:r>
              <w:t>Automate finance &amp; intake workflows</w:t>
            </w:r>
          </w:p>
        </w:tc>
        <w:tc>
          <w:tcPr>
            <w:tcW w:type="dxa" w:w="2160"/>
          </w:tcPr>
          <w:p>
            <w:r>
              <w:t>Weeks 4-8</w:t>
            </w:r>
          </w:p>
        </w:tc>
        <w:tc>
          <w:tcPr>
            <w:tcW w:type="dxa" w:w="2160"/>
          </w:tcPr>
          <w:p>
            <w:r>
              <w:t>&gt;95% Task accuracy</w:t>
            </w:r>
          </w:p>
        </w:tc>
      </w:tr>
      <w:tr>
        <w:tc>
          <w:tcPr>
            <w:tcW w:type="dxa" w:w="2160"/>
          </w:tcPr>
          <w:p>
            <w:r>
              <w:t>Phase 3: Org-wide Rollout</w:t>
            </w:r>
          </w:p>
        </w:tc>
        <w:tc>
          <w:tcPr>
            <w:tcW w:type="dxa" w:w="2160"/>
          </w:tcPr>
          <w:p>
            <w:r>
              <w:t>Full team onboarding &amp; monitoring dashboard</w:t>
            </w:r>
          </w:p>
        </w:tc>
        <w:tc>
          <w:tcPr>
            <w:tcW w:type="dxa" w:w="2160"/>
          </w:tcPr>
          <w:p>
            <w:r>
              <w:t>Weeks 9-12</w:t>
            </w:r>
          </w:p>
        </w:tc>
        <w:tc>
          <w:tcPr>
            <w:tcW w:type="dxa" w:w="2160"/>
          </w:tcPr>
          <w:p>
            <w:r>
              <w:t>100+ active automated runs/wk</w:t>
            </w:r>
          </w:p>
        </w:tc>
      </w:tr>
    </w:tbl>
    <w:p>
      <w:pPr>
        <w:pStyle w:val="Heading1"/>
      </w:pPr>
      <w:r>
        <w:t>4. Budget &amp; Resource Allocation</w:t>
      </w:r>
    </w:p>
    <w:p>
      <w:r>
        <w:t>The estimated total project investment is $85,000, encompassing software licensing, cloud compute infrastructure, and specialized implementation consulting. Projected payback period is 4.5 months post-deployment.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