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MiniMines Sales Hub</w:t>
      </w:r>
    </w:p>
    <w:p>
      <w:pPr>
        <w:jc w:val="center"/>
      </w:pPr>
      <w:r>
        <w:rPr>
          <w:b/>
          <w:color w:val="4472C4"/>
          <w:sz w:val="32"/>
        </w:rPr>
        <w:t>Backend Logic &amp; Mathematical Reference</w:t>
      </w:r>
    </w:p>
    <w:p>
      <w:pPr>
        <w:jc w:val="center"/>
      </w:pPr>
      <w:r>
        <w:t>Engine Version: 2  |  Date: 2026-07-16</w:t>
      </w:r>
    </w:p>
    <w:p>
      <w:pPr>
        <w:jc w:val="center"/>
      </w:pPr>
      <w:r>
        <w:t>Repository: Saisam13/MiniMines_SalesHub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Chemical ATT Score — Full Formula</w:t>
      </w:r>
    </w:p>
    <w:p>
      <w:r>
        <w:rPr>
          <w:b w:val="0"/>
          <w:i w:val="0"/>
        </w:rPr>
        <w:t>The Attractiveness-to-Trade (ATT) score for each chemical is computed as: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ATT_final = ( Σ_d  W_d × norm_d ) × R  +  V_mod  +  Feedback_Adj</w:t>
      </w:r>
    </w:p>
    <w:p>
      <w:r>
        <w:rPr>
          <w:b/>
          <w:i w:val="0"/>
        </w:rPr>
        <w:t>Where: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Range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W_d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Weight for dimension 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Sums to 1.0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norm_d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Normalized score for dimension 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 – 100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Regulatory multiplier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{0.0, 0.3, 0.7, 1.0}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V_mod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Price-variance modifier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{−10, 0, +5}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Feedback_Adj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Trader feedback adjustment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−5 to +5</w:t>
            </w:r>
          </w:p>
        </w:tc>
      </w:tr>
    </w:tbl>
    <w:p/>
    <w:p>
      <w:r>
        <w:rPr>
          <w:b/>
          <w:i w:val="0"/>
        </w:rPr>
        <w:t>Tier thresholds: A ≥ 70 · B ≥ 40 · C &lt; 40</w:t>
      </w:r>
    </w:p>
    <w:p>
      <w:pPr>
        <w:pStyle w:val="Heading1"/>
      </w:pPr>
      <w:r>
        <w:rPr>
          <w:color w:val="1F4E79"/>
        </w:rPr>
        <w:t>2. Dimension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Raw Metric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Normalization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sz w:val="20"/>
              </w:rPr>
              <w:t>volume</w:t>
            </w:r>
          </w:p>
        </w:tc>
        <w:tc>
          <w:tcPr>
            <w:tcW w:type="dxa" w:w="1152"/>
            <w:shd w:val="clear" w:color="auto" w:fill="DCE6F1"/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20"/>
              </w:rPr>
              <w:t>Total qty (kg)</w:t>
            </w:r>
          </w:p>
        </w:tc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Log-anchor (§3)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0.20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Median price × total qty (USD)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Log-anchor (§3)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sz w:val="20"/>
              </w:rPr>
              <w:t>buyers</w:t>
            </w:r>
          </w:p>
        </w:tc>
        <w:tc>
          <w:tcPr>
            <w:tcW w:type="dxa" w:w="1152"/>
            <w:shd w:val="clear" w:color="auto" w:fill="DCE6F1"/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20"/>
              </w:rPr>
              <w:t>Count, fragmentation, countries</w:t>
            </w:r>
          </w:p>
        </w:tc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Log-anchor on counts (§4)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suppliers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0.10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Seller count, India share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Log-anchor on counts (§4)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sz w:val="20"/>
              </w:rPr>
              <w:t>trend</w:t>
            </w:r>
          </w:p>
        </w:tc>
        <w:tc>
          <w:tcPr>
            <w:tcW w:type="dxa" w:w="1152"/>
            <w:shd w:val="clear" w:color="auto" w:fill="DCE6F1"/>
          </w:tcPr>
          <w:p>
            <w:r>
              <w:rPr>
                <w:sz w:val="20"/>
              </w:rPr>
              <w:t>0.10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20"/>
              </w:rPr>
              <w:t>50 + growth_rate × 500</w:t>
            </w:r>
          </w:p>
        </w:tc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Direct (already 0–100)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structure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0.10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0.5×(1−HHI)×100 + 0.5×freq/50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Direct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sz w:val="20"/>
              </w:rPr>
              <w:t>freedom</w:t>
            </w:r>
          </w:p>
        </w:tc>
        <w:tc>
          <w:tcPr>
            <w:tcW w:type="dxa" w:w="1152"/>
            <w:shd w:val="clear" w:color="auto" w:fill="DCE6F1"/>
          </w:tcPr>
          <w:p>
            <w:r>
              <w:rPr>
                <w:sz w:val="20"/>
              </w:rPr>
              <w:t>0.10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20"/>
              </w:rPr>
              <w:t>Weighted avg EASE score</w:t>
            </w:r>
          </w:p>
        </w:tc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Direct (0–100)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barrier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0.10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100 − regulatory_penalty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Direct</w:t>
            </w:r>
          </w:p>
        </w:tc>
      </w:tr>
    </w:tbl>
    <w:p>
      <w:pPr>
        <w:pStyle w:val="Heading1"/>
      </w:pPr>
      <w:r>
        <w:rPr>
          <w:color w:val="1F4E79"/>
        </w:rPr>
        <w:t>3. Log-Anchor Transform (Engine v2 Core)</w:t>
      </w:r>
    </w:p>
    <w:p>
      <w:r>
        <w:rPr>
          <w:b w:val="0"/>
          <w:i w:val="0"/>
        </w:rPr>
        <w:t>Used for unbounded, right-skewed raw values (kg, USD, entity counts):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score(v) = 100 × clamp(0, 1,</w:t>
        <w:br/>
        <w:t xml:space="preserve">           (log1p(v) − log1p(floor)) / (log1p(ceiling) − log1p(floor)) )</w:t>
      </w:r>
    </w:p>
    <w:p>
      <w:r>
        <w:rPr>
          <w:b/>
          <w:i w:val="0"/>
        </w:rPr>
        <w:t>Key properties:</w:t>
      </w:r>
    </w:p>
    <w:p>
      <w:pPr>
        <w:pStyle w:val="ListBullet"/>
      </w:pPr>
      <w:r>
        <w:t>• Deterministic: score depends only on the raw value — adding/removing any other chemical never changes this score.</w:t>
      </w:r>
    </w:p>
    <w:p>
      <w:pPr>
        <w:pStyle w:val="ListBullet"/>
      </w:pPr>
      <w:r>
        <w:t>• Bounded: always in [0, 100] regardless of input.</w:t>
      </w:r>
    </w:p>
    <w:p>
      <w:pPr>
        <w:pStyle w:val="ListBullet"/>
      </w:pPr>
      <w:r>
        <w:t>• Tied inputs → identical scores (no rank lottery).</w:t>
      </w:r>
    </w:p>
    <w:p>
      <w:pPr>
        <w:pStyle w:val="ListBullet"/>
      </w:pPr>
      <w:r>
        <w:t>• Admin-editable: floor and ceiling are Settings, not hardcoded.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Floor (→ 0)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Ceiling (→ 100)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volume (kg)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10 kg</w:t>
            </w:r>
          </w:p>
        </w:tc>
        <w:tc>
          <w:tcPr>
            <w:tcW w:type="dxa" w:w="2016"/>
            <w:shd w:val="clear" w:color="auto" w:fill="DCE6F1"/>
          </w:tcPr>
          <w:p>
            <w:r>
              <w:rPr>
                <w:sz w:val="20"/>
              </w:rPr>
              <w:t>1,306,605 kg</w:t>
            </w:r>
          </w:p>
        </w:tc>
        <w:tc>
          <w:tcPr>
            <w:tcW w:type="dxa" w:w="3024"/>
            <w:shd w:val="clear" w:color="auto" w:fill="DCE6F1"/>
          </w:tcPr>
          <w:p>
            <w:r>
              <w:rPr>
                <w:sz w:val="20"/>
              </w:rPr>
              <w:t>Real p95 of run data (n=107k)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price (USD value)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$1,000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$11,836,965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Real p95 of run data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buyers: n_buyers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016"/>
            <w:shd w:val="clear" w:color="auto" w:fill="DCE6F1"/>
          </w:tcPr>
          <w:p>
            <w:r>
              <w:rPr>
                <w:sz w:val="20"/>
              </w:rPr>
              <w:t>580</w:t>
            </w:r>
          </w:p>
        </w:tc>
        <w:tc>
          <w:tcPr>
            <w:tcW w:type="dxa" w:w="3024"/>
            <w:shd w:val="clear" w:color="auto" w:fill="DCE6F1"/>
          </w:tcPr>
          <w:p>
            <w:r>
              <w:rPr>
                <w:sz w:val="20"/>
              </w:rPr>
              <w:t>Real p95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buyers: n_countries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Real p95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suppliers: n_sellers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016"/>
            <w:shd w:val="clear" w:color="auto" w:fill="DCE6F1"/>
          </w:tcPr>
          <w:p>
            <w:r>
              <w:rPr>
                <w:sz w:val="20"/>
              </w:rPr>
              <w:t>430</w:t>
            </w:r>
          </w:p>
        </w:tc>
        <w:tc>
          <w:tcPr>
            <w:tcW w:type="dxa" w:w="3024"/>
            <w:shd w:val="clear" w:color="auto" w:fill="DCE6F1"/>
          </w:tcPr>
          <w:p>
            <w:r>
              <w:rPr>
                <w:sz w:val="20"/>
              </w:rPr>
              <w:t>Real p95</w:t>
            </w:r>
          </w:p>
        </w:tc>
      </w:tr>
    </w:tbl>
    <w:p>
      <w:pPr>
        <w:pStyle w:val="Heading1"/>
      </w:pPr>
      <w:r>
        <w:rPr>
          <w:color w:val="1F4E79"/>
        </w:rPr>
        <w:t>4. Buyers &amp; Suppliers Composite Score</w:t>
      </w:r>
    </w:p>
    <w:p>
      <w:r>
        <w:rPr>
          <w:b/>
          <w:i w:val="0"/>
        </w:rPr>
        <w:t>Buyers score (Engine v2):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buyers_norm = 0.30 × LA(n_buyers, 0, 580)</w:t>
        <w:br/>
        <w:t xml:space="preserve">            + 0.30 × frag × 100</w:t>
        <w:br/>
        <w:t xml:space="preserve">            + 0.20 × LA(n_countries, 0, 76)</w:t>
        <w:br/>
        <w:t xml:space="preserve">            + 0.20 × repeat_pct × 100</w:t>
      </w:r>
    </w:p>
    <w:p>
      <w:r>
        <w:rPr>
          <w:b w:val="0"/>
          <w:i/>
        </w:rPr>
        <w:t>Where LA(v, floor, ceiling) = log-anchor score. frag = 1 − HHI. repeat_pct = buyers with &gt;1 shipment / total buyers.</w:t>
      </w:r>
    </w:p>
    <w:p/>
    <w:p>
      <w:r>
        <w:rPr>
          <w:b/>
          <w:i w:val="0"/>
        </w:rPr>
        <w:t>Suppliers score (Engine v2):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suppliers_norm = 0.40 × LA(n_sellers, 0, 430)</w:t>
        <w:br/>
        <w:t xml:space="preserve">               + 0.30 × india_pct × 100</w:t>
        <w:br/>
        <w:t xml:space="preserve">               + 0.30 × LA(n_countries, 0, 76)</w:t>
      </w:r>
    </w:p>
    <w:p>
      <w:pPr>
        <w:pStyle w:val="Heading1"/>
      </w:pPr>
      <w:r>
        <w:rPr>
          <w:color w:val="1F4E79"/>
        </w:rPr>
        <w:t>5. Trend Score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trend_raw = clamp(0, 100,  50 + growth_rate × 500)</w:t>
      </w:r>
    </w:p>
    <w:p>
      <w:r>
        <w:rPr>
          <w:b w:val="0"/>
          <w:i/>
        </w:rPr>
        <w:t>growth_rate = slope of linear regression over monthly shipment counts, excluding months in trend_exclude and the current calendar month (partial data).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Direction Label</w:t>
            </w:r>
          </w:p>
        </w:tc>
        <w:tc>
          <w:tcPr>
            <w:tcW w:type="dxa" w:w="64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Growing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20"/>
              </w:rPr>
              <w:t>Last 6-month avg &gt; Prior 6-month avg by &gt; 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Declining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Last 6-month avg &lt; Prior 6-month avg by &gt; 5%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Stable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20"/>
              </w:rPr>
              <w:t>Otherwise</w:t>
            </w:r>
          </w:p>
        </w:tc>
      </w:tr>
    </w:tbl>
    <w:p>
      <w:pPr>
        <w:pStyle w:val="Heading1"/>
      </w:pPr>
      <w:r>
        <w:rPr>
          <w:color w:val="1F4E79"/>
        </w:rPr>
        <w:t>6. Structure Score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structure = 0.5 × (1 − HHI) × 100</w:t>
        <w:br/>
        <w:t xml:space="preserve">          + 0.5 × min(1, freq / 50) × 100</w:t>
      </w:r>
    </w:p>
    <w:p>
      <w:r>
        <w:rPr>
          <w:b w:val="0"/>
          <w:i/>
        </w:rPr>
        <w:t>HHI = Herfindahl-Hirschman Index on buyer market shares (0=fragmented, 1=monopoly). freq = unique trading months (cap 50).</w:t>
      </w:r>
    </w:p>
    <w:p>
      <w:pPr>
        <w:pStyle w:val="Heading1"/>
      </w:pPr>
      <w:r>
        <w:rPr>
          <w:color w:val="1F4E79"/>
        </w:rPr>
        <w:t>7. Freedom Score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freedom = Σ_c  (shipments_c × EASE[c])  /  Σ_c shipments_c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Country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EASE Score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95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Singapore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92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Germany/UK/Netherlands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USA/Canada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85–90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Russia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Iran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North Korea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</w:tr>
    </w:tbl>
    <w:p>
      <w:pPr>
        <w:pStyle w:val="Heading1"/>
      </w:pPr>
      <w:r>
        <w:rPr>
          <w:color w:val="1F4E79"/>
        </w:rPr>
        <w:t>8. Regulatory Factor (R)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Factor R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20"/>
              </w:rPr>
              <w:t>Banned (global bans)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20"/>
              </w:rPr>
              <w:t>Mercury compounds, arsenic trioxide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Restricted (REACH SVHC)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Cadmium, lead, chromium VI, beryllium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20"/>
              </w:rPr>
              <w:t>Conditional (licensed handling)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0.7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20"/>
              </w:rPr>
              <w:t>HF acid, sodium cyanide, phosgene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Clean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No restriction</w:t>
            </w:r>
          </w:p>
        </w:tc>
      </w:tr>
    </w:tbl>
    <w:p>
      <w:pPr>
        <w:pStyle w:val="Heading1"/>
      </w:pPr>
      <w:r>
        <w:rPr>
          <w:color w:val="1F4E79"/>
        </w:rPr>
        <w:t>9. Variance Modifier (V_mod)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V_mod = +5   if geo_IQR &gt; temporal_IQR × 1.2   (opportunity — geographic arbitrage)</w:t>
        <w:br/>
        <w:t>V_mod = −10  if temporal_IQR &gt; geo_IQR × 1.2   (risk — temporal instability)</w:t>
        <w:br/>
        <w:t>V_mod =  0   otherwise (stable)</w:t>
      </w:r>
    </w:p>
    <w:p>
      <w:r>
        <w:rPr>
          <w:b w:val="0"/>
          <w:i/>
        </w:rPr>
        <w:t>Price data cleaned before classification: IQR×1.5 outlier trim + 5th/95th percentile winsorization (n ≥ 10).</w:t>
      </w:r>
    </w:p>
    <w:p>
      <w:pPr>
        <w:pStyle w:val="Heading1"/>
      </w:pPr>
      <w:r>
        <w:rPr>
          <w:color w:val="1F4E79"/>
        </w:rPr>
        <w:t>10. Trader Feedback Adjustment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Feedback_Adj = clamp(−5, +5,  Σ_u  vote_effect(u))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Vote Type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Effect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sz w:val="20"/>
              </w:rPr>
              <w:t>challenge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−2.0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20"/>
              </w:rPr>
              <w:t>One per user per chemical (upsert)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correct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+2.5 or −2.5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Direction depends on suggested vs. current tier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sz w:val="20"/>
              </w:rPr>
              <w:t>confirm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20"/>
              </w:rPr>
              <w:t>Displayed but not scored — prevents coordinated inflation</w:t>
            </w:r>
          </w:p>
        </w:tc>
      </w:tr>
    </w:tbl>
    <w:p>
      <w:r>
        <w:rPr>
          <w:b w:val="0"/>
          <w:i/>
        </w:rPr>
        <w:t>Anonymous votes (user_name = "") are excluded. Feedback survives run deletion.</w:t>
      </w:r>
    </w:p>
    <w:p>
      <w:pPr>
        <w:pStyle w:val="Heading1"/>
      </w:pPr>
      <w:r>
        <w:rPr>
          <w:color w:val="1F4E79"/>
        </w:rPr>
        <w:t>11. Geopolitical Adjustment (Stage 4b)</w:t>
      </w:r>
    </w:p>
    <w:p>
      <w:r>
        <w:rPr>
          <w:b w:val="0"/>
          <w:i w:val="0"/>
        </w:rPr>
        <w:t>Algorithm (Engine v2 — robust median/MAD, fixing the unreachable-threshold bug):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1. Require ≥ 6 active months with nonzero quantity</w:t>
        <w:br/>
        <w:t>2. Log-transform: ℓ_m = log1p(qty_m)</w:t>
        <w:br/>
        <w:t>3. MAD = median(|ℓ_m − median(ℓ)|)</w:t>
        <w:br/>
        <w:t>4. Robust z-score: z_m = 0.6745 × (ℓ_m − median(ℓ)) / (MAD × 1.4826)</w:t>
        <w:br/>
        <w:t>5. Flag as anomaly if |z_m| &gt; 3.5</w:t>
        <w:br/>
        <w:t>6. Match anomaly month against GEO_EVENTS (11 events) by date + country + keyword</w:t>
        <w:br/>
        <w:t>7. geo_adj ∈ [0.5, 1.5]; trend_adjusted = clamp(0, 100, trend_norm × geo_adj)</w:t>
      </w:r>
    </w:p>
    <w:p>
      <w:pPr>
        <w:pStyle w:val="Heading1"/>
      </w:pPr>
      <w:r>
        <w:rPr>
          <w:color w:val="1F4E79"/>
        </w:rPr>
        <w:t>12. Battery Procurement Score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BatteryScore = w_vol × vol_norm + w_con × con_norm</w:t>
        <w:br/>
        <w:t xml:space="preserve">             + w_rel × rel_norm + w_geo × geo_norm + w_price × price_inv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Sub-score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Normalization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_volume</w:t>
            </w:r>
          </w:p>
        </w:tc>
        <w:tc>
          <w:tcPr>
            <w:tcW w:type="dxa" w:w="3168"/>
            <w:shd w:val="clear" w:color="auto" w:fill="DCE6F1"/>
          </w:tcPr>
          <w:p>
            <w:r>
              <w:rPr>
                <w:sz w:val="20"/>
              </w:rPr>
              <w:t>Total qty_kg</w:t>
            </w:r>
          </w:p>
        </w:tc>
        <w:tc>
          <w:tcPr>
            <w:tcW w:type="dxa" w:w="4032"/>
            <w:shd w:val="clear" w:color="auto" w:fill="DCE6F1"/>
          </w:tcPr>
          <w:p>
            <w:r>
              <w:rPr>
                <w:sz w:val="20"/>
              </w:rPr>
              <w:t>Log-anchor: floor=1, ceiling=15,000 kg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_consistency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months_active / max(span, 6)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Direct [0–1]. min span=6 prevents single-month score=1.0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_reliability</w:t>
            </w:r>
          </w:p>
        </w:tc>
        <w:tc>
          <w:tcPr>
            <w:tcW w:type="dxa" w:w="3168"/>
            <w:shd w:val="clear" w:color="auto" w:fill="DCE6F1"/>
          </w:tcPr>
          <w:p>
            <w:r>
              <w:rPr>
                <w:sz w:val="20"/>
              </w:rPr>
              <w:t>Shipment count</w:t>
            </w:r>
          </w:p>
        </w:tc>
        <w:tc>
          <w:tcPr>
            <w:tcW w:type="dxa" w:w="4032"/>
            <w:shd w:val="clear" w:color="auto" w:fill="DCE6F1"/>
          </w:tcPr>
          <w:p>
            <w:r>
              <w:rPr>
                <w:sz w:val="20"/>
              </w:rPr>
              <w:t>Log-anchor: floor=0, ceiling=15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_geo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Weighted avg EASE scores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Direct [0–100]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_price_inv</w:t>
            </w:r>
          </w:p>
        </w:tc>
        <w:tc>
          <w:tcPr>
            <w:tcW w:type="dxa" w:w="3168"/>
            <w:shd w:val="clear" w:color="auto" w:fill="DCE6F1"/>
          </w:tcPr>
          <w:p>
            <w:r>
              <w:rPr>
                <w:sz w:val="20"/>
              </w:rPr>
              <w:t>100 − (price_index − 1) × 50</w:t>
            </w:r>
          </w:p>
        </w:tc>
        <w:tc>
          <w:tcPr>
            <w:tcW w:type="dxa" w:w="4032"/>
            <w:shd w:val="clear" w:color="auto" w:fill="DCE6F1"/>
          </w:tcPr>
          <w:p>
            <w:r>
              <w:rPr>
                <w:sz w:val="20"/>
              </w:rPr>
              <w:t>Only if ≥ 3 priced shipments; else term dropped, weights renormalize</w:t>
            </w:r>
          </w:p>
        </w:tc>
      </w:tr>
    </w:tbl>
    <w:p>
      <w:pPr>
        <w:pStyle w:val="Heading1"/>
      </w:pPr>
      <w:r>
        <w:rPr>
          <w:color w:val="1F4E79"/>
        </w:rPr>
        <w:t>13. EPR Priority Score — Engine v2 (Fully Redesigned)</w:t>
      </w:r>
    </w:p>
    <w:p>
      <w:r>
        <w:rPr>
          <w:b w:val="0"/>
          <w:i/>
        </w:rPr>
        <w:t>The EPR scoring engine was completely redesigned to fix 10 critical issues identified in EPR_ENGINE_PROBLEMS.md audit against the live CPCB lithium database (6,982 companies).</w:t>
      </w:r>
    </w:p>
    <w:p/>
    <w:p>
      <w:r>
        <w:rPr>
          <w:b/>
          <w:i w:val="0"/>
        </w:rPr>
        <w:t>Key problem with Z-score design on real CPCB 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Evidence from real data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Q1: Z-scores not absolute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20"/>
              </w:rPr>
              <w:t>Uploading TMB moved Luminous from 100→61.6</w:t>
            </w:r>
          </w:p>
        </w:tc>
        <w:tc>
          <w:tcPr>
            <w:tcW w:type="dxa" w:w="3456"/>
            <w:shd w:val="clear" w:color="auto" w:fill="DCE6F1"/>
          </w:tcPr>
          <w:p>
            <w:r>
              <w:rPr>
                <w:sz w:val="20"/>
              </w:rPr>
              <w:t>log1p anchor-band transform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Q2: 89% zeros collapse to grade 50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6,954 of 6,982 companies land within 0.03 grade points of each other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Zero-target → bottom band 0–5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Q3: NULL vs 0 conflated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20"/>
              </w:rPr>
              <w:t>'Rs.500' → 0.5 (1000× error); silent contamination</w:t>
            </w:r>
          </w:p>
        </w:tc>
        <w:tc>
          <w:tcPr>
            <w:tcW w:type="dxa" w:w="3456"/>
            <w:shd w:val="clear" w:color="auto" w:fill="DCE6F1"/>
          </w:tcPr>
          <w:p>
            <w:r>
              <w:rPr>
                <w:sz w:val="20"/>
              </w:rPr>
              <w:t>Strict regex; NULL=absent, 0=reported zero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Q4: Renorm rewards missing data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Single-material shell scores 100; 4-material major scores 63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Coverage factor 0.5 + 0.5×k/K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Q5: σ=0 crashes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20"/>
              </w:rPr>
              <w:t>98.4% of credits are zero → all-zero column → crash</w:t>
            </w:r>
          </w:p>
        </w:tc>
        <w:tc>
          <w:tcPr>
            <w:tcW w:type="dxa" w:w="3456"/>
            <w:shd w:val="clear" w:color="auto" w:fill="DCE6F1"/>
          </w:tcPr>
          <w:p>
            <w:r>
              <w:rPr>
                <w:sz w:val="20"/>
              </w:rPr>
              <w:t>σ=0 drops credits term; n&lt;20 → neutral 50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Q6: No material dimension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All 6,982 rows have battery_chemistry=""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epr_materials + epr_company_materials tables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Q7: Name collisions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20"/>
              </w:rPr>
              <w:t>71 name collisions in the real file alone</w:t>
            </w:r>
          </w:p>
        </w:tc>
        <w:tc>
          <w:tcPr>
            <w:tcW w:type="dxa" w:w="3456"/>
            <w:shd w:val="clear" w:color="auto" w:fill="DCE6F1"/>
          </w:tcPr>
          <w:p>
            <w:r>
              <w:rPr>
                <w:sz w:val="20"/>
              </w:rPr>
              <w:t>registration_number as primary merge key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Q8: Full recompute per keystroke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6,982×60 ILIKE queries on every cross-links call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Materialized grade column; SQL-level sort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Q9: Mixed-unit priority_score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20"/>
              </w:rPr>
              <w:t>Old leads: priority_score=82481; new: grade=74</w:t>
            </w:r>
          </w:p>
        </w:tc>
        <w:tc>
          <w:tcPr>
            <w:tcW w:type="dxa" w:w="3456"/>
            <w:shd w:val="clear" w:color="auto" w:fill="DCE6F1"/>
          </w:tcPr>
          <w:p>
            <w:r>
              <w:rPr>
                <w:sz w:val="20"/>
              </w:rPr>
              <w:t>New grade field (0–100); totals preserved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Q10: Weights don't sum to 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target=1.0 + credits=0.5 → max score = 150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Normalize to sum 1 on save</w:t>
            </w:r>
          </w:p>
        </w:tc>
      </w:tr>
    </w:tbl>
    <w:p/>
    <w:p>
      <w:pPr>
        <w:pStyle w:val="Heading2"/>
      </w:pPr>
      <w:r>
        <w:rPr>
          <w:color w:val="4472C4"/>
        </w:rPr>
        <w:t>13.1 Scoring Formula — log1p Anchor-Band Engine</w:t>
      </w:r>
    </w:p>
    <w:p>
      <w:r>
        <w:rPr>
          <w:b w:val="0"/>
          <w:i w:val="0"/>
        </w:rPr>
        <w:t>For each active material m: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Step 1: Anchor-band score (absolute, cohort-independent)</w:t>
        <w:br/>
        <w:t>anchor_score(v) = 100 × clamp(0, 1,</w:t>
        <w:br/>
        <w:t xml:space="preserve">    (log1p(v) − log1p(floor)) / (log1p(ceiling) − log1p(floor)) )</w:t>
        <w:br/>
        <w:br/>
        <w:t># Anchor bands (admin-editable in Settings &gt; epr_anchor_bands):</w:t>
        <w:br/>
        <w:t>floor   = 0.1 tonnes   →  grade 0</w:t>
        <w:br/>
        <w:t>ceiling = 10,000 tonnes →  grade 100</w:t>
        <w:br/>
        <w:br/>
        <w:t># Step 2: Zero/null target → bottom band (never mid-scale)</w:t>
        <w:br/>
        <w:t>if target is None or target &lt;= 0:</w:t>
        <w:br/>
        <w:t xml:space="preserve">    target_score = 0.0   # grade band 0–5</w:t>
        <w:br/>
        <w:t>else:</w:t>
        <w:br/>
        <w:t xml:space="preserve">    target_score = anchor_score(target)</w:t>
        <w:br/>
        <w:br/>
        <w:t># Step 3: Credits score</w:t>
        <w:br/>
        <w:t>credits_score = anchor_score(credits) if credits &gt; 0 else 0.0</w:t>
        <w:br/>
        <w:br/>
        <w:t># Step 4: Gap score (business logic: large gap = best sales target)</w:t>
        <w:br/>
        <w:t>gap_score = max(0, target_score − credits_score)</w:t>
        <w:br/>
        <w:br/>
        <w:t># Step 5: Within-material grade (wT + wC normalized to sum 1)</w:t>
        <w:br/>
        <w:t>material_grade = target_score × wT  +  gap_score × wC</w:t>
        <w:br/>
      </w:r>
    </w:p>
    <w:p>
      <w:pPr>
        <w:pStyle w:val="Heading2"/>
      </w:pPr>
      <w:r>
        <w:rPr>
          <w:color w:val="4472C4"/>
        </w:rPr>
        <w:t>13.2 Coverage Factor (Q4 Fix)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k = number of materials company has data for  (target &gt; 0)</w:t>
        <w:br/>
        <w:t>K = total active materials (default: 4)</w:t>
        <w:br/>
        <w:t>coverage_factor = 0.5 + 0.5 × (k / K)   # range [0.5, 1.0]</w:t>
        <w:br/>
        <w:br/>
        <w:t>grade(c) = coverage_factor × Σ_m [ material_grade(c,m) × normalized_weight(m) ]</w:t>
      </w:r>
    </w:p>
    <w:p>
      <w:r>
        <w:rPr>
          <w:b w:val="0"/>
          <w:i/>
        </w:rPr>
        <w:t>Effect: A single-material shell with perfect lithium scores at most 0.75×100 = 75. A 4-material company with equivalent performance scores at most 1.0×100 = 100. Genuine multi-material companies are rewarded.</w:t>
      </w:r>
    </w:p>
    <w:p>
      <w:pPr>
        <w:pStyle w:val="Heading2"/>
      </w:pPr>
      <w:r>
        <w:rPr>
          <w:color w:val="4472C4"/>
        </w:rPr>
        <w:t>13.3 EPR Anchor Bands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Floor (→ grade 0)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Ceiling (→ grade 100)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target_tons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0.01 tonnes</w:t>
            </w:r>
          </w:p>
        </w:tc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101.9 tonnes</w:t>
            </w:r>
          </w:p>
        </w:tc>
        <w:tc>
          <w:tcPr>
            <w:tcW w:type="dxa" w:w="3744"/>
            <w:shd w:val="clear" w:color="auto" w:fill="DCE6F1"/>
          </w:tcPr>
          <w:p>
            <w:r>
              <w:rPr>
                <w:sz w:val="20"/>
              </w:rPr>
              <w:t>Real CPCB Li data: p75≈0.2t, p95≈7.8t, p99=101.9t, max=82,481t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credits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 tonnes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101.9 tonnes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Same bands for comparability</w:t>
            </w:r>
          </w:p>
        </w:tc>
      </w:tr>
    </w:tbl>
    <w:p>
      <w:pPr>
        <w:pStyle w:val="Heading2"/>
      </w:pPr>
      <w:r>
        <w:rPr>
          <w:color w:val="4472C4"/>
        </w:rPr>
        <w:t>13.4 Grade Labels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Grade Range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57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Sales Action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sz w:val="20"/>
              </w:rPr>
              <w:t>80 – 100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Top</w:t>
            </w:r>
          </w:p>
        </w:tc>
        <w:tc>
          <w:tcPr>
            <w:tcW w:type="dxa" w:w="5760"/>
            <w:shd w:val="clear" w:color="auto" w:fill="DCE6F1"/>
          </w:tcPr>
          <w:p>
            <w:r>
              <w:rPr>
                <w:sz w:val="20"/>
              </w:rPr>
              <w:t>Immediate outreach; highest EPR obligation + low credits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60 – 79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Priority follow-up within the week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sz w:val="20"/>
              </w:rPr>
              <w:t>35 – 59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5760"/>
            <w:shd w:val="clear" w:color="auto" w:fill="DCE6F1"/>
          </w:tcPr>
          <w:p>
            <w:r>
              <w:rPr>
                <w:sz w:val="20"/>
              </w:rPr>
              <w:t>Standard pipeline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5 – 34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Monitor; low obligation relative to sector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sz w:val="20"/>
              </w:rPr>
              <w:t>0 – 5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5760"/>
            <w:shd w:val="clear" w:color="auto" w:fill="DCE6F1"/>
          </w:tcPr>
          <w:p>
            <w:r>
              <w:rPr>
                <w:sz w:val="20"/>
              </w:rPr>
              <w:t>Zero/absent target; no EPR obligation data</w:t>
            </w:r>
          </w:p>
        </w:tc>
      </w:tr>
    </w:tbl>
    <w:p>
      <w:pPr>
        <w:pStyle w:val="Heading2"/>
      </w:pPr>
      <w:r>
        <w:rPr>
          <w:color w:val="4472C4"/>
        </w:rPr>
        <w:t>13.5 EPR Weight Normalization (Q10)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On save in Settings, target+credit weights are normalized to sum 1:</w:t>
        <w:br/>
        <w:t>wT = max(0, target_weight);  wC = max(0, credit_weight)</w:t>
        <w:br/>
        <w:t>total = wT + wC</w:t>
        <w:br/>
        <w:t>wT_normalized = wT / total;  wC_normalized = wC / total</w:t>
        <w:br/>
        <w:t># This guarantees max material_grade = 100, not 150.</w:t>
      </w:r>
    </w:p>
    <w:p>
      <w:pPr>
        <w:pStyle w:val="Heading2"/>
      </w:pPr>
      <w:r>
        <w:rPr>
          <w:color w:val="4472C4"/>
        </w:rPr>
        <w:t>13.6 New Data Model (Q6)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epr_materials</w:t>
            </w:r>
          </w:p>
        </w:tc>
        <w:tc>
          <w:tcPr>
            <w:tcW w:type="dxa" w:w="4032"/>
            <w:shd w:val="clear" w:color="auto" w:fill="DCE6F1"/>
          </w:tcPr>
          <w:p>
            <w:r>
              <w:rPr>
                <w:sz w:val="20"/>
              </w:rPr>
              <w:t>Material registry (Lithium, Cobalt, Nickel, Manganese)</w:t>
            </w:r>
          </w:p>
        </w:tc>
        <w:tc>
          <w:tcPr>
            <w:tcW w:type="dxa" w:w="3744"/>
            <w:shd w:val="clear" w:color="auto" w:fill="DCE6F1"/>
          </w:tcPr>
          <w:p>
            <w:r>
              <w:rPr>
                <w:sz w:val="20"/>
              </w:rPr>
              <w:t>slug, overall_weight, active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epr_company_materials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Per-material target/credits per company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company_id, material_id, target_tons (nullable), credits (nullable), parse_status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epr_companies</w:t>
            </w:r>
          </w:p>
        </w:tc>
        <w:tc>
          <w:tcPr>
            <w:tcW w:type="dxa" w:w="4032"/>
            <w:shd w:val="clear" w:color="auto" w:fill="DCE6F1"/>
          </w:tcPr>
          <w:p>
            <w:r>
              <w:rPr>
                <w:sz w:val="20"/>
              </w:rPr>
              <w:t>Company identity + materialized grade</w:t>
            </w:r>
          </w:p>
        </w:tc>
        <w:tc>
          <w:tcPr>
            <w:tcW w:type="dxa" w:w="3744"/>
            <w:shd w:val="clear" w:color="auto" w:fill="DCE6F1"/>
          </w:tcPr>
          <w:p>
            <w:r>
              <w:rPr>
                <w:sz w:val="20"/>
              </w:rPr>
              <w:t>grade, grade_label, scores_version, grade_breakdown_json</w:t>
            </w:r>
          </w:p>
        </w:tc>
      </w:tr>
    </w:tbl>
    <w:p>
      <w:r>
        <w:rPr>
          <w:b w:val="0"/>
          <w:i/>
        </w:rPr>
        <w:t>NULL target_tons = no data for this material (absent). 0.0 = explicitly reported zero. This distinction matters for scoring pool membership.</w:t>
      </w:r>
    </w:p>
    <w:p>
      <w:pPr>
        <w:pStyle w:val="Heading1"/>
      </w:pPr>
      <w:r>
        <w:rPr>
          <w:color w:val="1F4E79"/>
        </w:rPr>
        <w:t>14. Upload Deduplication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Hash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20"/>
              </w:rPr>
              <w:t>SHA256(file bytes)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Whole-file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Warn on re-upload of same 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SHA256(date+HSN6+seller+buyer+qty_kg+value_usd)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Per-row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Same shipment counts once across overlapping runs</w:t>
            </w:r>
          </w:p>
        </w:tc>
      </w:tr>
    </w:tbl>
    <w:p>
      <w:pPr>
        <w:pStyle w:val="Heading1"/>
      </w:pPr>
      <w:r>
        <w:rPr>
          <w:color w:val="1F4E79"/>
        </w:rPr>
        <w:t>15. PIN Security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stored = salt + ":" + SHA256(salt + pin)</w:t>
        <w:br/>
        <w:t>salt   = secrets.token_hex(8)   # random per save</w:t>
        <w:br/>
        <w:br/>
        <w:t>Verification: re-derive SHA256(salt + supplied_pin) and compare.</w:t>
        <w:br/>
        <w:t>Rate limiting: 5 failed attempts → 60-second lockout (per-origin, in-memory).</w:t>
        <w:br/>
        <w:t>Legacy plaintext fallback: if no ":" in stored, compare directly.</w:t>
      </w:r>
    </w:p>
    <w:p>
      <w:pPr>
        <w:pStyle w:val="Heading1"/>
      </w:pPr>
      <w:r>
        <w:rPr>
          <w:color w:val="1F4E79"/>
        </w:rPr>
        <w:t>16. NLP Chemical Matching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Pass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57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sz w:val="20"/>
              </w:rPr>
              <w:t>Direct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≥ 0.60</w:t>
            </w:r>
          </w:p>
        </w:tc>
        <w:tc>
          <w:tcPr>
            <w:tcW w:type="dxa" w:w="5760"/>
            <w:shd w:val="clear" w:color="auto" w:fill="DCE6F1"/>
          </w:tcPr>
          <w:p>
            <w:r>
              <w:rPr>
                <w:sz w:val="20"/>
              </w:rPr>
              <w:t>Matched to base portfolio entry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0.40 – 0.60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Matched but flagged for review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sz w:val="20"/>
              </w:rPr>
              <w:t>No match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&lt; 0.40</w:t>
            </w:r>
          </w:p>
        </w:tc>
        <w:tc>
          <w:tcPr>
            <w:tcW w:type="dxa" w:w="5760"/>
            <w:shd w:val="clear" w:color="auto" w:fill="DCE6F1"/>
          </w:tcPr>
          <w:p>
            <w:r>
              <w:rPr>
                <w:sz w:val="20"/>
              </w:rPr>
              <w:t>Opportunity chemical (clustered separately)</w:t>
            </w:r>
          </w:p>
        </w:tc>
      </w:tr>
    </w:tbl>
    <w:p>
      <w:r>
        <w:rPr>
          <w:b w:val="0"/>
          <w:i/>
        </w:rPr>
        <w:t>Uses difflib.SequenceMatcher on normalized, noise-stripped tokens. Chemical synonyms and spelling variants normalized before comparison.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