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0BC40" w14:textId="77777777" w:rsidR="008D74EE" w:rsidRDefault="008D74EE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MiniMines Sales Hub — Backend Logic &amp; Mathematical Reference</w:t>
      </w:r>
    </w:p>
    <w:p w14:paraId="4742D07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Engine Version:</w:t>
      </w:r>
      <w:r>
        <w:rPr>
          <w:rFonts w:ascii="Calibri" w:hAnsi="Calibri" w:cs="Calibri"/>
          <w:sz w:val="22"/>
          <w:szCs w:val="22"/>
        </w:rPr>
        <w:t xml:space="preserve"> 2 (implemented 2026-07-16) </w:t>
      </w:r>
      <w:r>
        <w:rPr>
          <w:rStyle w:val="Strong"/>
          <w:rFonts w:ascii="Calibri" w:hAnsi="Calibri" w:cs="Calibri"/>
          <w:sz w:val="22"/>
          <w:szCs w:val="22"/>
        </w:rPr>
        <w:t>Covers:</w:t>
      </w:r>
      <w:r>
        <w:rPr>
          <w:rFonts w:ascii="Calibri" w:hAnsi="Calibri" w:cs="Calibri"/>
          <w:sz w:val="22"/>
          <w:szCs w:val="22"/>
        </w:rPr>
        <w:t xml:space="preserve"> ATT Chemical Pipeline · Battery Procurement Pipeline · EPR Scoring · Feedback Adjustment</w:t>
      </w:r>
    </w:p>
    <w:p w14:paraId="69456B88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F41B7BB">
          <v:rect id="_x0000_i1025" style="width:0;height:1.5pt" o:hralign="center" o:hrstd="t" o:hr="t" fillcolor="#a0a0a0" stroked="f"/>
        </w:pict>
      </w:r>
    </w:p>
    <w:p w14:paraId="273B209E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Chemical ATT Score — Full Formula</w:t>
      </w:r>
    </w:p>
    <w:p w14:paraId="225F0991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\text{ATT}</w:t>
      </w:r>
      <w:r>
        <w:rPr>
          <w:rStyle w:val="Emphasis"/>
          <w:rFonts w:ascii="Calibri" w:hAnsi="Calibri" w:cs="Calibri"/>
          <w:sz w:val="22"/>
          <w:szCs w:val="22"/>
        </w:rPr>
        <w:t>{\text{final}} = \left(\sum</w:t>
      </w:r>
      <w:r>
        <w:rPr>
          <w:rFonts w:ascii="Calibri" w:hAnsi="Calibri" w:cs="Calibri"/>
          <w:sz w:val="22"/>
          <w:szCs w:val="22"/>
        </w:rPr>
        <w:t>{d} W_d \cdot \text{norm}</w:t>
      </w:r>
      <w:r>
        <w:rPr>
          <w:rStyle w:val="Emphasis"/>
          <w:rFonts w:ascii="Calibri" w:hAnsi="Calibri" w:cs="Calibri"/>
          <w:sz w:val="22"/>
          <w:szCs w:val="22"/>
        </w:rPr>
        <w:t>d\right) \times R + V</w:t>
      </w:r>
      <w:r>
        <w:rPr>
          <w:rFonts w:ascii="Calibri" w:hAnsi="Calibri" w:cs="Calibri"/>
          <w:sz w:val="22"/>
          <w:szCs w:val="22"/>
        </w:rPr>
        <w:t>{\text{mod}} + \text{Feedback Adj} $$</w:t>
      </w:r>
    </w:p>
    <w:p w14:paraId="32FED40C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Where: - $W_d$ = dimension weight (see §2) - $\text{norm}</w:t>
      </w:r>
      <w:r>
        <w:rPr>
          <w:rStyle w:val="Emphasis"/>
          <w:rFonts w:ascii="Calibri" w:hAnsi="Calibri" w:cs="Calibri"/>
          <w:sz w:val="22"/>
          <w:szCs w:val="22"/>
        </w:rPr>
        <w:t xml:space="preserve">d$ = normalized dimension score </w:t>
      </w:r>
      <w:r>
        <w:rPr>
          <w:rStyle w:val="Emphasis"/>
          <w:rFonts w:ascii="Cambria Math" w:hAnsi="Cambria Math" w:cs="Cambria Math"/>
          <w:sz w:val="22"/>
          <w:szCs w:val="22"/>
        </w:rPr>
        <w:t>∈</w:t>
      </w:r>
      <w:r>
        <w:rPr>
          <w:rStyle w:val="Emphasis"/>
          <w:rFonts w:ascii="Calibri" w:hAnsi="Calibri" w:cs="Calibri"/>
          <w:sz w:val="22"/>
          <w:szCs w:val="22"/>
        </w:rPr>
        <w:t xml:space="preserve"> [0, 100] </w:t>
      </w:r>
      <w:r>
        <w:rPr>
          <w:rStyle w:val="Emphasis"/>
          <w:rFonts w:ascii="Calibri" w:hAnsi="Calibri" w:cs="Calibri"/>
          <w:sz w:val="22"/>
          <w:szCs w:val="22"/>
        </w:rPr>
        <w:t xml:space="preserve">- $R$ = regulatory factor </w:t>
      </w:r>
      <w:r>
        <w:rPr>
          <w:rStyle w:val="Emphasis"/>
          <w:rFonts w:ascii="Cambria Math" w:hAnsi="Cambria Math" w:cs="Cambria Math"/>
          <w:sz w:val="22"/>
          <w:szCs w:val="22"/>
        </w:rPr>
        <w:t>∈</w:t>
      </w:r>
      <w:r>
        <w:rPr>
          <w:rStyle w:val="Emphasis"/>
          <w:rFonts w:ascii="Calibri" w:hAnsi="Calibri" w:cs="Calibri"/>
          <w:sz w:val="22"/>
          <w:szCs w:val="22"/>
        </w:rPr>
        <w:t xml:space="preserve"> {0.0, 0.3, 0.7, 1.0} - $V</w:t>
      </w:r>
      <w:r>
        <w:rPr>
          <w:rFonts w:ascii="Calibri" w:hAnsi="Calibri" w:cs="Calibri"/>
          <w:sz w:val="22"/>
          <w:szCs w:val="22"/>
        </w:rPr>
        <w:t xml:space="preserve">{\text{mod}}$ = variance modifier </w:t>
      </w:r>
      <w:r>
        <w:rPr>
          <w:rFonts w:ascii="Cambria Math" w:hAnsi="Cambria Math" w:cs="Cambria Math"/>
          <w:sz w:val="22"/>
          <w:szCs w:val="22"/>
        </w:rPr>
        <w:t>∈</w:t>
      </w:r>
      <w:r>
        <w:rPr>
          <w:rFonts w:ascii="Calibri" w:hAnsi="Calibri" w:cs="Calibri"/>
          <w:sz w:val="22"/>
          <w:szCs w:val="22"/>
        </w:rPr>
        <w:t xml:space="preserve"> {</w:t>
      </w:r>
      <w:r>
        <w:rPr>
          <w:rFonts w:ascii="Calibri" w:hAnsi="Calibri" w:cs="Calibri"/>
          <w:sz w:val="22"/>
          <w:szCs w:val="22"/>
        </w:rPr>
        <w:t>−</w:t>
      </w:r>
      <w:r>
        <w:rPr>
          <w:rFonts w:ascii="Calibri" w:hAnsi="Calibri" w:cs="Calibri"/>
          <w:sz w:val="22"/>
          <w:szCs w:val="22"/>
        </w:rPr>
        <w:t xml:space="preserve">10, 0, +5} - Feedback Adj = trader feedback adjustment </w:t>
      </w:r>
      <w:r>
        <w:rPr>
          <w:rFonts w:ascii="Cambria Math" w:hAnsi="Cambria Math" w:cs="Cambria Math"/>
          <w:sz w:val="22"/>
          <w:szCs w:val="22"/>
        </w:rPr>
        <w:t>∈</w:t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t>−</w:t>
      </w:r>
      <w:r>
        <w:rPr>
          <w:rFonts w:ascii="Calibri" w:hAnsi="Calibri" w:cs="Calibri"/>
          <w:sz w:val="22"/>
          <w:szCs w:val="22"/>
        </w:rPr>
        <w:t>5, +5]</w:t>
      </w:r>
    </w:p>
    <w:p w14:paraId="7519981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Tiers:</w:t>
      </w:r>
      <w:r>
        <w:rPr>
          <w:rFonts w:ascii="Calibri" w:hAnsi="Calibri" w:cs="Calibri"/>
          <w:sz w:val="22"/>
          <w:szCs w:val="22"/>
        </w:rPr>
        <w:t xml:space="preserve"> A ≥ 70 · B ≥ 40 · C &lt; 40</w:t>
      </w:r>
    </w:p>
    <w:p w14:paraId="71EB977E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732785F">
          <v:rect id="_x0000_i1026" style="width:0;height:1.5pt" o:hralign="center" o:hrstd="t" o:hr="t" fillcolor="#a0a0a0" stroked="f"/>
        </w:pict>
      </w:r>
    </w:p>
    <w:p w14:paraId="761FBC60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Dimension Weights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308"/>
        <w:gridCol w:w="3545"/>
        <w:gridCol w:w="3321"/>
      </w:tblGrid>
      <w:tr w:rsidR="00000000" w14:paraId="3A325083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A8A959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19A0FF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Weight ($W_d$)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E64049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Raw Formula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E122C1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Normalization Method</w:t>
            </w:r>
          </w:p>
        </w:tc>
      </w:tr>
      <w:tr w:rsidR="00000000" w14:paraId="534085E8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747897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volume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E720FF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0.15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8DC7B1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qty (kg) across all shipments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D6ABF7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 (§3)</w:t>
            </w:r>
          </w:p>
        </w:tc>
      </w:tr>
      <w:tr w:rsidR="00000000" w14:paraId="7F045EEA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D5E064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price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B2381F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0.20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C3DFF8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Median price × total qty (USD value proxy)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17FCDB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 (§3)</w:t>
            </w:r>
          </w:p>
        </w:tc>
      </w:tr>
      <w:tr w:rsidR="00000000" w14:paraId="72E8FAA2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5BA2AF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buyers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210595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0.15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841581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Composite: buyer count, fragmentation, countries, repeat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DDD6E9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 on counts + direct on bounded sub-terms (§4)</w:t>
            </w:r>
          </w:p>
        </w:tc>
      </w:tr>
      <w:tr w:rsidR="00000000" w14:paraId="5544E2A5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EE4203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suppliers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0B5F36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F48245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Composite: seller count, India share, source countries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DA6061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 on counts + direct (§4)</w:t>
            </w:r>
          </w:p>
        </w:tc>
      </w:tr>
      <w:tr w:rsidR="00000000" w14:paraId="1457E09E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EB7AD8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trend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78A03B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4BD693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Clamp(0, 100, 50 + growth_rate × 500)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17AF00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use (already 0–100)</w:t>
            </w:r>
          </w:p>
        </w:tc>
      </w:tr>
      <w:tr w:rsidR="00000000" w14:paraId="1A6CB8F5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A50C260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lastRenderedPageBreak/>
              <w:t>structure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73DA07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241A28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0.5 × (1−HHI) × 100 + 0.5 × min(1, freq/50) × 100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B06440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use (already 0–100)</w:t>
            </w:r>
          </w:p>
        </w:tc>
      </w:tr>
      <w:tr w:rsidR="00000000" w14:paraId="48DD7B8F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8003E8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freedom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C6AE13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B4EA23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Weighted average of country EASE scores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2B3054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use (already 0–100)</w:t>
            </w:r>
          </w:p>
        </w:tc>
      </w:tr>
      <w:tr w:rsidR="00000000" w14:paraId="7BBF7D89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3D9FAD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barrier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C78AE1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0.10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CBAC99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100 − regulatory_penalty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4D3C87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use (already 0–100)</w:t>
            </w:r>
          </w:p>
        </w:tc>
      </w:tr>
    </w:tbl>
    <w:p w14:paraId="7C3FE308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Sum of weights = 1.00</w:t>
      </w:r>
    </w:p>
    <w:p w14:paraId="39F5AA42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6409CAC">
          <v:rect id="_x0000_i1027" style="width:0;height:1.5pt" o:hralign="center" o:hrstd="t" o:hr="t" fillcolor="#a0a0a0" stroked="f"/>
        </w:pict>
      </w:r>
    </w:p>
    <w:p w14:paraId="209185AA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Log-Anchor Transform (Engine v2 Core)</w:t>
      </w:r>
    </w:p>
    <w:p w14:paraId="09C17C84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unbounded, right-skewed raw values (kilograms, USD amounts, entity counts):</w:t>
      </w:r>
    </w:p>
    <w:p w14:paraId="5ED27871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\text{score}(v) = 100 \times \text{clamp}!\left(0, 1, \frac{\log_1(v + 1) - \log_1(\text{floor} + 1)}{\log_1(\text{ceiling} + 1) - \log_1(\text{floor} + 1)}\right) $$</w:t>
      </w:r>
    </w:p>
    <w:p w14:paraId="4B63727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</w:t>
      </w:r>
      <w:r>
        <w:rPr>
          <w:rStyle w:val="HTMLCode"/>
        </w:rPr>
        <w:t>log1(x) = log(x + 1)</w:t>
      </w:r>
      <w:r>
        <w:rPr>
          <w:rFonts w:ascii="Calibri" w:hAnsi="Calibri" w:cs="Calibri"/>
          <w:sz w:val="22"/>
          <w:szCs w:val="22"/>
        </w:rPr>
        <w:t xml:space="preserve"> (log1p). Properties: - </w:t>
      </w:r>
      <w:r>
        <w:rPr>
          <w:rStyle w:val="Strong"/>
          <w:rFonts w:ascii="Calibri" w:hAnsi="Calibri" w:cs="Calibri"/>
          <w:sz w:val="22"/>
          <w:szCs w:val="22"/>
        </w:rPr>
        <w:t>Deterministic:</w:t>
      </w:r>
      <w:r>
        <w:rPr>
          <w:rFonts w:ascii="Calibri" w:hAnsi="Calibri" w:cs="Calibri"/>
          <w:sz w:val="22"/>
          <w:szCs w:val="22"/>
        </w:rPr>
        <w:t xml:space="preserve"> score is a pure function of the raw value alone — no sort, no rank, no cohort dependence - </w:t>
      </w:r>
      <w:r>
        <w:rPr>
          <w:rStyle w:val="Strong"/>
          <w:rFonts w:ascii="Calibri" w:hAnsi="Calibri" w:cs="Calibri"/>
          <w:sz w:val="22"/>
          <w:szCs w:val="22"/>
        </w:rPr>
        <w:t>Bounded: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always in [0, 100] regardless of input - </w:t>
      </w:r>
      <w:r>
        <w:rPr>
          <w:rStyle w:val="Strong"/>
          <w:rFonts w:ascii="Calibri" w:hAnsi="Calibri" w:cs="Calibri"/>
          <w:sz w:val="22"/>
          <w:szCs w:val="22"/>
        </w:rPr>
        <w:t>Tied inputs → tied scores:</w:t>
      </w:r>
      <w:r>
        <w:rPr>
          <w:rFonts w:ascii="Calibri" w:hAnsi="Calibri" w:cs="Calibri"/>
          <w:sz w:val="22"/>
          <w:szCs w:val="22"/>
        </w:rPr>
        <w:t xml:space="preserve"> removes the lottery problem from percentile ranking - </w:t>
      </w:r>
      <w:r>
        <w:rPr>
          <w:rStyle w:val="Strong"/>
          <w:rFonts w:ascii="Calibri" w:hAnsi="Calibri" w:cs="Calibri"/>
          <w:sz w:val="22"/>
          <w:szCs w:val="22"/>
        </w:rPr>
        <w:t>Admin-editable:</w:t>
      </w:r>
      <w:r>
        <w:rPr>
          <w:rFonts w:ascii="Calibri" w:hAnsi="Calibri" w:cs="Calibri"/>
          <w:sz w:val="22"/>
          <w:szCs w:val="22"/>
        </w:rPr>
        <w:t xml:space="preserve"> floor and ceiling are settings, not hardcoded</w:t>
      </w:r>
    </w:p>
    <w:p w14:paraId="412C5E1C" w14:textId="77777777" w:rsidR="008D74EE" w:rsidRDefault="008D74E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ATT Chemical Anchor Bands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1679"/>
        <w:gridCol w:w="2059"/>
        <w:gridCol w:w="3581"/>
      </w:tblGrid>
      <w:tr w:rsidR="00000000" w14:paraId="49C122CF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E23283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5C9DFB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Floor (→ score 0)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C97D88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Ceiling (→ score 100)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85B831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Source</w:t>
            </w:r>
          </w:p>
        </w:tc>
      </w:tr>
      <w:tr w:rsidR="00000000" w14:paraId="04E6E5DE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161390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volume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(kg)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9D6064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10 kg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2BCB7B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50,000,000 kg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CE128C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p95 of run-2 data (n=75 chemicals)</w:t>
            </w:r>
          </w:p>
        </w:tc>
      </w:tr>
      <w:tr w:rsidR="00000000" w14:paraId="4C4844B6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90D3244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price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(USD value)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A4E3284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$1,000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4F4EDA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$250,000,000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34E420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p95 of run-2 data</w:t>
            </w:r>
          </w:p>
        </w:tc>
      </w:tr>
      <w:tr w:rsidR="00000000" w14:paraId="582A9B74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B80D41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buyers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: n_buyers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855EF6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3CEAD0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580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AD067C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p95</w:t>
            </w:r>
          </w:p>
        </w:tc>
      </w:tr>
      <w:tr w:rsidR="00000000" w14:paraId="387EBBA0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59AA0B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lastRenderedPageBreak/>
              <w:t>buyers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: n_countries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8142B5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8CFEF3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76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C19E54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p95</w:t>
            </w:r>
          </w:p>
        </w:tc>
      </w:tr>
      <w:tr w:rsidR="00000000" w14:paraId="1AC0B27A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0F0BE5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suppliers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: n_sellers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EC2176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709569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430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C4B95D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p95</w:t>
            </w:r>
          </w:p>
        </w:tc>
      </w:tr>
    </w:tbl>
    <w:p w14:paraId="6D8BA379" w14:textId="77777777" w:rsidR="008D74EE" w:rsidRDefault="008D74E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Battery Procurement Anchor Bands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1"/>
        <w:gridCol w:w="715"/>
        <w:gridCol w:w="1519"/>
        <w:gridCol w:w="4359"/>
      </w:tblGrid>
      <w:tr w:rsidR="00000000" w14:paraId="10F878F8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10B38C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68E838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Floor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458022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Ceiling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F5813B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Source</w:t>
            </w:r>
          </w:p>
        </w:tc>
      </w:tr>
      <w:tr w:rsidR="00000000" w14:paraId="77900E1D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7458BC0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volume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(qty_kg)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20F0D6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 kg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683162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50,000 kg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DF5537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p97 of run-6 supplier data (n≈10,333)</w:t>
            </w:r>
          </w:p>
        </w:tc>
      </w:tr>
      <w:tr w:rsidR="00000000" w14:paraId="43F56B26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C7A618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reliability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(shipments)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DFD312B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5541B7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50 shipments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6AE335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Real p97 of run-6</w:t>
            </w:r>
          </w:p>
        </w:tc>
      </w:tr>
    </w:tbl>
    <w:p w14:paraId="391C6E04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7C722E3">
          <v:rect id="_x0000_i1028" style="width:0;height:1.5pt" o:hralign="center" o:hrstd="t" o:hr="t" fillcolor="#a0a0a0" stroked="f"/>
        </w:pict>
      </w:r>
    </w:p>
    <w:p w14:paraId="12B567CC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Buyers &amp; Suppliers Composite Score</w:t>
      </w:r>
    </w:p>
    <w:p w14:paraId="545BB681" w14:textId="77777777" w:rsidR="008D74EE" w:rsidRDefault="008D74E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Buyers (</w:t>
      </w:r>
      <w:r>
        <w:rPr>
          <w:rStyle w:val="HTMLCode"/>
        </w:rPr>
        <w:t>norm_buyers</w:t>
      </w:r>
      <w:r>
        <w:rPr>
          <w:rFonts w:ascii="Calibri" w:eastAsia="Times New Roman" w:hAnsi="Calibri" w:cs="Calibri"/>
        </w:rPr>
        <w:t>)</w:t>
      </w:r>
    </w:p>
    <w:p w14:paraId="5D7551F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\text{buyers_raw} = 0.3 \cdot n_{\text{buyers}} + 0.3 \cdot \text{frag} \cdot 100 + 0.2 \cdot n_{\text{countries}} \cdot 5 + 0.2 \cdot \text{repeat_pct} \cdot 100 $$</w:t>
      </w:r>
    </w:p>
    <w:p w14:paraId="78D59E0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 Engine v2, the open-ended sub-terms are log-anchored before combining:</w:t>
      </w:r>
    </w:p>
    <w:p w14:paraId="361B9E8D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\text{buyers_norm} = 0.3 \cdot \text{LA}(n_{\text{buyers}}, 0, 580) + 0.3 \cdot \text{frag} \cdot 100 + 0.2 \cdot \text{LA}(n_{\text{countries}}, 0, 76) + 0.2 \cdot \text{repeat_pct} \cdot 100 $$</w:t>
      </w:r>
    </w:p>
    <w:p w14:paraId="5C9E496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LA(v, floor, ceiling) = </w:t>
      </w:r>
      <w:r>
        <w:rPr>
          <w:rStyle w:val="HTMLCode"/>
        </w:rPr>
        <w:t>_log_anchor_score(v, floor, ceiling)</w:t>
      </w:r>
      <w:r>
        <w:rPr>
          <w:rFonts w:ascii="Calibri" w:hAnsi="Calibri" w:cs="Calibri"/>
          <w:sz w:val="22"/>
          <w:szCs w:val="22"/>
        </w:rPr>
        <w:t>.</w:t>
      </w:r>
    </w:p>
    <w:p w14:paraId="3F721D5A" w14:textId="77777777" w:rsidR="008D74EE" w:rsidRDefault="008D74E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frag</w:t>
      </w:r>
      <w:r>
        <w:rPr>
          <w:rFonts w:ascii="Calibri" w:eastAsia="Times New Roman" w:hAnsi="Calibri" w:cs="Calibri"/>
          <w:sz w:val="22"/>
          <w:szCs w:val="22"/>
        </w:rPr>
        <w:t xml:space="preserve"> = 1 − HHI (Herfindahl-Hirschman Index); HHI = sum of squared market shares across buyers</w:t>
      </w:r>
    </w:p>
    <w:p w14:paraId="17DCDCFD" w14:textId="77777777" w:rsidR="008D74EE" w:rsidRDefault="008D74E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repeat_pct</w:t>
      </w:r>
      <w:r>
        <w:rPr>
          <w:rFonts w:ascii="Calibri" w:eastAsia="Times New Roman" w:hAnsi="Calibri" w:cs="Calibri"/>
          <w:sz w:val="22"/>
          <w:szCs w:val="22"/>
        </w:rPr>
        <w:t xml:space="preserve"> = fraction of buyers with &gt; 1 shipment</w:t>
      </w:r>
    </w:p>
    <w:p w14:paraId="0F16A0D7" w14:textId="77777777" w:rsidR="008D74EE" w:rsidRDefault="008D74EE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Suppliers (</w:t>
      </w:r>
      <w:r>
        <w:rPr>
          <w:rStyle w:val="HTMLCode"/>
        </w:rPr>
        <w:t>norm_suppliers</w:t>
      </w:r>
      <w:r>
        <w:rPr>
          <w:rFonts w:ascii="Calibri" w:eastAsia="Times New Roman" w:hAnsi="Calibri" w:cs="Calibri"/>
        </w:rPr>
        <w:t>)</w:t>
      </w:r>
    </w:p>
    <w:p w14:paraId="72252428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\text{suppliers_norm} = 0.4 \cdot \text{LA}(n_{\text{sellers}}, 0, 430) + 0.3 \cdot \text{india_pct} \cdot 100 + 0.3 \cdot \text{LA}(n_{\text{countries}}, 0, 76) $$</w:t>
      </w:r>
    </w:p>
    <w:p w14:paraId="15E8FA63" w14:textId="77777777" w:rsidR="008D74EE" w:rsidRDefault="008D74E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india_pct</w:t>
      </w:r>
      <w:r>
        <w:rPr>
          <w:rFonts w:ascii="Calibri" w:eastAsia="Times New Roman" w:hAnsi="Calibri" w:cs="Calibri"/>
          <w:sz w:val="22"/>
          <w:szCs w:val="22"/>
        </w:rPr>
        <w:t xml:space="preserve"> = fraction of shipments where seller country = India</w:t>
      </w:r>
    </w:p>
    <w:p w14:paraId="25DA5227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pict w14:anchorId="2D924558">
          <v:rect id="_x0000_i1029" style="width:0;height:1.5pt" o:hralign="center" o:hrstd="t" o:hr="t" fillcolor="#a0a0a0" stroked="f"/>
        </w:pict>
      </w:r>
    </w:p>
    <w:p w14:paraId="438E5FC2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Trend Score</w:t>
      </w:r>
    </w:p>
    <w:p w14:paraId="47FC7B27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\text{trend_raw} = \text{clamp}(0, 100, 50 + \text{growth_rate} \times 500) $$</w:t>
      </w:r>
    </w:p>
    <w:p w14:paraId="3C0D73AA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</w:t>
      </w:r>
      <w:r>
        <w:rPr>
          <w:rStyle w:val="HTMLCode"/>
        </w:rPr>
        <w:t>growth_rate</w:t>
      </w:r>
      <w:r>
        <w:rPr>
          <w:rFonts w:ascii="Calibri" w:hAnsi="Calibri" w:cs="Calibri"/>
          <w:sz w:val="22"/>
          <w:szCs w:val="22"/>
        </w:rPr>
        <w:t xml:space="preserve"> is the slope of a linear regression over monthly shipment counts, fitted on months NOT in </w:t>
      </w:r>
      <w:r>
        <w:rPr>
          <w:rStyle w:val="HTMLCode"/>
        </w:rPr>
        <w:t>trend_exclude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and NOT in the current calendar month (auto-excluded as partial data).</w:t>
      </w:r>
    </w:p>
    <w:p w14:paraId="6B1B1B3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Effective trend_exclude:</w:t>
      </w:r>
    </w:p>
    <w:p w14:paraId="09EF3039" w14:textId="77777777" w:rsidR="008D74EE" w:rsidRDefault="008D74EE">
      <w:pPr>
        <w:pStyle w:val="HTMLPreformatted"/>
        <w:rPr>
          <w:rStyle w:val="HTMLCode"/>
        </w:rPr>
      </w:pPr>
      <w:r>
        <w:rPr>
          <w:rStyle w:val="HTMLCode"/>
        </w:rPr>
        <w:t xml:space="preserve">effective = user_configured_months </w:t>
      </w:r>
      <w:r>
        <w:rPr>
          <w:rStyle w:val="HTMLCode"/>
          <w:rFonts w:ascii="Cambria Math" w:hAnsi="Cambria Math" w:cs="Cambria Math"/>
        </w:rPr>
        <w:t>∪</w:t>
      </w:r>
      <w:r>
        <w:rPr>
          <w:rStyle w:val="HTMLCode"/>
        </w:rPr>
        <w:t xml:space="preserve"> {current_calendar_month}</w:t>
      </w:r>
    </w:p>
    <w:p w14:paraId="3819B347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Trend direction label</w:t>
      </w:r>
      <w:r>
        <w:rPr>
          <w:rFonts w:ascii="Calibri" w:hAnsi="Calibri" w:cs="Calibri"/>
          <w:sz w:val="22"/>
          <w:szCs w:val="22"/>
        </w:rPr>
        <w:t xml:space="preserve"> (shown in UI, separately computed): - Last 6 months avg vs. prior 6 months avg (using the same effective exclusion set) - Growth &gt; 5% → "Growing" · &lt; −5% → "Declining" · else "Stable"</w:t>
      </w:r>
    </w:p>
    <w:p w14:paraId="4CFF89F4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F7B0394">
          <v:rect id="_x0000_i1030" style="width:0;height:1.5pt" o:hralign="center" o:hrstd="t" o:hr="t" fillcolor="#a0a0a0" stroked="f"/>
        </w:pict>
      </w:r>
    </w:p>
    <w:p w14:paraId="025C2358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Structure Score</w:t>
      </w:r>
    </w:p>
    <w:p w14:paraId="23C4A84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$$ </w:t>
      </w:r>
      <w:r>
        <w:rPr>
          <w:rFonts w:ascii="Calibri" w:hAnsi="Calibri" w:cs="Calibri"/>
          <w:sz w:val="22"/>
          <w:szCs w:val="22"/>
        </w:rPr>
        <w:t>\text{structure} = 0.5 \times (1 - \text{HHI}) \times 100 + 0.5 \times \min!\left(1, \frac{\text{freq}}{50}\right) \times 100 $$</w:t>
      </w:r>
    </w:p>
    <w:p w14:paraId="4A79A12A" w14:textId="77777777" w:rsidR="008D74EE" w:rsidRDefault="008D74E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HHI</w:t>
      </w:r>
      <w:r>
        <w:rPr>
          <w:rFonts w:ascii="Calibri" w:eastAsia="Times New Roman" w:hAnsi="Calibri" w:cs="Calibri"/>
          <w:sz w:val="22"/>
          <w:szCs w:val="22"/>
        </w:rPr>
        <w:t xml:space="preserve"> = Herfindahl-Hirschman Index on buyer market shares (0 = fully fragmented, 1 = monopoly)</w:t>
      </w:r>
    </w:p>
    <w:p w14:paraId="37289728" w14:textId="77777777" w:rsidR="008D74EE" w:rsidRDefault="008D74E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freq</w:t>
      </w:r>
      <w:r>
        <w:rPr>
          <w:rFonts w:ascii="Calibri" w:eastAsia="Times New Roman" w:hAnsi="Calibri" w:cs="Calibri"/>
          <w:sz w:val="22"/>
          <w:szCs w:val="22"/>
        </w:rPr>
        <w:t xml:space="preserve"> = number of unique trading months (capped at 50 for full score)</w:t>
      </w:r>
    </w:p>
    <w:p w14:paraId="2B3BBDA3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D4530F7">
          <v:rect id="_x0000_i1031" style="width:0;height:1.5pt" o:hralign="center" o:hrstd="t" o:hr="t" fillcolor="#a0a0a0" stroked="f"/>
        </w:pict>
      </w:r>
    </w:p>
    <w:p w14:paraId="2DE6E378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Freedom Score</w:t>
      </w:r>
    </w:p>
    <w:p w14:paraId="0DB1307D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\text{freedom} = \frac{\sum_{c \in \text{countries}} \text{shipments}</w:t>
      </w:r>
      <w:r>
        <w:rPr>
          <w:rStyle w:val="Emphasis"/>
          <w:rFonts w:ascii="Calibri" w:hAnsi="Calibri" w:cs="Calibri"/>
          <w:sz w:val="22"/>
          <w:szCs w:val="22"/>
        </w:rPr>
        <w:t>c \times \text{EASE}[c]}{\sum</w:t>
      </w:r>
      <w:r>
        <w:rPr>
          <w:rFonts w:ascii="Calibri" w:hAnsi="Calibri" w:cs="Calibri"/>
          <w:sz w:val="22"/>
          <w:szCs w:val="22"/>
        </w:rPr>
        <w:t>{c} \text{shipments}_c} $$</w:t>
      </w:r>
    </w:p>
    <w:p w14:paraId="619DE03C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EASE = pre-scored country ease-of-trade index (5–95 scale). Selected values: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8"/>
        <w:gridCol w:w="1986"/>
      </w:tblGrid>
      <w:tr w:rsidR="00000000" w14:paraId="28DA91B0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0B039D0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Country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3A69624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EASE</w:t>
            </w:r>
          </w:p>
        </w:tc>
      </w:tr>
      <w:tr w:rsidR="00000000" w14:paraId="690E4CC7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413CB2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India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665C39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95</w:t>
            </w:r>
          </w:p>
        </w:tc>
      </w:tr>
      <w:tr w:rsidR="00000000" w14:paraId="24E6BB8D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4A459F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Singapore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01C333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92</w:t>
            </w:r>
          </w:p>
        </w:tc>
      </w:tr>
      <w:tr w:rsidR="00000000" w14:paraId="2699E837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2B5C486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Germany / UK / Netherlands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2411A4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90</w:t>
            </w:r>
          </w:p>
        </w:tc>
      </w:tr>
      <w:tr w:rsidR="00000000" w14:paraId="2E6875D7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96E585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United States / Canada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93F59E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85–90</w:t>
            </w:r>
          </w:p>
        </w:tc>
      </w:tr>
      <w:tr w:rsidR="00000000" w14:paraId="084B6042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87D962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China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4F6BA0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70</w:t>
            </w:r>
          </w:p>
        </w:tc>
      </w:tr>
      <w:tr w:rsidR="00000000" w14:paraId="207C443A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EB882E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Russia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7833B0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30</w:t>
            </w:r>
          </w:p>
        </w:tc>
      </w:tr>
      <w:tr w:rsidR="00000000" w14:paraId="1FD1B815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A521FE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Iran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B9E37D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15</w:t>
            </w:r>
          </w:p>
        </w:tc>
      </w:tr>
      <w:tr w:rsidR="00000000" w14:paraId="37B11B72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B8FCA35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North Korea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64D1F2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</w:tr>
    </w:tbl>
    <w:p w14:paraId="2076BD0E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274324C">
          <v:rect id="_x0000_i1032" style="width:0;height:1.5pt" o:hralign="center" o:hrstd="t" o:hr="t" fillcolor="#a0a0a0" stroked="f"/>
        </w:pict>
      </w:r>
    </w:p>
    <w:p w14:paraId="063F975C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Barrier Score</w:t>
      </w:r>
    </w:p>
    <w:p w14:paraId="509E4CA8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\text{barrier} = 100 - \text{penalty} $$</w:t>
      </w:r>
    </w:p>
    <w:p w14:paraId="63EFB7A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Penalty lookup: - Chemical name in </w:t>
      </w:r>
      <w:r>
        <w:rPr>
          <w:rStyle w:val="Strong"/>
          <w:rFonts w:ascii="Calibri" w:hAnsi="Calibri" w:cs="Calibri"/>
          <w:sz w:val="22"/>
          <w:szCs w:val="22"/>
        </w:rPr>
        <w:t>banned</w:t>
      </w:r>
      <w:r>
        <w:rPr>
          <w:rFonts w:ascii="Calibri" w:hAnsi="Calibri" w:cs="Calibri"/>
          <w:sz w:val="22"/>
          <w:szCs w:val="22"/>
        </w:rPr>
        <w:t xml:space="preserve"> list (mercury compounds, arsenic compounds, etc.) → penalty = 100 (score = 0) - Chemical name in </w:t>
      </w:r>
      <w:r>
        <w:rPr>
          <w:rStyle w:val="Strong"/>
          <w:rFonts w:ascii="Calibri" w:hAnsi="Calibri" w:cs="Calibri"/>
          <w:sz w:val="22"/>
          <w:szCs w:val="22"/>
        </w:rPr>
        <w:t>restricted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list (cadmium, lead, chromium VI, beryllium, cobalt compounds, etc.) → penalty = 70 (score = 30 before reg_factor) - Chemical name in </w:t>
      </w:r>
      <w:r>
        <w:rPr>
          <w:rStyle w:val="Strong"/>
          <w:rFonts w:ascii="Calibri" w:hAnsi="Calibri" w:cs="Calibri"/>
          <w:sz w:val="22"/>
          <w:szCs w:val="22"/>
        </w:rPr>
        <w:t>conditional</w:t>
      </w:r>
      <w:r>
        <w:rPr>
          <w:rFonts w:ascii="Calibri" w:hAnsi="Calibri" w:cs="Calibri"/>
          <w:sz w:val="22"/>
          <w:szCs w:val="22"/>
        </w:rPr>
        <w:t xml:space="preserve"> list (HF acid, cyanides, phosgene, etc.) → penalty = 30 (score = 70) - Not listed → penalty = 0 (score = 100)</w:t>
      </w:r>
    </w:p>
    <w:p w14:paraId="7E6452DB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EBA5AC9">
          <v:rect id="_x0000_i1033" style="width:0;height:1.5pt" o:hralign="center" o:hrstd="t" o:hr="t" fillcolor="#a0a0a0" stroked="f"/>
        </w:pict>
      </w:r>
    </w:p>
    <w:p w14:paraId="69CBA4AD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Regulatory Factor ($R$)</w:t>
      </w:r>
    </w:p>
    <w:p w14:paraId="44796A46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Applied as a multiplier to the weighted sum before variance and feedback: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4"/>
        <w:gridCol w:w="2220"/>
      </w:tblGrid>
      <w:tr w:rsidR="00000000" w14:paraId="2876AB37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0EEC8B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396BA5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Factor $R$</w:t>
            </w:r>
          </w:p>
        </w:tc>
      </w:tr>
      <w:tr w:rsidR="00000000" w14:paraId="3BBD4CE8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B93309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Banned (global bans, severe toxicity)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8BC52B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0.0</w:t>
            </w:r>
          </w:p>
        </w:tc>
      </w:tr>
      <w:tr w:rsidR="00000000" w14:paraId="2FC88C63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83C3CB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Restricted (REACH SVHC, heavy metals)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9F3246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0.3</w:t>
            </w:r>
          </w:p>
        </w:tc>
      </w:tr>
      <w:tr w:rsidR="00000000" w14:paraId="5DD9AD6E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BBE8D4E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Conditional (licensed/special handling)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83FACE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0.7</w:t>
            </w:r>
          </w:p>
        </w:tc>
      </w:tr>
      <w:tr w:rsidR="00000000" w14:paraId="176FE4D9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2DF2AA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Clean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675274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1.0</w:t>
            </w:r>
          </w:p>
        </w:tc>
      </w:tr>
    </w:tbl>
    <w:p w14:paraId="3AAB2975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E39AE4E">
          <v:rect id="_x0000_i1034" style="width:0;height:1.5pt" o:hralign="center" o:hrstd="t" o:hr="t" fillcolor="#a0a0a0" stroked="f"/>
        </w:pict>
      </w:r>
    </w:p>
    <w:p w14:paraId="53623210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Variance Modifier ($V_{\text{mod}}$)</w:t>
      </w:r>
    </w:p>
    <w:p w14:paraId="7927715E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Classifies price variance into opportunity vs. risk:</w:t>
      </w:r>
    </w:p>
    <w:p w14:paraId="79351004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V_{\text{mod}} = \begin{cases} +5 &amp; \text{if variance_type = opportunity} \ -10 &amp; \text{if variance_type = risk} \ 0 &amp; \text{if stable} \end{cases} $$</w:t>
      </w:r>
    </w:p>
    <w:p w14:paraId="03B466D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Classification logic:</w:t>
      </w:r>
      <w:r>
        <w:rPr>
          <w:rFonts w:ascii="Calibri" w:hAnsi="Calibri" w:cs="Calibri"/>
          <w:sz w:val="22"/>
          <w:szCs w:val="22"/>
        </w:rPr>
        <w:t xml:space="preserve"> - Compute temporal IQR (price swings across months) and geographic IQR (price spread across countries) - If geo_iqr &gt; temporal_iqr × 1.2 → </w:t>
      </w:r>
      <w:r>
        <w:rPr>
          <w:rStyle w:val="Strong"/>
          <w:rFonts w:ascii="Calibri" w:hAnsi="Calibri" w:cs="Calibri"/>
          <w:sz w:val="22"/>
          <w:szCs w:val="22"/>
        </w:rPr>
        <w:t>opportunity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(geographic price differences dominate → arbitrage potential) - If temporal_iqr &gt; geo_iqr × 1.2 → </w:t>
      </w:r>
      <w:r>
        <w:rPr>
          <w:rStyle w:val="Strong"/>
          <w:rFonts w:ascii="Calibri" w:hAnsi="Calibri" w:cs="Calibri"/>
          <w:sz w:val="22"/>
          <w:szCs w:val="22"/>
        </w:rPr>
        <w:t>risk</w:t>
      </w:r>
      <w:r>
        <w:rPr>
          <w:rFonts w:ascii="Calibri" w:hAnsi="Calibri" w:cs="Calibri"/>
          <w:sz w:val="22"/>
          <w:szCs w:val="22"/>
        </w:rPr>
        <w:t xml:space="preserve"> (temporal swings dominate → instability) - Otherwise → </w:t>
      </w:r>
      <w:r>
        <w:rPr>
          <w:rStyle w:val="Strong"/>
          <w:rFonts w:ascii="Calibri" w:hAnsi="Calibri" w:cs="Calibri"/>
          <w:sz w:val="22"/>
          <w:szCs w:val="22"/>
        </w:rPr>
        <w:t>stable</w:t>
      </w:r>
    </w:p>
    <w:p w14:paraId="3AD8E8B1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Price data is cleaned before classification: IQR×1.5 outlier trim, then 5th/95th percentile winsorization (applied when n ≥ 10).</w:t>
      </w:r>
    </w:p>
    <w:p w14:paraId="2E63B1CF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5E0C5A5">
          <v:rect id="_x0000_i1035" style="width:0;height:1.5pt" o:hralign="center" o:hrstd="t" o:hr="t" fillcolor="#a0a0a0" stroked="f"/>
        </w:pict>
      </w:r>
    </w:p>
    <w:p w14:paraId="41A90E11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Trader Feedback Adjustment</w:t>
      </w:r>
    </w:p>
    <w:p w14:paraId="0D8D810A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Applied additively after all pipeline scoring, per chemical:</w:t>
      </w:r>
    </w:p>
    <w:p w14:paraId="089C0E77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\text{Feedback Adj} = \text{clamp}!\left(-5, +5, \sum_{u} \text{vote_effect}(u)\right) $$</w:t>
      </w:r>
    </w:p>
    <w:p w14:paraId="65E396B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one vote per </w:t>
      </w:r>
      <w:r>
        <w:rPr>
          <w:rStyle w:val="HTMLCode"/>
        </w:rPr>
        <w:t>(user_name, chemical)</w:t>
      </w:r>
      <w:r>
        <w:rPr>
          <w:rFonts w:ascii="Calibri" w:hAnsi="Calibri" w:cs="Calibri"/>
          <w:sz w:val="22"/>
          <w:szCs w:val="22"/>
        </w:rPr>
        <w:t xml:space="preserve"> is kept (upsert — not accumulated). Anonymous votes (</w:t>
      </w:r>
      <w:r>
        <w:rPr>
          <w:rStyle w:val="HTMLCode"/>
        </w:rPr>
        <w:t>user_name = ''</w:t>
      </w:r>
      <w:r>
        <w:rPr>
          <w:rFonts w:ascii="Calibri" w:hAnsi="Calibri" w:cs="Calibri"/>
          <w:sz w:val="22"/>
          <w:szCs w:val="22"/>
        </w:rPr>
        <w:t xml:space="preserve">) are </w:t>
      </w:r>
      <w:r>
        <w:rPr>
          <w:rStyle w:val="Strong"/>
          <w:rFonts w:ascii="Calibri" w:hAnsi="Calibri" w:cs="Calibri"/>
          <w:sz w:val="22"/>
          <w:szCs w:val="22"/>
        </w:rPr>
        <w:t>excluded</w:t>
      </w:r>
      <w:r>
        <w:rPr>
          <w:rFonts w:ascii="Calibri" w:hAnsi="Calibri" w:cs="Calibri"/>
          <w:sz w:val="22"/>
          <w:szCs w:val="22"/>
        </w:rPr>
        <w:t xml:space="preserve"> (do not count).</w:t>
      </w:r>
    </w:p>
    <w:p w14:paraId="6718C543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Vote effects:</w:t>
      </w:r>
      <w:r>
        <w:rPr>
          <w:rFonts w:ascii="Calibri" w:hAnsi="Calibri" w:cs="Calibri"/>
          <w:sz w:val="22"/>
          <w:szCs w:val="22"/>
        </w:rPr>
        <w:t xml:space="preserve"> | Vote type | Effect | |---|---| | </w:t>
      </w:r>
      <w:r>
        <w:rPr>
          <w:rStyle w:val="HTMLCode"/>
        </w:rPr>
        <w:t>challenge</w:t>
      </w:r>
      <w:r>
        <w:rPr>
          <w:rFonts w:ascii="Calibri" w:hAnsi="Calibri" w:cs="Calibri"/>
          <w:sz w:val="22"/>
          <w:szCs w:val="22"/>
        </w:rPr>
        <w:t xml:space="preserve"> | −2.0 | | </w:t>
      </w:r>
      <w:r>
        <w:rPr>
          <w:rStyle w:val="HTMLCode"/>
        </w:rPr>
        <w:t>correct</w:t>
      </w:r>
      <w:r>
        <w:rPr>
          <w:rFonts w:ascii="Calibri" w:hAnsi="Calibri" w:cs="Calibri"/>
          <w:sz w:val="22"/>
          <w:szCs w:val="22"/>
        </w:rPr>
        <w:t xml:space="preserve"> | +2.5 if suggested tier's target &gt; ATT_final; −2.5 if below; 0 if equal | | </w:t>
      </w:r>
      <w:r>
        <w:rPr>
          <w:rStyle w:val="HTMLCode"/>
        </w:rPr>
        <w:t>confirm</w:t>
      </w:r>
      <w:r>
        <w:rPr>
          <w:rFonts w:ascii="Calibri" w:hAnsi="Calibri" w:cs="Calibri"/>
          <w:sz w:val="22"/>
          <w:szCs w:val="22"/>
        </w:rPr>
        <w:t xml:space="preserve"> | </w:t>
      </w:r>
      <w:r>
        <w:rPr>
          <w:rStyle w:val="Strong"/>
          <w:rFonts w:ascii="Calibri" w:hAnsi="Calibri" w:cs="Calibri"/>
          <w:sz w:val="22"/>
          <w:szCs w:val="22"/>
        </w:rPr>
        <w:t>0.0</w:t>
      </w:r>
      <w:r>
        <w:rPr>
          <w:rFonts w:ascii="Calibri" w:hAnsi="Calibri" w:cs="Calibri"/>
          <w:sz w:val="22"/>
          <w:szCs w:val="22"/>
        </w:rPr>
        <w:t xml:space="preserve"> (displayed but not scored — prevents coordinated inflation) |</w:t>
      </w:r>
    </w:p>
    <w:p w14:paraId="3C5487B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Key properties:</w:t>
      </w:r>
      <w:r>
        <w:rPr>
          <w:rFonts w:ascii="Calibri" w:hAnsi="Calibri" w:cs="Calibri"/>
          <w:sz w:val="22"/>
          <w:szCs w:val="22"/>
        </w:rPr>
        <w:t xml:space="preserve"> - One user can vote once per chemical (later vote replaces earlier — no stacking) - Feedback rows are </w:t>
      </w:r>
      <w:r>
        <w:rPr>
          <w:rStyle w:val="Strong"/>
          <w:rFonts w:ascii="Calibri" w:hAnsi="Calibri" w:cs="Calibri"/>
          <w:sz w:val="22"/>
          <w:szCs w:val="22"/>
        </w:rPr>
        <w:t>never deleted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when a run is deleted — they accumulate across the platform's entire history and keep influencing future runs' scores - Total adjustment clamped to [−5, +5] regardless of how many traders vote</w:t>
      </w:r>
    </w:p>
    <w:p w14:paraId="11E63771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B0B2694">
          <v:rect id="_x0000_i1036" style="width:0;height:1.5pt" o:hralign="center" o:hrstd="t" o:hr="t" fillcolor="#a0a0a0" stroked="f"/>
        </w:pict>
      </w:r>
    </w:p>
    <w:p w14:paraId="47E9AEFC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Geopolitical Adjustment (Stage 4b)</w:t>
      </w:r>
    </w:p>
    <w:p w14:paraId="6AEAD794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Detects statistical anomalies in a chemical's monthly trade volume and correlates them with known geopolitical events.</w:t>
      </w:r>
    </w:p>
    <w:p w14:paraId="4E5D4765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Algorithm (Engine v2 — robust median/MAD):</w:t>
      </w:r>
    </w:p>
    <w:p w14:paraId="6B88C6A1" w14:textId="77777777" w:rsidR="008D74EE" w:rsidRDefault="008D74E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Require ≥ 6 active months with nonzero quantity</w:t>
      </w:r>
    </w:p>
    <w:p w14:paraId="7938FFA0" w14:textId="77777777" w:rsidR="008D74EE" w:rsidRDefault="008D74E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Log-transform monthly quantities: $\ell_m = \log_1(\text{qty}_m + 1)$</w:t>
      </w:r>
    </w:p>
    <w:p w14:paraId="1AB3A81F" w14:textId="77777777" w:rsidR="008D74EE" w:rsidRDefault="008D74E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Compute median $\tilde{\ell}$ and MAD: $\text{MAD} = \text{median}(|\ell_m - \tilde{\ell}|)$</w:t>
      </w:r>
    </w:p>
    <w:p w14:paraId="79455EA3" w14:textId="77777777" w:rsidR="008D74EE" w:rsidRDefault="008D74E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Robust z-score: $z_m = \frac{0.6745 \cdot (\ell_m - \tilde{\ell})}{\text{MAD} \times 1.4826}$</w:t>
      </w:r>
    </w:p>
    <w:p w14:paraId="754C87F3" w14:textId="77777777" w:rsidR="008D74EE" w:rsidRDefault="008D74E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Flag month as anomaly if $|z_m| &gt; 3.5$</w:t>
      </w:r>
    </w:p>
    <w:p w14:paraId="1408757C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Why this matters:</w:t>
      </w:r>
      <w:r>
        <w:rPr>
          <w:rFonts w:ascii="Calibri" w:hAnsi="Calibri" w:cs="Calibri"/>
          <w:sz w:val="22"/>
          <w:szCs w:val="22"/>
        </w:rPr>
        <w:t xml:space="preserve"> The old mean/stdev z-score on raw quantities could not mathematically exceed </w:t>
      </w:r>
      <w:r>
        <w:rPr>
          <w:rStyle w:val="HTMLCode"/>
        </w:rPr>
        <w:t>(n−1)/√n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≤ 1.79 at n=5, making it impossible to trigger the 2.0 threshold. The new method is reachable with 6+ months and robust to a single huge month distorting the baseline.</w:t>
      </w:r>
    </w:p>
    <w:p w14:paraId="238FC16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Geo event matching:</w:t>
      </w:r>
      <w:r>
        <w:rPr>
          <w:rFonts w:ascii="Calibri" w:hAnsi="Calibri" w:cs="Calibri"/>
          <w:sz w:val="22"/>
          <w:szCs w:val="22"/>
        </w:rPr>
        <w:t xml:space="preserve"> For each anomaly month, the algorithm checks GEO_EVENTS database (11 events: Russia-Ukraine, Red Sea, China rare earth bans, US-India tariffs, etc.) for: - Date range overlap - Country overlap with the chemical's trading countries - Keyword match in the chemical name</w:t>
      </w:r>
    </w:p>
    <w:p w14:paraId="5CFC7951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Adjustment factor:</w:t>
      </w:r>
      <w:r>
        <w:rPr>
          <w:rFonts w:ascii="Calibri" w:hAnsi="Calibri" w:cs="Calibri"/>
          <w:sz w:val="22"/>
          <w:szCs w:val="22"/>
        </w:rPr>
        <w:t xml:space="preserve"> $$ \text{geo_adj} \in [0.5, 1.5] $$ </w:t>
      </w:r>
      <w:r>
        <w:rPr>
          <w:rFonts w:ascii="Calibri" w:hAnsi="Calibri" w:cs="Calibri"/>
          <w:sz w:val="22"/>
          <w:szCs w:val="22"/>
        </w:rPr>
        <w:t>$$ \text{trend_adjusted} = \text{clamp}(0, 100, \text{trend_norm} \times \text{geo_adj}) $$</w:t>
      </w:r>
    </w:p>
    <w:p w14:paraId="5CC708E4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5D3DB39">
          <v:rect id="_x0000_i1037" style="width:0;height:1.5pt" o:hralign="center" o:hrstd="t" o:hr="t" fillcolor="#a0a0a0" stroked="f"/>
        </w:pict>
      </w:r>
    </w:p>
    <w:p w14:paraId="5AAD0551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Battery Procurement Score</w:t>
      </w:r>
    </w:p>
    <w:p w14:paraId="3AB1E33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battery supplier/buyer entity is scored across 4–5 sub-dimensions:</w:t>
      </w:r>
    </w:p>
    <w:p w14:paraId="5567B42A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\text{BatteryScore} = w_{\text{vol}} \cdot \text{vol_norm} + w_{\text{con}} \cdot \text{con_norm} + w_{\text{rel}} \cdot \text{rel_norm} + w_{\text{geo}} \cdot \text{geo_norm} + w_{\text{price}} \cdot \text{price_norm} $$</w:t>
      </w:r>
    </w:p>
    <w:p w14:paraId="067785A7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Sub-scores: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2710"/>
        <w:gridCol w:w="5134"/>
      </w:tblGrid>
      <w:tr w:rsidR="00000000" w14:paraId="56CD9822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24F1BB4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Sub-score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FE69F8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Formula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D8307C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Normalization</w:t>
            </w:r>
          </w:p>
        </w:tc>
      </w:tr>
      <w:tr w:rsidR="00000000" w14:paraId="2E311ABA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852378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_volume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529147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qty_kg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4027AE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Log-anchor: floor=1 kg, ceiling=50,000 kg</w:t>
            </w:r>
          </w:p>
        </w:tc>
      </w:tr>
      <w:tr w:rsidR="00000000" w14:paraId="2CB9D61C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CDB174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_consistency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C17EF9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months_active / max(span, 6)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D4FE2B9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Direct (0–1 → ×100). </w:t>
            </w: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Minimum span of 6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so single-month entities score 0.167, not 1.0</w:t>
            </w:r>
          </w:p>
        </w:tc>
      </w:tr>
      <w:tr w:rsidR="00000000" w14:paraId="53A97FB9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057B03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_reliability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F10D33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total shipment count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38515F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Log-anchor: floor=0, ceiling=50</w:t>
            </w:r>
          </w:p>
        </w:tc>
      </w:tr>
      <w:tr w:rsidR="00000000" w14:paraId="62A3FC7D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895BCF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_geo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37E302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weighted avg of EASE scores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6B09663C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Direct (same EASE table as ATT freedom)</w:t>
            </w:r>
          </w:p>
        </w:tc>
      </w:tr>
      <w:tr w:rsidR="00000000" w14:paraId="4D07F551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81A287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HTMLCode"/>
              </w:rPr>
              <w:t>_price_inv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E8E5982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clamp(0, 100, 100 − (price_index − 1) × 50)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60C9DA1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Direct. </w:t>
            </w:r>
            <w:r>
              <w:rPr>
                <w:rStyle w:val="Strong"/>
                <w:rFonts w:ascii="Calibri" w:eastAsia="Times New Roman" w:hAnsi="Calibri" w:cs="Calibri"/>
                <w:sz w:val="22"/>
                <w:szCs w:val="22"/>
              </w:rPr>
              <w:t>Only computed if entity has ≥ 3 priced shipments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in a category with a valid market median</w:t>
            </w:r>
          </w:p>
        </w:tc>
      </w:tr>
    </w:tbl>
    <w:p w14:paraId="455AF75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Price index = None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(insufficient data) → </w:t>
      </w:r>
      <w:r>
        <w:rPr>
          <w:rStyle w:val="HTMLCode"/>
        </w:rPr>
        <w:t>_price_inv</w:t>
      </w:r>
      <w:r>
        <w:rPr>
          <w:rFonts w:ascii="Calibri" w:hAnsi="Calibri" w:cs="Calibri"/>
          <w:sz w:val="22"/>
          <w:szCs w:val="22"/>
        </w:rPr>
        <w:t xml:space="preserve"> term is </w:t>
      </w:r>
      <w:r>
        <w:rPr>
          <w:rStyle w:val="Strong"/>
          <w:rFonts w:ascii="Calibri" w:hAnsi="Calibri" w:cs="Calibri"/>
          <w:sz w:val="22"/>
          <w:szCs w:val="22"/>
        </w:rPr>
        <w:t>dropped</w:t>
      </w:r>
      <w:r>
        <w:rPr>
          <w:rFonts w:ascii="Calibri" w:hAnsi="Calibri" w:cs="Calibri"/>
          <w:sz w:val="22"/>
          <w:szCs w:val="22"/>
        </w:rPr>
        <w:t xml:space="preserve"> and the remaining 4 weights renormalize to sum 1.0 for that entity.</w:t>
      </w:r>
    </w:p>
    <w:p w14:paraId="4DD0D446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Tier thresholds:</w:t>
      </w:r>
      <w:r>
        <w:rPr>
          <w:rFonts w:ascii="Calibri" w:hAnsi="Calibri" w:cs="Calibri"/>
          <w:sz w:val="22"/>
          <w:szCs w:val="22"/>
        </w:rPr>
        <w:t xml:space="preserve"> A ≥ 70 · B ≥ 40 · C &lt; 40 (same as ATT).</w:t>
      </w:r>
    </w:p>
    <w:p w14:paraId="5F6C5652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B8E0348">
          <v:rect id="_x0000_i1038" style="width:0;height:1.5pt" o:hralign="center" o:hrstd="t" o:hr="t" fillcolor="#a0a0a0" stroked="f"/>
        </w:pict>
      </w:r>
    </w:p>
    <w:p w14:paraId="5A388046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EPR Priority Score</w:t>
      </w:r>
    </w:p>
    <w:p w14:paraId="449DDA44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Computed per company across all active materials:</w:t>
      </w:r>
    </w:p>
    <w:p w14:paraId="76CB3E9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\text{PriorityScore}</w:t>
      </w:r>
      <w:r>
        <w:rPr>
          <w:rStyle w:val="Emphasis"/>
          <w:rFonts w:ascii="Calibri" w:hAnsi="Calibri" w:cs="Calibri"/>
          <w:sz w:val="22"/>
          <w:szCs w:val="22"/>
        </w:rPr>
        <w:t>c = \sum</w:t>
      </w:r>
      <w:r>
        <w:rPr>
          <w:rFonts w:ascii="Calibri" w:hAnsi="Calibri" w:cs="Calibri"/>
          <w:sz w:val="22"/>
          <w:szCs w:val="22"/>
        </w:rPr>
        <w:t>{m} \left( \text{MaterialComposite}</w:t>
      </w:r>
      <w:r>
        <w:rPr>
          <w:rStyle w:val="Emphasis"/>
          <w:rFonts w:ascii="Calibri" w:hAnsi="Calibri" w:cs="Calibri"/>
          <w:sz w:val="22"/>
          <w:szCs w:val="22"/>
        </w:rPr>
        <w:t>{c,m} \times \hat{w}</w:t>
      </w:r>
      <w:r>
        <w:rPr>
          <w:rFonts w:ascii="Calibri" w:hAnsi="Calibri" w:cs="Calibri"/>
          <w:sz w:val="22"/>
          <w:szCs w:val="22"/>
        </w:rPr>
        <w:t>{m} \right) $$</w:t>
      </w:r>
    </w:p>
    <w:p w14:paraId="6E2C0EAC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$\hat{w}_{m}$ is the </w:t>
      </w:r>
      <w:r>
        <w:rPr>
          <w:rStyle w:val="Strong"/>
          <w:rFonts w:ascii="Calibri" w:hAnsi="Calibri" w:cs="Calibri"/>
          <w:sz w:val="22"/>
          <w:szCs w:val="22"/>
        </w:rPr>
        <w:t>auto-normalized</w:t>
      </w:r>
      <w:r>
        <w:rPr>
          <w:rFonts w:ascii="Calibri" w:hAnsi="Calibri" w:cs="Calibri"/>
          <w:sz w:val="22"/>
          <w:szCs w:val="22"/>
        </w:rPr>
        <w:t xml:space="preserve"> overall weight for material $m$ for company $c$:</w:t>
      </w:r>
    </w:p>
    <w:p w14:paraId="2B3BE023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\hat{w}</w:t>
      </w:r>
      <w:r>
        <w:rPr>
          <w:rStyle w:val="Emphasis"/>
          <w:rFonts w:ascii="Calibri" w:hAnsi="Calibri" w:cs="Calibri"/>
          <w:sz w:val="22"/>
          <w:szCs w:val="22"/>
        </w:rPr>
        <w:t>{m} = \frac{w_m^{\text{overall}}}{\sum</w:t>
      </w:r>
      <w:r>
        <w:rPr>
          <w:rFonts w:ascii="Calibri" w:hAnsi="Calibri" w:cs="Calibri"/>
          <w:sz w:val="22"/>
          <w:szCs w:val="22"/>
        </w:rPr>
        <w:t>{m' \in c} w_{m'}^{\text{overall}}} $$</w:t>
      </w:r>
    </w:p>
    <w:p w14:paraId="331257BD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Material composite score:</w:t>
      </w:r>
    </w:p>
    <w:p w14:paraId="61BCA9E7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$$ \text{MaterialComposite}</w:t>
      </w:r>
      <w:r>
        <w:rPr>
          <w:rStyle w:val="Emphasis"/>
          <w:rFonts w:ascii="Calibri" w:hAnsi="Calibri" w:cs="Calibri"/>
          <w:sz w:val="22"/>
          <w:szCs w:val="22"/>
        </w:rPr>
        <w:t>{c,m} = \text{score100}(z^T</w:t>
      </w:r>
      <w:r>
        <w:rPr>
          <w:rFonts w:ascii="Calibri" w:hAnsi="Calibri" w:cs="Calibri"/>
          <w:sz w:val="22"/>
          <w:szCs w:val="22"/>
        </w:rPr>
        <w:t>{c,m}) \times w_m^{\text{target}} + \left(\text{score100}(z^T_{c,m}) - \text{score100}(z^A_{c,m})\right) \times w_m^{\text{credit}} $$</w:t>
      </w:r>
    </w:p>
    <w:p w14:paraId="1DCEDE4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Where: - $z^T_{c,m} = \dfrac{\text{target_tons}</w:t>
      </w:r>
      <w:r>
        <w:rPr>
          <w:rStyle w:val="Emphasis"/>
          <w:rFonts w:ascii="Calibri" w:hAnsi="Calibri" w:cs="Calibri"/>
          <w:sz w:val="22"/>
          <w:szCs w:val="22"/>
        </w:rPr>
        <w:t>{c,m} - \mu^T_m}{\sigma^T_m}$ — Z-score of company's EPR target obligation relative to all companies - $z^A</w:t>
      </w:r>
      <w:r>
        <w:rPr>
          <w:rFonts w:ascii="Calibri" w:hAnsi="Calibri" w:cs="Calibri"/>
          <w:sz w:val="22"/>
          <w:szCs w:val="22"/>
        </w:rPr>
        <w:t>{c,m} = \dfrac{\text{credits}_{c,m} - \mu^A_m}{\sigma^A_m}$ — Z-score of actual credits achieved</w:t>
      </w:r>
    </w:p>
    <w:p w14:paraId="24314D90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Z-score to 1–100 mapping:</w:t>
      </w:r>
      <w:r>
        <w:rPr>
          <w:rFonts w:ascii="Calibri" w:hAnsi="Calibri" w:cs="Calibri"/>
          <w:sz w:val="22"/>
          <w:szCs w:val="22"/>
        </w:rPr>
        <w:t xml:space="preserve"> $$ \text{score100}(z) = \frac{\text{clamp}(z, -3, 3) + 3}{6} \times 99 + 1 $$</w:t>
      </w:r>
    </w:p>
    <w:p w14:paraId="12796103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Z=−3 → 1, Z=0 → 50, Z=+3 → 100.</w:t>
      </w:r>
    </w:p>
    <w:p w14:paraId="558B5F72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Default EPR weights:</w:t>
      </w:r>
      <w:r>
        <w:rPr>
          <w:rFonts w:ascii="Calibri" w:hAnsi="Calibri" w:cs="Calibri"/>
          <w:sz w:val="22"/>
          <w:szCs w:val="22"/>
        </w:rPr>
        <w:t xml:space="preserve"> - </w:t>
      </w:r>
      <w:r>
        <w:rPr>
          <w:rStyle w:val="HTMLCode"/>
        </w:rPr>
        <w:t>target_weight</w:t>
      </w:r>
      <w:r>
        <w:rPr>
          <w:rFonts w:ascii="Calibri" w:hAnsi="Calibri" w:cs="Calibri"/>
          <w:sz w:val="22"/>
          <w:szCs w:val="22"/>
        </w:rPr>
        <w:t xml:space="preserve"> = 1.0 (how heavily to weight the obligation size) - </w:t>
      </w:r>
      <w:r>
        <w:rPr>
          <w:rStyle w:val="HTMLCode"/>
        </w:rPr>
        <w:t>credit_weight</w:t>
      </w:r>
      <w:r>
        <w:rPr>
          <w:rFonts w:ascii="Calibri" w:hAnsi="Calibri" w:cs="Calibri"/>
          <w:sz w:val="22"/>
          <w:szCs w:val="22"/>
        </w:rPr>
        <w:t xml:space="preserve"> = 0.5 (how heavily to weight the unfulfilled gap) - </w:t>
      </w:r>
      <w:r>
        <w:rPr>
          <w:rStyle w:val="HTMLCode"/>
        </w:rPr>
        <w:t>overall_weight</w:t>
      </w:r>
      <w:r>
        <w:rPr>
          <w:rFonts w:ascii="Calibri" w:hAnsi="Calibri" w:cs="Calibri"/>
          <w:sz w:val="22"/>
          <w:szCs w:val="22"/>
        </w:rPr>
        <w:t xml:space="preserve"> = 1.0 per material (admin-configurable, auto-normalized per company)</w:t>
      </w:r>
    </w:p>
    <w:p w14:paraId="5ED96A76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220B85F">
          <v:rect id="_x0000_i1039" style="width:0;height:1.5pt" o:hralign="center" o:hrstd="t" o:hr="t" fillcolor="#a0a0a0" stroked="f"/>
        </w:pict>
      </w:r>
    </w:p>
    <w:p w14:paraId="55D606BC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Upload Deduplication (R7)</w:t>
      </w:r>
    </w:p>
    <w:p w14:paraId="0ECD3A49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Two separate hash mechanisms:</w:t>
      </w:r>
    </w:p>
    <w:tbl>
      <w:tblPr>
        <w:tblW w:w="5000" w:type="pct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1778"/>
        <w:gridCol w:w="4985"/>
      </w:tblGrid>
      <w:tr w:rsidR="00000000" w14:paraId="433DD067" w14:textId="77777777">
        <w:trPr>
          <w:tblHeader/>
        </w:trPr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7241A9C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Hash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C1B3E63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1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C3548FD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1F3763"/>
                <w:sz w:val="22"/>
                <w:szCs w:val="22"/>
              </w:rPr>
              <w:t>Purpose</w:t>
            </w:r>
          </w:p>
        </w:tc>
      </w:tr>
      <w:tr w:rsidR="00000000" w14:paraId="5468F4C3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3570C5A0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SHA256 of file bytes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425A6C8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Whole-file (stored on Run)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22027C58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Warn (don't block) when the same file is uploaded again</w:t>
            </w:r>
          </w:p>
        </w:tc>
      </w:tr>
      <w:tr w:rsidR="00000000" w14:paraId="703263F7" w14:textId="77777777"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5982D0E7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SHA256(date + HSN6 + seller + buyer + qty_kg + value_usd)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0A95159F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Per-row (stored on RawRow, indexed)</w:t>
            </w:r>
          </w:p>
        </w:tc>
        <w:tc>
          <w:tcPr>
            <w:tcW w:w="0" w:type="auto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hideMark/>
          </w:tcPr>
          <w:p w14:paraId="146B373A" w14:textId="77777777" w:rsidR="008D74EE" w:rsidRDefault="008D74EE">
            <w:pPr>
              <w:spacing w:after="24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Deduplicate overlapping rows when aggregating cross-run dashboards and EPR cross-links — same shipment counts once, not once per overlapping run</w:t>
            </w:r>
          </w:p>
        </w:tc>
      </w:tr>
    </w:tbl>
    <w:p w14:paraId="5831E7E6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C4DFED6">
          <v:rect id="_x0000_i1040" style="width:0;height:1.5pt" o:hralign="center" o:hrstd="t" o:hr="t" fillcolor="#a0a0a0" stroked="f"/>
        </w:pict>
      </w:r>
    </w:p>
    <w:p w14:paraId="0D9A556C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16. PIN Security (R10)</w:t>
      </w:r>
    </w:p>
    <w:p w14:paraId="74CBD52A" w14:textId="77777777" w:rsidR="008D74EE" w:rsidRDefault="008D74EE">
      <w:pPr>
        <w:pStyle w:val="HTMLPreformatted"/>
        <w:rPr>
          <w:rStyle w:val="HTMLCode"/>
        </w:rPr>
      </w:pPr>
      <w:r>
        <w:rPr>
          <w:rStyle w:val="HTMLCode"/>
        </w:rPr>
        <w:t>stored = salt + ":" + SHA256(salt + pin)</w:t>
      </w:r>
    </w:p>
    <w:p w14:paraId="4ABDB0A8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Where </w:t>
      </w:r>
      <w:r>
        <w:rPr>
          <w:rStyle w:val="HTMLCode"/>
        </w:rPr>
        <w:t>salt = secrets.token_hex(8)</w:t>
      </w:r>
      <w:r>
        <w:rPr>
          <w:rFonts w:ascii="Calibri" w:hAnsi="Calibri" w:cs="Calibri"/>
          <w:sz w:val="22"/>
          <w:szCs w:val="22"/>
        </w:rPr>
        <w:t xml:space="preserve"> (random per save).</w:t>
      </w:r>
    </w:p>
    <w:p w14:paraId="6A2EF55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Verification: re-derive </w:t>
      </w:r>
      <w:r>
        <w:rPr>
          <w:rStyle w:val="HTMLCode"/>
        </w:rPr>
        <w:t>SHA256(salt + supplied_pin)</w:t>
      </w:r>
      <w:r>
        <w:rPr>
          <w:rFonts w:ascii="Calibri" w:hAnsi="Calibri" w:cs="Calibri"/>
          <w:sz w:val="22"/>
          <w:szCs w:val="22"/>
        </w:rPr>
        <w:t xml:space="preserve"> and compare to stored digest.</w:t>
      </w:r>
    </w:p>
    <w:p w14:paraId="26881D46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Rate limiting:</w:t>
      </w:r>
      <w:r>
        <w:rPr>
          <w:rFonts w:ascii="Calibri" w:hAnsi="Calibri" w:cs="Calibri"/>
          <w:sz w:val="22"/>
          <w:szCs w:val="22"/>
        </w:rPr>
        <w:t xml:space="preserve"> 5 failed attempts → 60-second lockout (in-memory, per-origin). This is the actual brute-force defense; hashing only protects against a copied DB file.</w:t>
      </w:r>
    </w:p>
    <w:p w14:paraId="4ED7BF26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Legacy plaintext fallback:</w:t>
      </w:r>
      <w:r>
        <w:rPr>
          <w:rFonts w:ascii="Calibri" w:hAnsi="Calibri" w:cs="Calibri"/>
          <w:sz w:val="22"/>
          <w:szCs w:val="22"/>
        </w:rPr>
        <w:t xml:space="preserve"> if stored value contains no </w:t>
      </w:r>
      <w:r>
        <w:rPr>
          <w:rStyle w:val="HTMLCode"/>
        </w:rPr>
        <w:t>:</w:t>
      </w:r>
      <w:r>
        <w:rPr>
          <w:rFonts w:ascii="Calibri" w:hAnsi="Calibri" w:cs="Calibri"/>
          <w:sz w:val="22"/>
          <w:szCs w:val="22"/>
        </w:rPr>
        <w:t xml:space="preserve"> separator, compare directly — prevents an already-configured PIN from locking everyone out when the hash upgrade deploys.</w:t>
      </w:r>
    </w:p>
    <w:p w14:paraId="45CD01E6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673627EA">
          <v:rect id="_x0000_i1041" style="width:0;height:1.5pt" o:hralign="center" o:hrstd="t" o:hr="t" fillcolor="#a0a0a0" stroked="f"/>
        </w:pict>
      </w:r>
    </w:p>
    <w:p w14:paraId="64CEC060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 NLP Chemical Matching</w:t>
      </w:r>
    </w:p>
    <w:p w14:paraId="6AB70B53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Three-pass matching of EXIM description text against the base portfolio:</w:t>
      </w:r>
    </w:p>
    <w:p w14:paraId="0B3A50F0" w14:textId="77777777" w:rsidR="008D74EE" w:rsidRDefault="008D74E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Direct match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(score ≥ 0.60): chemical is matched to a base portfolio entry</w:t>
      </w:r>
    </w:p>
    <w:p w14:paraId="573FBC3C" w14:textId="77777777" w:rsidR="008D74EE" w:rsidRDefault="008D74E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Near match</w:t>
      </w:r>
      <w:r>
        <w:rPr>
          <w:rFonts w:ascii="Calibri" w:eastAsia="Times New Roman" w:hAnsi="Calibri" w:cs="Calibri"/>
          <w:sz w:val="22"/>
          <w:szCs w:val="22"/>
        </w:rPr>
        <w:t xml:space="preserve"> (score 0.40–0.60): matched but flagged for review</w:t>
      </w:r>
    </w:p>
    <w:p w14:paraId="43253AB7" w14:textId="77777777" w:rsidR="008D74EE" w:rsidRDefault="008D74E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No match</w:t>
      </w:r>
      <w:r>
        <w:rPr>
          <w:rFonts w:ascii="Calibri" w:eastAsia="Times New Roman" w:hAnsi="Calibri" w:cs="Calibri"/>
          <w:sz w:val="22"/>
          <w:szCs w:val="22"/>
        </w:rPr>
        <w:t xml:space="preserve"> (score &lt; 0.40): excluded from base scoring → grouped as opportunity chemicals</w:t>
      </w:r>
    </w:p>
    <w:p w14:paraId="064A4E0F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Similarity score uses </w:t>
      </w:r>
      <w:r>
        <w:rPr>
          <w:rStyle w:val="HTMLCode"/>
        </w:rPr>
        <w:t>difflib.SequenceMatcher</w:t>
      </w:r>
      <w:r>
        <w:rPr>
          <w:rFonts w:ascii="Calibri" w:hAnsi="Calibri" w:cs="Calibri"/>
          <w:sz w:val="22"/>
          <w:szCs w:val="22"/>
        </w:rPr>
        <w:t xml:space="preserve"> on normalized, noise-stripped tokens. Chemical synonyms and spelling variants are normalized before comparison (e.g., </w:t>
      </w:r>
      <w:r>
        <w:rPr>
          <w:rStyle w:val="HTMLCode"/>
        </w:rPr>
        <w:t>znso4 → zinc sulphate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Code"/>
        </w:rPr>
        <w:t>aluminium → aluminum</w:t>
      </w:r>
      <w:r>
        <w:rPr>
          <w:rFonts w:ascii="Calibri" w:hAnsi="Calibri" w:cs="Calibri"/>
          <w:sz w:val="22"/>
          <w:szCs w:val="22"/>
        </w:rPr>
        <w:t>).</w:t>
      </w:r>
    </w:p>
    <w:p w14:paraId="6BA1452D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Opportunity clustering (R8):</w:t>
      </w:r>
      <w:r>
        <w:rPr>
          <w:rFonts w:ascii="Calibri" w:hAnsi="Calibri" w:cs="Calibri"/>
          <w:sz w:val="22"/>
          <w:szCs w:val="22"/>
        </w:rPr>
        <w:t xml:space="preserve"> Unmatched descriptions are clustered by: </w:t>
      </w:r>
      <w:r>
        <w:rPr>
          <w:rFonts w:ascii="Calibri" w:hAnsi="Calibri" w:cs="Calibri"/>
          <w:sz w:val="22"/>
          <w:szCs w:val="22"/>
        </w:rPr>
        <w:t>- HSN6 code prefix grouping - Normalized token set overlap (Jaccard similarity) - Stopword removal: tariff boilerplate terms (</w:t>
      </w:r>
      <w:r>
        <w:rPr>
          <w:rStyle w:val="HTMLCode"/>
        </w:rPr>
        <w:t>demas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Code"/>
        </w:rPr>
        <w:t>heading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Code"/>
        </w:rPr>
        <w:t>nes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Code"/>
        </w:rPr>
        <w:t>others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HTMLCode"/>
        </w:rPr>
        <w:t>the</w:t>
      </w:r>
      <w:r>
        <w:rPr>
          <w:rFonts w:ascii="Calibri" w:hAnsi="Calibri" w:cs="Calibri"/>
          <w:sz w:val="22"/>
          <w:szCs w:val="22"/>
        </w:rPr>
        <w:t>, etc.)</w:t>
      </w:r>
    </w:p>
    <w:p w14:paraId="24E7C43D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 ~1,700 raw name fragments → 902 meaningful clusters in a real production run.</w:t>
      </w:r>
    </w:p>
    <w:p w14:paraId="6A60196C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23A6237C">
          <v:rect id="_x0000_i1042" style="width:0;height:1.5pt" o:hralign="center" o:hrstd="t" o:hr="t" fillcolor="#a0a0a0" stroked="f"/>
        </w:pict>
      </w:r>
    </w:p>
    <w:p w14:paraId="03BC2618" w14:textId="77777777" w:rsidR="008D74EE" w:rsidRDefault="008D74EE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 Engine Version Tracking</w:t>
      </w:r>
    </w:p>
    <w:p w14:paraId="640E22BC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Every </w:t>
      </w:r>
      <w:r>
        <w:rPr>
          <w:rStyle w:val="HTMLCode"/>
        </w:rPr>
        <w:t>ChemicalScore</w:t>
      </w:r>
      <w:r>
        <w:rPr>
          <w:rFonts w:ascii="Calibri" w:hAnsi="Calibri" w:cs="Calibri"/>
          <w:sz w:val="22"/>
          <w:szCs w:val="22"/>
        </w:rPr>
        <w:t xml:space="preserve"> and </w:t>
      </w:r>
      <w:r>
        <w:rPr>
          <w:rStyle w:val="HTMLCode"/>
        </w:rPr>
        <w:t>BatteryEntity</w:t>
      </w:r>
      <w:r>
        <w:rPr>
          <w:rFonts w:ascii="Calibri" w:hAnsi="Calibri" w:cs="Calibri"/>
          <w:sz w:val="22"/>
          <w:szCs w:val="22"/>
        </w:rPr>
        <w:t xml:space="preserve"> / </w:t>
      </w:r>
      <w:r>
        <w:rPr>
          <w:rStyle w:val="HTMLCode"/>
        </w:rPr>
        <w:t>BatteryCategory</w:t>
      </w:r>
      <w:r>
        <w:rPr>
          <w:rFonts w:ascii="Calibri" w:hAnsi="Calibri" w:cs="Calibri"/>
          <w:sz w:val="22"/>
          <w:szCs w:val="22"/>
        </w:rPr>
        <w:t xml:space="preserve"> row carries an </w:t>
      </w:r>
      <w:r>
        <w:rPr>
          <w:rStyle w:val="HTMLCode"/>
        </w:rPr>
        <w:t>engine_version</w:t>
      </w:r>
      <w:r>
        <w:rPr>
          <w:rFonts w:ascii="Calibri" w:hAnsi="Calibri" w:cs="Calibri"/>
          <w:sz w:val="22"/>
          <w:szCs w:val="22"/>
        </w:rPr>
        <w:t xml:space="preserve"> integer field (currently </w:t>
      </w:r>
      <w:r>
        <w:rPr>
          <w:rStyle w:val="HTMLCode"/>
        </w:rPr>
        <w:t>2</w:t>
      </w:r>
      <w:r>
        <w:rPr>
          <w:rFonts w:ascii="Calibri" w:hAnsi="Calibri" w:cs="Calibri"/>
          <w:sz w:val="22"/>
          <w:szCs w:val="22"/>
        </w:rPr>
        <w:t>). This makes engine changes auditable and allows future cross-run comparisons to detect version mismatches.</w:t>
      </w:r>
    </w:p>
    <w:p w14:paraId="0D577319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Batch re-score: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HTMLCode"/>
        </w:rPr>
        <w:t>backend/rescore.py</w:t>
      </w:r>
      <w:r>
        <w:rPr>
          <w:rFonts w:ascii="Calibri" w:hAnsi="Calibri" w:cs="Calibri"/>
          <w:sz w:val="22"/>
          <w:szCs w:val="22"/>
        </w:rPr>
        <w:t xml:space="preserve"> re-runs the full pipeline on every existing run's original uploaded files, overwriting scores in-place, so the entire database converges on one engine version.</w:t>
      </w:r>
    </w:p>
    <w:p w14:paraId="6EE72FAA" w14:textId="77777777" w:rsidR="008D74EE" w:rsidRDefault="008D74EE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7AC1FF8">
          <v:rect id="_x0000_i1043" style="width:0;height:1.5pt" o:hralign="center" o:hrstd="t" o:hr="t" fillcolor="#a0a0a0" stroked="f"/>
        </w:pict>
      </w:r>
    </w:p>
    <w:p w14:paraId="361C85B1" w14:textId="77777777" w:rsidR="008D74EE" w:rsidRDefault="008D74EE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Emphasis"/>
          <w:rFonts w:ascii="Calibri" w:hAnsi="Calibri" w:cs="Calibri"/>
          <w:sz w:val="22"/>
          <w:szCs w:val="22"/>
        </w:rPr>
        <w:t>Document generated 2026-07-16. For product overview and user flows, see the companion Product Description document.</w:t>
      </w:r>
    </w:p>
    <w:sectPr w:rsidR="008D74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E31DA"/>
    <w:multiLevelType w:val="multilevel"/>
    <w:tmpl w:val="6494F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B152B5"/>
    <w:multiLevelType w:val="multilevel"/>
    <w:tmpl w:val="73E6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FA0BDC"/>
    <w:multiLevelType w:val="multilevel"/>
    <w:tmpl w:val="499EA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3A76C1"/>
    <w:multiLevelType w:val="multilevel"/>
    <w:tmpl w:val="49A8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461A0"/>
    <w:multiLevelType w:val="multilevel"/>
    <w:tmpl w:val="83A2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066553">
    <w:abstractNumId w:val="4"/>
  </w:num>
  <w:num w:numId="2" w16cid:durableId="1121146623">
    <w:abstractNumId w:val="3"/>
  </w:num>
  <w:num w:numId="3" w16cid:durableId="1159809875">
    <w:abstractNumId w:val="1"/>
  </w:num>
  <w:num w:numId="4" w16cid:durableId="497383343">
    <w:abstractNumId w:val="2"/>
  </w:num>
  <w:num w:numId="5" w16cid:durableId="23603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03"/>
    <w:rsid w:val="007F5F03"/>
    <w:rsid w:val="008D74EE"/>
    <w:rsid w:val="00D31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5B1BDF"/>
  <w15:chartTrackingRefBased/>
  <w15:docId w15:val="{4372C910-541F-4187-AEB4-2327548F7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360" w:after="100" w:afterAutospacing="1"/>
      <w:outlineLvl w:val="0"/>
    </w:pPr>
    <w:rPr>
      <w:b/>
      <w:bCs/>
      <w:color w:val="2F549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0" w:color="EEEEEE"/>
      </w:pBdr>
      <w:spacing w:before="240" w:after="100" w:afterAutospacing="1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spacing w:before="200" w:after="100" w:afterAutospacing="1"/>
      <w:outlineLvl w:val="2"/>
    </w:pPr>
    <w:rPr>
      <w:b/>
      <w:bCs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9D9D9"/>
        <w:left w:val="single" w:sz="6" w:space="8" w:color="D9D9D9"/>
        <w:bottom w:val="single" w:sz="6" w:space="8" w:color="D9D9D9"/>
        <w:right w:val="single" w:sz="6" w:space="8" w:color="D9D9D9"/>
      </w:pBd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1952</Words>
  <Characters>11132</Characters>
  <Application>Microsoft Office Word</Application>
  <DocSecurity>0</DocSecurity>
  <Lines>92</Lines>
  <Paragraphs>26</Paragraphs>
  <ScaleCrop>false</ScaleCrop>
  <Company/>
  <LinksUpToDate>false</LinksUpToDate>
  <CharactersWithSpaces>13058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Anuraag G</dc:creator>
  <cp:keywords/>
  <dc:description/>
  <cp:lastModifiedBy>Anuraag G</cp:lastModifiedBy>
  <cp:revision>2</cp:revision>
  <dcterms:created xsi:type="dcterms:W3CDTF">2026-07-16T11:26:00Z</dcterms:created>
  <dcterms:modified xsi:type="dcterms:W3CDTF">2026-07-16T11:26:00Z</dcterms:modified>
</cp:coreProperties>
</file>