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Mutual</w:t>
      </w:r>
      <w:r>
        <w:t xml:space="preserve"> </w:t>
      </w:r>
      <w:r>
        <w:t xml:space="preserve">Fund</w:t>
      </w:r>
      <w:r>
        <w:t xml:space="preserve"> </w:t>
      </w:r>
      <w:r>
        <w:t xml:space="preserve">Overview</w:t>
      </w:r>
      <w:r>
        <w:t xml:space="preserve"> </w:t>
      </w:r>
      <w:r>
        <w:t xml:space="preserve">&amp;</w:t>
      </w:r>
      <w:r>
        <w:t xml:space="preserve"> </w:t>
      </w:r>
      <w:r>
        <w:t xml:space="preserve">Insights</w:t>
      </w:r>
    </w:p>
    <w:p>
      <w:pPr>
        <w:pStyle w:val="Subtitle"/>
        <w:jc w:val="center"/>
      </w:pPr>
      <w:r>
        <w:t xml:space="preserve">Data</w:t>
      </w:r>
      <w:r>
        <w:t xml:space="preserve"> </w:t>
      </w:r>
      <w:r>
        <w:t xml:space="preserve">Analytics</w:t>
      </w:r>
      <w:r>
        <w:t xml:space="preserve"> </w:t>
      </w:r>
      <w:r>
        <w:t xml:space="preserve">Project:</w:t>
      </w:r>
      <w:r>
        <w:t xml:space="preserve"> </w:t>
      </w:r>
      <w:r>
        <w:t xml:space="preserve">Finding</w:t>
      </w:r>
      <w:r>
        <w:t xml:space="preserve"> </w:t>
      </w:r>
      <w:r>
        <w:t xml:space="preserve">High-Return,</w:t>
      </w:r>
      <w:r>
        <w:t xml:space="preserve"> </w:t>
      </w:r>
      <w:r>
        <w:t xml:space="preserve">Low-Risk</w:t>
      </w:r>
      <w:r>
        <w:t xml:space="preserve"> </w:t>
      </w:r>
      <w:r>
        <w:t xml:space="preserve">Fund</w:t>
      </w:r>
      <w:r>
        <w:t xml:space="preserve"> </w:t>
      </w:r>
      <w:r>
        <w:t xml:space="preserve">Schemes</w:t>
      </w:r>
    </w:p>
    <w:p>
      <w:pPr>
        <w:pStyle w:val="Author"/>
        <w:jc w:val="center"/>
      </w:pPr>
      <w:r>
        <w:t xml:space="preserve">[Your</w:t>
      </w:r>
      <w:r>
        <w:t xml:space="preserve"> </w:t>
      </w:r>
      <w:r>
        <w:t xml:space="preserve">Name]</w:t>
      </w:r>
    </w:p>
    <w:p>
      <w:pPr>
        <w:pStyle w:val="Date"/>
        <w:jc w:val="center"/>
      </w:pPr>
      <w:r>
        <w:t xml:space="preserve">[Date]</w:t>
      </w:r>
    </w:p>
    <w:bookmarkStart w:id="20" w:name="stage-0-goal-and-problem-statement"/>
    <w:p>
      <w:pPr>
        <w:pStyle w:val="Heading1"/>
        <w:keepNext/>
        <w:spacing w:before="320" w:after="120"/>
      </w:pPr>
      <w:r>
        <w:t xml:space="preserve">Stage 0: Goal and problem statement</w:t>
      </w:r>
    </w:p>
    <w:p>
      <w:pPr>
        <w:numPr>
          <w:ilvl w:val="0"/>
          <w:numId w:val="1001"/>
        </w:numPr>
      </w:pPr>
      <w:r>
        <w:t xml:space="preserve">The goal of this project is to take a big list of mutual funds, clean it, give every fund a score and pick the best 30 funds with good return and low risk. It helps beginner investors who do not know how to choose a fund.</w:t>
      </w:r>
    </w:p>
    <w:p>
      <w:pPr>
        <w:numPr>
          <w:ilvl w:val="0"/>
          <w:numId w:val="1001"/>
        </w:numPr>
      </w:pPr>
      <w:r>
        <w:t xml:space="preserve">If we only look at the highest return we can choose a risky fund. Bank of India Credit Risk Fund has a 1 year return of 130.8%, but its 5 year return is -4.1%, so it is not a good choice. In my data, funds with higher return also have higher risk (correlation 0.81), so I check both together.</w:t>
      </w:r>
    </w:p>
    <w:p>
      <w:pPr>
        <w:numPr>
          <w:ilvl w:val="0"/>
          <w:numId w:val="1001"/>
        </w:numPr>
      </w:pPr>
      <w:r>
        <w:t xml:space="preserve">My objectives were:</w:t>
      </w:r>
    </w:p>
    <w:p>
      <w:pPr>
        <w:numPr>
          <w:ilvl w:val="1"/>
          <w:numId w:val="1002"/>
        </w:numPr>
        <w:pStyle w:val="Compact"/>
        <w:spacing w:after="120" w:line="269" w:lineRule="auto"/>
      </w:pPr>
      <w:r>
        <w:t xml:space="preserve">clean the data</w:t>
      </w:r>
    </w:p>
    <w:p>
      <w:pPr>
        <w:numPr>
          <w:ilvl w:val="1"/>
          <w:numId w:val="1002"/>
        </w:numPr>
        <w:pStyle w:val="Compact"/>
        <w:spacing w:after="120" w:line="269" w:lineRule="auto"/>
      </w:pPr>
      <w:r>
        <w:t xml:space="preserve">study it with statistics and plots</w:t>
      </w:r>
    </w:p>
    <w:p>
      <w:pPr>
        <w:numPr>
          <w:ilvl w:val="1"/>
          <w:numId w:val="1002"/>
        </w:numPr>
        <w:pStyle w:val="Compact"/>
        <w:spacing w:after="120" w:line="269" w:lineRule="auto"/>
      </w:pPr>
      <w:r>
        <w:t xml:space="preserve">scale the columns to the same range</w:t>
      </w:r>
    </w:p>
    <w:p>
      <w:pPr>
        <w:numPr>
          <w:ilvl w:val="1"/>
          <w:numId w:val="1002"/>
        </w:numPr>
        <w:pStyle w:val="Compact"/>
        <w:spacing w:after="120" w:line="269" w:lineRule="auto"/>
      </w:pPr>
      <w:r>
        <w:t xml:space="preserve">make a score and rank the funds</w:t>
      </w:r>
    </w:p>
    <w:p>
      <w:pPr>
        <w:numPr>
          <w:ilvl w:val="1"/>
          <w:numId w:val="1002"/>
        </w:numPr>
        <w:pStyle w:val="Compact"/>
        <w:spacing w:after="120" w:line="269" w:lineRule="auto"/>
      </w:pPr>
      <w:r>
        <w:t xml:space="preserve">save the Top 30 in Excel and build a Power BI dashboard</w:t>
      </w:r>
    </w:p>
    <w:p>
      <w:pPr>
        <w:numPr>
          <w:ilvl w:val="0"/>
          <w:numId w:val="1001"/>
        </w:numPr>
      </w:pPr>
      <w:r>
        <w:t xml:space="preserve">Python is used for cleaning and scoring. Excel is used to keep the final Top 30 list. Power BI is used to show the result in charts and filters so that anyone can understand it.</w:t>
      </w:r>
    </w:p>
    <w:bookmarkEnd w:id="20"/>
    <w:bookmarkStart w:id="21" w:name="stage-1-data-cleaning"/>
    <w:p>
      <w:pPr>
        <w:pStyle w:val="Heading1"/>
        <w:keepNext/>
        <w:spacing w:before="320" w:after="120"/>
      </w:pPr>
      <w:r>
        <w:t xml:space="preserve">Stage 1: Data cleaning</w:t>
      </w:r>
    </w:p>
    <w:p>
      <w:pPr>
        <w:numPr>
          <w:ilvl w:val="0"/>
          <w:numId w:val="1003"/>
        </w:numPr>
      </w:pPr>
      <w:r>
        <w:t xml:space="preserve">The data has 814 rows and 20 columns. The main columns are 1, 3 and 5 year returns, expense ratio, risk level (1 to 6), fund age, fund size (AUM in crore), AMC, category, sub category, fund manager, rating, minimum SIP and minimum lump sum. There is no fund type column, so I used category as fund type.</w:t>
      </w:r>
    </w:p>
    <w:p>
      <w:pPr>
        <w:numPr>
          <w:ilvl w:val="0"/>
          <w:numId w:val="1003"/>
        </w:numPr>
      </w:pPr>
      <w:r>
        <w:t xml:space="preserve">I removed sortino, alpha and beta. I do not use them and each has many missing values (23 to 42).</w:t>
      </w:r>
    </w:p>
    <w:p>
      <w:pPr>
        <w:numPr>
          <w:ilvl w:val="0"/>
          <w:numId w:val="1003"/>
        </w:numPr>
      </w:pPr>
      <w:r>
        <w:t xml:space="preserve">21 funds (2.6%) have no 3 year return and 167 funds (20.5%) have no 5 year return. These funds are only 2 to 3 years old, so the value does not exist. I did not fill them. Funds with no 3 year return are left out of the ranking.</w:t>
      </w:r>
    </w:p>
    <w:p>
      <w:pPr>
        <w:numPr>
          <w:ilvl w:val="0"/>
          <w:numId w:val="1003"/>
        </w:numPr>
      </w:pPr>
      <w:r>
        <w:t xml:space="preserve">The columns sortino, alpha, sd, beta and sharpe had</w:t>
      </w:r>
      <w:r>
        <w:t xml:space="preserve"> </w:t>
      </w:r>
      <w:r>
        <w:t xml:space="preserve">“</w:t>
      </w:r>
      <w:r>
        <w:t xml:space="preserve">-</w:t>
      </w:r>
      <w:r>
        <w:t xml:space="preserve">”</w:t>
      </w:r>
      <w:r>
        <w:t xml:space="preserve"> </w:t>
      </w:r>
      <w:r>
        <w:t xml:space="preserve">in some rows, so they were read as text. I changed them to numbers with pd.to_numeric.</w:t>
      </w:r>
    </w:p>
    <w:p>
      <w:pPr>
        <w:pStyle w:val="FirstParagraph"/>
        <w:spacing w:after="120" w:line="269" w:lineRule="auto"/>
      </w:pPr>
      <w:r>
        <w:t xml:space="preserve">I also found 14 funds of different types with exactly the same 1, 3 and 5 year returns (for example 1.7, 32.4 and 13.3 for 9 funds, including an overnight fund). This cannot be right, so I removed the returns of these 14 funds. 779 funds were left for ranking.</w:t>
      </w:r>
    </w:p>
    <w:bookmarkEnd w:id="21"/>
    <w:bookmarkStart w:id="25" w:name="stage-2-understanding-the-data"/>
    <w:p>
      <w:pPr>
        <w:pStyle w:val="Heading1"/>
        <w:keepNext/>
        <w:spacing w:before="320" w:after="120"/>
      </w:pPr>
      <w:r>
        <w:t xml:space="preserve">Stage 2: Understanding the data</w:t>
      </w:r>
    </w:p>
    <w:p>
      <w:pPr>
        <w:numPr>
          <w:ilvl w:val="0"/>
          <w:numId w:val="1004"/>
        </w:numPr>
        <w:pStyle w:val="Compact"/>
        <w:spacing w:after="120" w:line="269" w:lineRule="auto"/>
      </w:pPr>
      <w:r>
        <w:t xml:space="preserve">Summary of the main columns: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131"/>
        <w:gridCol w:w="1131"/>
        <w:gridCol w:w="1131"/>
        <w:gridCol w:w="1131"/>
        <w:gridCol w:w="1131"/>
        <w:gridCol w:w="1131"/>
        <w:gridCol w:w="1131"/>
      </w:tblGrid>
      <w:tr>
        <w:trPr>
          <w:tblHeader w:val="true"/>
        </w:trPr>
        <w:tc>
          <w:tcPr>
            <w:shd w:val="clear" w:color="auto" w:fill="1F4E78"/>
          </w:tcPr>
          <w:p>
            <w:pPr>
              <w:pStyle w:val="Compact"/>
              <w:spacing w:before="40" w:after="40"/>
              <w:jc w:val="left"/>
            </w:pPr>
            <w:r>
              <w:rPr>
                <w:rFonts w:ascii="Calibri" w:hAnsi="Calibri"/>
                <w:b/>
                <w:color w:val="FFFFFF"/>
                <w:sz w:val="19"/>
              </w:rPr>
              <w:t xml:space="preserve">Column</w:t>
            </w:r>
          </w:p>
        </w:tc>
        <w:tc>
          <w:tcPr>
            <w:shd w:val="clear" w:color="auto" w:fill="1F4E78"/>
          </w:tcPr>
          <w:p>
            <w:pPr>
              <w:pStyle w:val="Compact"/>
              <w:spacing w:before="40" w:after="40"/>
              <w:jc w:val="left"/>
            </w:pPr>
            <w:r>
              <w:rPr>
                <w:rFonts w:ascii="Calibri" w:hAnsi="Calibri"/>
                <w:b/>
                <w:color w:val="FFFFFF"/>
                <w:sz w:val="19"/>
              </w:rPr>
              <w:t xml:space="preserve">Mean</w:t>
            </w:r>
          </w:p>
        </w:tc>
        <w:tc>
          <w:tcPr>
            <w:shd w:val="clear" w:color="auto" w:fill="1F4E78"/>
          </w:tcPr>
          <w:p>
            <w:pPr>
              <w:pStyle w:val="Compact"/>
              <w:spacing w:before="40" w:after="40"/>
              <w:jc w:val="left"/>
            </w:pPr>
            <w:r>
              <w:rPr>
                <w:rFonts w:ascii="Calibri" w:hAnsi="Calibri"/>
                <w:b/>
                <w:color w:val="FFFFFF"/>
                <w:sz w:val="19"/>
              </w:rPr>
              <w:t xml:space="preserve">Median</w:t>
            </w:r>
          </w:p>
        </w:tc>
        <w:tc>
          <w:tcPr>
            <w:shd w:val="clear" w:color="auto" w:fill="1F4E78"/>
          </w:tcPr>
          <w:p>
            <w:pPr>
              <w:pStyle w:val="Compact"/>
              <w:spacing w:before="40" w:after="40"/>
              <w:jc w:val="left"/>
            </w:pPr>
            <w:r>
              <w:rPr>
                <w:rFonts w:ascii="Calibri" w:hAnsi="Calibri"/>
                <w:b/>
                <w:color w:val="FFFFFF"/>
                <w:sz w:val="19"/>
              </w:rPr>
              <w:t xml:space="preserve">Mode</w:t>
            </w:r>
          </w:p>
        </w:tc>
        <w:tc>
          <w:tcPr>
            <w:shd w:val="clear" w:color="auto" w:fill="1F4E78"/>
          </w:tcPr>
          <w:p>
            <w:pPr>
              <w:pStyle w:val="Compact"/>
              <w:spacing w:before="40" w:after="40"/>
              <w:jc w:val="left"/>
            </w:pPr>
            <w:r>
              <w:rPr>
                <w:rFonts w:ascii="Calibri" w:hAnsi="Calibri"/>
                <w:b/>
                <w:color w:val="FFFFFF"/>
                <w:sz w:val="19"/>
              </w:rPr>
              <w:t xml:space="preserve">Min</w:t>
            </w:r>
          </w:p>
        </w:tc>
        <w:tc>
          <w:tcPr>
            <w:shd w:val="clear" w:color="auto" w:fill="1F4E78"/>
          </w:tcPr>
          <w:p>
            <w:pPr>
              <w:pStyle w:val="Compact"/>
              <w:spacing w:before="40" w:after="40"/>
              <w:jc w:val="left"/>
            </w:pPr>
            <w:r>
              <w:rPr>
                <w:rFonts w:ascii="Calibri" w:hAnsi="Calibri"/>
                <w:b/>
                <w:color w:val="FFFFFF"/>
                <w:sz w:val="19"/>
              </w:rPr>
              <w:t xml:space="preserve">Max</w:t>
            </w:r>
          </w:p>
        </w:tc>
        <w:tc>
          <w:tcPr>
            <w:shd w:val="clear" w:color="auto" w:fill="1F4E78"/>
          </w:tcPr>
          <w:p>
            <w:pPr>
              <w:pStyle w:val="Compact"/>
              <w:spacing w:before="40" w:after="40"/>
              <w:jc w:val="left"/>
            </w:pPr>
            <w:r>
              <w:rPr>
                <w:rFonts w:ascii="Calibri" w:hAnsi="Calibri"/>
                <w:b/>
                <w:color w:val="FFFFFF"/>
                <w:sz w:val="19"/>
              </w:rPr>
              <w:t xml:space="preserve">Std</w:t>
            </w:r>
          </w:p>
        </w:tc>
      </w:tr>
      <w:tr>
        <w:tc>
          <w:tcPr/>
          <w:p>
            <w:pPr>
              <w:pStyle w:val="Compact"/>
              <w:spacing w:before="40" w:after="40"/>
              <w:jc w:val="left"/>
            </w:pPr>
            <w:r>
              <w:rPr>
                <w:rFonts w:ascii="Calibri" w:hAnsi="Calibri"/>
                <w:sz w:val="19"/>
              </w:rPr>
              <w:t xml:space="preserve">1 year return %</w:t>
            </w:r>
          </w:p>
        </w:tc>
        <w:tc>
          <w:tcPr/>
          <w:p>
            <w:pPr>
              <w:pStyle w:val="Compact"/>
              <w:spacing w:before="40" w:after="40"/>
              <w:jc w:val="left"/>
            </w:pPr>
            <w:r>
              <w:rPr>
                <w:rFonts w:ascii="Calibri" w:hAnsi="Calibri"/>
                <w:sz w:val="19"/>
              </w:rPr>
              <w:t xml:space="preserve">3.98</w:t>
            </w:r>
          </w:p>
        </w:tc>
        <w:tc>
          <w:tcPr/>
          <w:p>
            <w:pPr>
              <w:pStyle w:val="Compact"/>
              <w:spacing w:before="40" w:after="40"/>
              <w:jc w:val="left"/>
            </w:pPr>
            <w:r>
              <w:rPr>
                <w:rFonts w:ascii="Calibri" w:hAnsi="Calibri"/>
                <w:sz w:val="19"/>
              </w:rPr>
              <w:t xml:space="preserve">4.40</w:t>
            </w:r>
          </w:p>
        </w:tc>
        <w:tc>
          <w:tcPr/>
          <w:p>
            <w:pPr>
              <w:pStyle w:val="Compact"/>
              <w:spacing w:before="40" w:after="40"/>
              <w:jc w:val="left"/>
            </w:pPr>
            <w:r>
              <w:rPr>
                <w:rFonts w:ascii="Calibri" w:hAnsi="Calibri"/>
                <w:sz w:val="19"/>
              </w:rPr>
              <w:t xml:space="preserve">5.60</w:t>
            </w:r>
          </w:p>
        </w:tc>
        <w:tc>
          <w:tcPr/>
          <w:p>
            <w:pPr>
              <w:pStyle w:val="Compact"/>
              <w:spacing w:before="40" w:after="40"/>
              <w:jc w:val="left"/>
            </w:pPr>
            <w:r>
              <w:rPr>
                <w:rFonts w:ascii="Calibri" w:hAnsi="Calibri"/>
                <w:sz w:val="19"/>
              </w:rPr>
              <w:t xml:space="preserve">-19.7</w:t>
            </w:r>
          </w:p>
        </w:tc>
        <w:tc>
          <w:tcPr/>
          <w:p>
            <w:pPr>
              <w:pStyle w:val="Compact"/>
              <w:spacing w:before="40" w:after="40"/>
              <w:jc w:val="left"/>
            </w:pPr>
            <w:r>
              <w:rPr>
                <w:rFonts w:ascii="Calibri" w:hAnsi="Calibri"/>
                <w:sz w:val="19"/>
              </w:rPr>
              <w:t xml:space="preserve">130.8</w:t>
            </w:r>
          </w:p>
        </w:tc>
        <w:tc>
          <w:tcPr/>
          <w:p>
            <w:pPr>
              <w:pStyle w:val="Compact"/>
              <w:spacing w:before="40" w:after="40"/>
              <w:jc w:val="left"/>
            </w:pPr>
            <w:r>
              <w:rPr>
                <w:rFonts w:ascii="Calibri" w:hAnsi="Calibri"/>
                <w:sz w:val="19"/>
              </w:rPr>
              <w:t xml:space="preserve">6.72</w:t>
            </w:r>
          </w:p>
        </w:tc>
      </w:tr>
      <w:tr>
        <w:tc>
          <w:tcPr>
            <w:shd w:val="clear" w:color="auto" w:fill="EEF4FA"/>
          </w:tcPr>
          <w:p>
            <w:pPr>
              <w:pStyle w:val="Compact"/>
              <w:spacing w:before="40" w:after="40"/>
              <w:jc w:val="left"/>
            </w:pPr>
            <w:r>
              <w:rPr>
                <w:rFonts w:ascii="Calibri" w:hAnsi="Calibri"/>
                <w:sz w:val="19"/>
              </w:rPr>
              <w:t xml:space="preserve">3 year return %</w:t>
            </w:r>
          </w:p>
        </w:tc>
        <w:tc>
          <w:tcPr>
            <w:shd w:val="clear" w:color="auto" w:fill="EEF4FA"/>
          </w:tcPr>
          <w:p>
            <w:pPr>
              <w:pStyle w:val="Compact"/>
              <w:spacing w:before="40" w:after="40"/>
              <w:jc w:val="left"/>
            </w:pPr>
            <w:r>
              <w:rPr>
                <w:rFonts w:ascii="Calibri" w:hAnsi="Calibri"/>
                <w:sz w:val="19"/>
              </w:rPr>
              <w:t xml:space="preserve">18.27</w:t>
            </w:r>
          </w:p>
        </w:tc>
        <w:tc>
          <w:tcPr>
            <w:shd w:val="clear" w:color="auto" w:fill="EEF4FA"/>
          </w:tcPr>
          <w:p>
            <w:pPr>
              <w:pStyle w:val="Compact"/>
              <w:spacing w:before="40" w:after="40"/>
              <w:jc w:val="left"/>
            </w:pPr>
            <w:r>
              <w:rPr>
                <w:rFonts w:ascii="Calibri" w:hAnsi="Calibri"/>
                <w:sz w:val="19"/>
              </w:rPr>
              <w:t xml:space="preserve">18.10</w:t>
            </w:r>
          </w:p>
        </w:tc>
        <w:tc>
          <w:tcPr>
            <w:shd w:val="clear" w:color="auto" w:fill="EEF4FA"/>
          </w:tcPr>
          <w:p>
            <w:pPr>
              <w:pStyle w:val="Compact"/>
              <w:spacing w:before="40" w:after="40"/>
              <w:jc w:val="left"/>
            </w:pPr>
            <w:r>
              <w:rPr>
                <w:rFonts w:ascii="Calibri" w:hAnsi="Calibri"/>
                <w:sz w:val="19"/>
              </w:rPr>
              <w:t xml:space="preserve">3.90</w:t>
            </w:r>
          </w:p>
        </w:tc>
        <w:tc>
          <w:tcPr>
            <w:shd w:val="clear" w:color="auto" w:fill="EEF4FA"/>
          </w:tcPr>
          <w:p>
            <w:pPr>
              <w:pStyle w:val="Compact"/>
              <w:spacing w:before="40" w:after="40"/>
              <w:jc w:val="left"/>
            </w:pPr>
            <w:r>
              <w:rPr>
                <w:rFonts w:ascii="Calibri" w:hAnsi="Calibri"/>
                <w:sz w:val="19"/>
              </w:rPr>
              <w:t xml:space="preserve">3.3</w:t>
            </w:r>
          </w:p>
        </w:tc>
        <w:tc>
          <w:tcPr>
            <w:shd w:val="clear" w:color="auto" w:fill="EEF4FA"/>
          </w:tcPr>
          <w:p>
            <w:pPr>
              <w:pStyle w:val="Compact"/>
              <w:spacing w:before="40" w:after="40"/>
              <w:jc w:val="left"/>
            </w:pPr>
            <w:r>
              <w:rPr>
                <w:rFonts w:ascii="Calibri" w:hAnsi="Calibri"/>
                <w:sz w:val="19"/>
              </w:rPr>
              <w:t xml:space="preserve">71.4</w:t>
            </w:r>
          </w:p>
        </w:tc>
        <w:tc>
          <w:tcPr>
            <w:shd w:val="clear" w:color="auto" w:fill="EEF4FA"/>
          </w:tcPr>
          <w:p>
            <w:pPr>
              <w:pStyle w:val="Compact"/>
              <w:spacing w:before="40" w:after="40"/>
              <w:jc w:val="left"/>
            </w:pPr>
            <w:r>
              <w:rPr>
                <w:rFonts w:ascii="Calibri" w:hAnsi="Calibri"/>
                <w:sz w:val="19"/>
              </w:rPr>
              <w:t xml:space="preserve">12.06</w:t>
            </w:r>
          </w:p>
        </w:tc>
      </w:tr>
      <w:tr>
        <w:tc>
          <w:tcPr/>
          <w:p>
            <w:pPr>
              <w:pStyle w:val="Compact"/>
              <w:spacing w:before="40" w:after="40"/>
              <w:jc w:val="left"/>
            </w:pPr>
            <w:r>
              <w:rPr>
                <w:rFonts w:ascii="Calibri" w:hAnsi="Calibri"/>
                <w:sz w:val="19"/>
              </w:rPr>
              <w:t xml:space="preserve">5 year return %</w:t>
            </w:r>
          </w:p>
        </w:tc>
        <w:tc>
          <w:tcPr/>
          <w:p>
            <w:pPr>
              <w:pStyle w:val="Compact"/>
              <w:spacing w:before="40" w:after="40"/>
              <w:jc w:val="left"/>
            </w:pPr>
            <w:r>
              <w:rPr>
                <w:rFonts w:ascii="Calibri" w:hAnsi="Calibri"/>
                <w:sz w:val="19"/>
              </w:rPr>
              <w:t xml:space="preserve">9.42</w:t>
            </w:r>
          </w:p>
        </w:tc>
        <w:tc>
          <w:tcPr/>
          <w:p>
            <w:pPr>
              <w:pStyle w:val="Compact"/>
              <w:spacing w:before="40" w:after="40"/>
              <w:jc w:val="left"/>
            </w:pPr>
            <w:r>
              <w:rPr>
                <w:rFonts w:ascii="Calibri" w:hAnsi="Calibri"/>
                <w:sz w:val="19"/>
              </w:rPr>
              <w:t xml:space="preserve">8.80</w:t>
            </w:r>
          </w:p>
        </w:tc>
        <w:tc>
          <w:tcPr/>
          <w:p>
            <w:pPr>
              <w:pStyle w:val="Compact"/>
              <w:spacing w:before="40" w:after="40"/>
              <w:jc w:val="left"/>
            </w:pPr>
            <w:r>
              <w:rPr>
                <w:rFonts w:ascii="Calibri" w:hAnsi="Calibri"/>
                <w:sz w:val="19"/>
              </w:rPr>
              <w:t xml:space="preserve">5.30</w:t>
            </w:r>
          </w:p>
        </w:tc>
        <w:tc>
          <w:tcPr/>
          <w:p>
            <w:pPr>
              <w:pStyle w:val="Compact"/>
              <w:spacing w:before="40" w:after="40"/>
              <w:jc w:val="left"/>
            </w:pPr>
            <w:r>
              <w:rPr>
                <w:rFonts w:ascii="Calibri" w:hAnsi="Calibri"/>
                <w:sz w:val="19"/>
              </w:rPr>
              <w:t xml:space="preserve">-4.1</w:t>
            </w:r>
          </w:p>
        </w:tc>
        <w:tc>
          <w:tcPr/>
          <w:p>
            <w:pPr>
              <w:pStyle w:val="Compact"/>
              <w:spacing w:before="40" w:after="40"/>
              <w:jc w:val="left"/>
            </w:pPr>
            <w:r>
              <w:rPr>
                <w:rFonts w:ascii="Calibri" w:hAnsi="Calibri"/>
                <w:sz w:val="19"/>
              </w:rPr>
              <w:t xml:space="preserve">23.2</w:t>
            </w:r>
          </w:p>
        </w:tc>
        <w:tc>
          <w:tcPr/>
          <w:p>
            <w:pPr>
              <w:pStyle w:val="Compact"/>
              <w:spacing w:before="40" w:after="40"/>
              <w:jc w:val="left"/>
            </w:pPr>
            <w:r>
              <w:rPr>
                <w:rFonts w:ascii="Calibri" w:hAnsi="Calibri"/>
                <w:sz w:val="19"/>
              </w:rPr>
              <w:t xml:space="preserve">3.72</w:t>
            </w:r>
          </w:p>
        </w:tc>
      </w:tr>
      <w:tr>
        <w:tc>
          <w:tcPr>
            <w:shd w:val="clear" w:color="auto" w:fill="EEF4FA"/>
          </w:tcPr>
          <w:p>
            <w:pPr>
              <w:pStyle w:val="Compact"/>
              <w:spacing w:before="40" w:after="40"/>
              <w:jc w:val="left"/>
            </w:pPr>
            <w:r>
              <w:rPr>
                <w:rFonts w:ascii="Calibri" w:hAnsi="Calibri"/>
                <w:sz w:val="19"/>
              </w:rPr>
              <w:t xml:space="preserve">Expense ratio %</w:t>
            </w:r>
          </w:p>
        </w:tc>
        <w:tc>
          <w:tcPr>
            <w:shd w:val="clear" w:color="auto" w:fill="EEF4FA"/>
          </w:tcPr>
          <w:p>
            <w:pPr>
              <w:pStyle w:val="Compact"/>
              <w:spacing w:before="40" w:after="40"/>
              <w:jc w:val="left"/>
            </w:pPr>
            <w:r>
              <w:rPr>
                <w:rFonts w:ascii="Calibri" w:hAnsi="Calibri"/>
                <w:sz w:val="19"/>
              </w:rPr>
              <w:t xml:space="preserve">0.71</w:t>
            </w:r>
          </w:p>
        </w:tc>
        <w:tc>
          <w:tcPr>
            <w:shd w:val="clear" w:color="auto" w:fill="EEF4FA"/>
          </w:tcPr>
          <w:p>
            <w:pPr>
              <w:pStyle w:val="Compact"/>
              <w:spacing w:before="40" w:after="40"/>
              <w:jc w:val="left"/>
            </w:pPr>
            <w:r>
              <w:rPr>
                <w:rFonts w:ascii="Calibri" w:hAnsi="Calibri"/>
                <w:sz w:val="19"/>
              </w:rPr>
              <w:t xml:space="preserve">0.62</w:t>
            </w:r>
          </w:p>
        </w:tc>
        <w:tc>
          <w:tcPr>
            <w:shd w:val="clear" w:color="auto" w:fill="EEF4FA"/>
          </w:tcPr>
          <w:p>
            <w:pPr>
              <w:pStyle w:val="Compact"/>
              <w:spacing w:before="40" w:after="40"/>
              <w:jc w:val="left"/>
            </w:pPr>
            <w:r>
              <w:rPr>
                <w:rFonts w:ascii="Calibri" w:hAnsi="Calibri"/>
                <w:sz w:val="19"/>
              </w:rPr>
              <w:t xml:space="preserve">0.21</w:t>
            </w:r>
          </w:p>
        </w:tc>
        <w:tc>
          <w:tcPr>
            <w:shd w:val="clear" w:color="auto" w:fill="EEF4FA"/>
          </w:tcPr>
          <w:p>
            <w:pPr>
              <w:pStyle w:val="Compact"/>
              <w:spacing w:before="40" w:after="40"/>
              <w:jc w:val="left"/>
            </w:pPr>
            <w:r>
              <w:rPr>
                <w:rFonts w:ascii="Calibri" w:hAnsi="Calibri"/>
                <w:sz w:val="19"/>
              </w:rPr>
              <w:t xml:space="preserve">0.00</w:t>
            </w:r>
          </w:p>
        </w:tc>
        <w:tc>
          <w:tcPr>
            <w:shd w:val="clear" w:color="auto" w:fill="EEF4FA"/>
          </w:tcPr>
          <w:p>
            <w:pPr>
              <w:pStyle w:val="Compact"/>
              <w:spacing w:before="40" w:after="40"/>
              <w:jc w:val="left"/>
            </w:pPr>
            <w:r>
              <w:rPr>
                <w:rFonts w:ascii="Calibri" w:hAnsi="Calibri"/>
                <w:sz w:val="19"/>
              </w:rPr>
              <w:t xml:space="preserve">2.59</w:t>
            </w:r>
          </w:p>
        </w:tc>
        <w:tc>
          <w:tcPr>
            <w:shd w:val="clear" w:color="auto" w:fill="EEF4FA"/>
          </w:tcPr>
          <w:p>
            <w:pPr>
              <w:pStyle w:val="Compact"/>
              <w:spacing w:before="40" w:after="40"/>
              <w:jc w:val="left"/>
            </w:pPr>
            <w:r>
              <w:rPr>
                <w:rFonts w:ascii="Calibri" w:hAnsi="Calibri"/>
                <w:sz w:val="19"/>
              </w:rPr>
              <w:t xml:space="preserve">0.48</w:t>
            </w:r>
          </w:p>
        </w:tc>
      </w:tr>
      <w:tr>
        <w:tc>
          <w:tcPr/>
          <w:p>
            <w:pPr>
              <w:pStyle w:val="Compact"/>
              <w:spacing w:before="40" w:after="40"/>
              <w:jc w:val="left"/>
            </w:pPr>
            <w:r>
              <w:rPr>
                <w:rFonts w:ascii="Calibri" w:hAnsi="Calibri"/>
                <w:sz w:val="19"/>
              </w:rPr>
              <w:t xml:space="preserve">AUM (crore)</w:t>
            </w:r>
          </w:p>
        </w:tc>
        <w:tc>
          <w:tcPr/>
          <w:p>
            <w:pPr>
              <w:pStyle w:val="Compact"/>
              <w:spacing w:before="40" w:after="40"/>
              <w:jc w:val="left"/>
            </w:pPr>
            <w:r>
              <w:rPr>
                <w:rFonts w:ascii="Calibri" w:hAnsi="Calibri"/>
                <w:sz w:val="19"/>
              </w:rPr>
              <w:t xml:space="preserve">3,813</w:t>
            </w:r>
          </w:p>
        </w:tc>
        <w:tc>
          <w:tcPr/>
          <w:p>
            <w:pPr>
              <w:pStyle w:val="Compact"/>
              <w:spacing w:before="40" w:after="40"/>
              <w:jc w:val="left"/>
            </w:pPr>
            <w:r>
              <w:rPr>
                <w:rFonts w:ascii="Calibri" w:hAnsi="Calibri"/>
                <w:sz w:val="19"/>
              </w:rPr>
              <w:t xml:space="preserve">940</w:t>
            </w:r>
          </w:p>
        </w:tc>
        <w:tc>
          <w:tcPr/>
          <w:p>
            <w:pPr>
              <w:pStyle w:val="Compact"/>
              <w:spacing w:before="40" w:after="40"/>
              <w:jc w:val="left"/>
            </w:pPr>
            <w:r>
              <w:rPr>
                <w:rFonts w:ascii="Calibri" w:hAnsi="Calibri"/>
                <w:sz w:val="19"/>
              </w:rPr>
              <w:t xml:space="preserve">90</w:t>
            </w:r>
          </w:p>
        </w:tc>
        <w:tc>
          <w:tcPr/>
          <w:p>
            <w:pPr>
              <w:pStyle w:val="Compact"/>
              <w:spacing w:before="40" w:after="40"/>
              <w:jc w:val="left"/>
            </w:pPr>
            <w:r>
              <w:rPr>
                <w:rFonts w:ascii="Calibri" w:hAnsi="Calibri"/>
                <w:sz w:val="19"/>
              </w:rPr>
              <w:t xml:space="preserve">2.4</w:t>
            </w:r>
          </w:p>
        </w:tc>
        <w:tc>
          <w:tcPr/>
          <w:p>
            <w:pPr>
              <w:pStyle w:val="Compact"/>
              <w:spacing w:before="40" w:after="40"/>
              <w:jc w:val="left"/>
            </w:pPr>
            <w:r>
              <w:rPr>
                <w:rFonts w:ascii="Calibri" w:hAnsi="Calibri"/>
                <w:sz w:val="19"/>
              </w:rPr>
              <w:t xml:space="preserve">57,052</w:t>
            </w:r>
          </w:p>
        </w:tc>
        <w:tc>
          <w:tcPr/>
          <w:p>
            <w:pPr>
              <w:pStyle w:val="Compact"/>
              <w:spacing w:before="40" w:after="40"/>
              <w:jc w:val="left"/>
            </w:pPr>
            <w:r>
              <w:rPr>
                <w:rFonts w:ascii="Calibri" w:hAnsi="Calibri"/>
                <w:sz w:val="19"/>
              </w:rPr>
              <w:t xml:space="preserve">7,181</w:t>
            </w:r>
          </w:p>
        </w:tc>
      </w:tr>
      <w:tr>
        <w:tc>
          <w:tcPr>
            <w:shd w:val="clear" w:color="auto" w:fill="EEF4FA"/>
          </w:tcPr>
          <w:p>
            <w:pPr>
              <w:pStyle w:val="Compact"/>
              <w:spacing w:before="40" w:after="40"/>
              <w:jc w:val="left"/>
            </w:pPr>
            <w:r>
              <w:rPr>
                <w:rFonts w:ascii="Calibri" w:hAnsi="Calibri"/>
                <w:sz w:val="19"/>
              </w:rPr>
              <w:t xml:space="preserve">Fund age (years)</w:t>
            </w:r>
          </w:p>
        </w:tc>
        <w:tc>
          <w:tcPr>
            <w:shd w:val="clear" w:color="auto" w:fill="EEF4FA"/>
          </w:tcPr>
          <w:p>
            <w:pPr>
              <w:pStyle w:val="Compact"/>
              <w:spacing w:before="40" w:after="40"/>
              <w:jc w:val="left"/>
            </w:pPr>
            <w:r>
              <w:rPr>
                <w:rFonts w:ascii="Calibri" w:hAnsi="Calibri"/>
                <w:sz w:val="19"/>
              </w:rPr>
              <w:t xml:space="preserve">8.3</w:t>
            </w:r>
          </w:p>
        </w:tc>
        <w:tc>
          <w:tcPr>
            <w:shd w:val="clear" w:color="auto" w:fill="EEF4FA"/>
          </w:tcPr>
          <w:p>
            <w:pPr>
              <w:pStyle w:val="Compact"/>
              <w:spacing w:before="40" w:after="40"/>
              <w:jc w:val="left"/>
            </w:pPr>
            <w:r>
              <w:rPr>
                <w:rFonts w:ascii="Calibri" w:hAnsi="Calibri"/>
                <w:sz w:val="19"/>
              </w:rPr>
              <w:t xml:space="preserve">10</w:t>
            </w:r>
          </w:p>
        </w:tc>
        <w:tc>
          <w:tcPr>
            <w:shd w:val="clear" w:color="auto" w:fill="EEF4FA"/>
          </w:tcPr>
          <w:p>
            <w:pPr>
              <w:pStyle w:val="Compact"/>
              <w:spacing w:before="40" w:after="40"/>
              <w:jc w:val="left"/>
            </w:pPr>
            <w:r>
              <w:rPr>
                <w:rFonts w:ascii="Calibri" w:hAnsi="Calibri"/>
                <w:sz w:val="19"/>
              </w:rPr>
              <w:t xml:space="preserve">10</w:t>
            </w:r>
          </w:p>
        </w:tc>
        <w:tc>
          <w:tcPr>
            <w:shd w:val="clear" w:color="auto" w:fill="EEF4FA"/>
          </w:tcPr>
          <w:p>
            <w:pPr>
              <w:pStyle w:val="Compact"/>
              <w:spacing w:before="40" w:after="40"/>
              <w:jc w:val="left"/>
            </w:pPr>
            <w:r>
              <w:rPr>
                <w:rFonts w:ascii="Calibri" w:hAnsi="Calibri"/>
                <w:sz w:val="19"/>
              </w:rPr>
              <w:t xml:space="preserve">1</w:t>
            </w:r>
          </w:p>
        </w:tc>
        <w:tc>
          <w:tcPr>
            <w:shd w:val="clear" w:color="auto" w:fill="EEF4FA"/>
          </w:tcPr>
          <w:p>
            <w:pPr>
              <w:pStyle w:val="Compact"/>
              <w:spacing w:before="40" w:after="40"/>
              <w:jc w:val="left"/>
            </w:pPr>
            <w:r>
              <w:rPr>
                <w:rFonts w:ascii="Calibri" w:hAnsi="Calibri"/>
                <w:sz w:val="19"/>
              </w:rPr>
              <w:t xml:space="preserve">17</w:t>
            </w:r>
          </w:p>
        </w:tc>
        <w:tc>
          <w:tcPr>
            <w:shd w:val="clear" w:color="auto" w:fill="EEF4FA"/>
          </w:tcPr>
          <w:p>
            <w:pPr>
              <w:pStyle w:val="Compact"/>
              <w:spacing w:before="40" w:after="40"/>
              <w:jc w:val="left"/>
            </w:pPr>
            <w:r>
              <w:rPr>
                <w:rFonts w:ascii="Calibri" w:hAnsi="Calibri"/>
                <w:sz w:val="19"/>
              </w:rPr>
              <w:t xml:space="preserve">2.64</w:t>
            </w:r>
          </w:p>
        </w:tc>
      </w:tr>
      <w:tr>
        <w:tc>
          <w:tcPr/>
          <w:p>
            <w:pPr>
              <w:pStyle w:val="Compact"/>
              <w:spacing w:before="40" w:after="40"/>
              <w:jc w:val="left"/>
            </w:pPr>
            <w:r>
              <w:rPr>
                <w:rFonts w:ascii="Calibri" w:hAnsi="Calibri"/>
                <w:sz w:val="19"/>
              </w:rPr>
              <w:t xml:space="preserve">Risk level</w:t>
            </w:r>
          </w:p>
        </w:tc>
        <w:tc>
          <w:tcPr/>
          <w:p>
            <w:pPr>
              <w:pStyle w:val="Compact"/>
              <w:spacing w:before="40" w:after="40"/>
              <w:jc w:val="left"/>
            </w:pPr>
            <w:r>
              <w:rPr>
                <w:rFonts w:ascii="Calibri" w:hAnsi="Calibri"/>
                <w:sz w:val="19"/>
              </w:rPr>
              <w:t xml:space="preserve">4.4</w:t>
            </w:r>
          </w:p>
        </w:tc>
        <w:tc>
          <w:tcPr/>
          <w:p>
            <w:pPr>
              <w:pStyle w:val="Compact"/>
              <w:spacing w:before="40" w:after="40"/>
              <w:jc w:val="left"/>
            </w:pPr>
            <w:r>
              <w:rPr>
                <w:rFonts w:ascii="Calibri" w:hAnsi="Calibri"/>
                <w:sz w:val="19"/>
              </w:rPr>
              <w:t xml:space="preserve">6</w:t>
            </w:r>
          </w:p>
        </w:tc>
        <w:tc>
          <w:tcPr/>
          <w:p>
            <w:pPr>
              <w:pStyle w:val="Compact"/>
              <w:spacing w:before="40" w:after="40"/>
              <w:jc w:val="left"/>
            </w:pPr>
            <w:r>
              <w:rPr>
                <w:rFonts w:ascii="Calibri" w:hAnsi="Calibri"/>
                <w:sz w:val="19"/>
              </w:rPr>
              <w:t xml:space="preserve">6</w:t>
            </w:r>
          </w:p>
        </w:tc>
        <w:tc>
          <w:tcPr/>
          <w:p>
            <w:pPr>
              <w:pStyle w:val="Compact"/>
              <w:spacing w:before="40" w:after="40"/>
              <w:jc w:val="left"/>
            </w:pPr>
            <w:r>
              <w:rPr>
                <w:rFonts w:ascii="Calibri" w:hAnsi="Calibri"/>
                <w:sz w:val="19"/>
              </w:rPr>
              <w:t xml:space="preserve">1</w:t>
            </w:r>
          </w:p>
        </w:tc>
        <w:tc>
          <w:tcPr/>
          <w:p>
            <w:pPr>
              <w:pStyle w:val="Compact"/>
              <w:spacing w:before="40" w:after="40"/>
              <w:jc w:val="left"/>
            </w:pPr>
            <w:r>
              <w:rPr>
                <w:rFonts w:ascii="Calibri" w:hAnsi="Calibri"/>
                <w:sz w:val="19"/>
              </w:rPr>
              <w:t xml:space="preserve">6</w:t>
            </w:r>
          </w:p>
        </w:tc>
        <w:tc>
          <w:tcPr/>
          <w:p>
            <w:pPr>
              <w:pStyle w:val="Compact"/>
              <w:spacing w:before="40" w:after="40"/>
              <w:jc w:val="left"/>
            </w:pPr>
            <w:r>
              <w:rPr>
                <w:rFonts w:ascii="Calibri" w:hAnsi="Calibri"/>
                <w:sz w:val="19"/>
              </w:rPr>
              <w:t xml:space="preserve">1.81</w:t>
            </w:r>
          </w:p>
        </w:tc>
      </w:tr>
    </w:tbl>
    <w:p>
      <w:pPr>
        <w:pStyle w:val="BodyText"/>
        <w:spacing w:after="120" w:line="269" w:lineRule="auto"/>
      </w:pPr>
      <w:r>
        <w:t xml:space="preserve">A normal fund gives around 18% in 3 years, charges about 0.7%, is about 10 years old and has high risk. The mean AUM is much bigger than the median because a few funds are very large.</w:t>
      </w:r>
    </w:p>
    <w:p>
      <w:pPr>
        <w:numPr>
          <w:ilvl w:val="0"/>
          <w:numId w:val="1005"/>
        </w:numPr>
        <w:pStyle w:val="Compact"/>
        <w:spacing w:after="120" w:line="269" w:lineRule="auto"/>
      </w:pPr>
      <w:r>
        <w:t xml:space="preserve">The 3 year returns have two groups: 178 funds are below 6% and 240 funds are between 25% and 40%. Risk is not balanced, 418 funds (51%) are at level 6. 508 funds (62%) are exactly 10 years old, so I think the data stops counting at 10. AUM is skewed to the right (skew 3.6).</w:t>
      </w:r>
    </w:p>
    <w:p>
      <w:pPr>
        <w:pStyle w:val="CaptionedFigure"/>
        <w:keepNext/>
        <w:spacing w:before="120" w:after="80"/>
        <w:jc w:val="center"/>
      </w:pPr>
      <w:r>
        <w:drawing>
          <wp:inline>
            <wp:extent cx="5120640" cy="3413760"/>
            <wp:effectExtent b="0" l="0" r="0" t="0"/>
            <wp:docPr descr="Distribution plots" title="" id="23" name="Picture"/>
            <a:graphic>
              <a:graphicData uri="http://schemas.openxmlformats.org/drawingml/2006/picture">
                <pic:pic>
                  <pic:nvPicPr>
                    <pic:cNvPr descr="stage2_plots.png" id="24" name="Picture"/>
                    <pic:cNvPicPr>
                      <a:picLocks noChangeArrowheads="1" noChangeAspect="1"/>
                    </pic:cNvPicPr>
                  </pic:nvPicPr>
                  <pic:blipFill>
                    <a:blip r:embed="rId22"/>
                    <a:stretch>
                      <a:fillRect/>
                    </a:stretch>
                  </pic:blipFill>
                  <pic:spPr bwMode="auto">
                    <a:xfrm>
                      <a:off x="0" y="0"/>
                      <a:ext cx="5120640" cy="3413760"/>
                    </a:xfrm>
                    <a:prstGeom prst="rect">
                      <a:avLst/>
                    </a:prstGeom>
                    <a:noFill/>
                    <a:ln w="9525">
                      <a:noFill/>
                      <a:headEnd/>
                      <a:tailEnd/>
                    </a:ln>
                  </pic:spPr>
                </pic:pic>
              </a:graphicData>
            </a:graphic>
          </wp:inline>
        </w:drawing>
      </w:r>
    </w:p>
    <w:p>
      <w:pPr>
        <w:pStyle w:val="ImageCaption"/>
        <w:spacing w:after="200"/>
        <w:jc w:val="center"/>
      </w:pPr>
      <w:r>
        <w:t xml:space="preserve">Distribution plots</w:t>
      </w:r>
    </w:p>
    <w:p>
      <w:pPr>
        <w:numPr>
          <w:ilvl w:val="0"/>
          <w:numId w:val="1006"/>
        </w:numPr>
        <w:pStyle w:val="Compact"/>
        <w:spacing w:after="120" w:line="269" w:lineRule="auto"/>
      </w:pPr>
      <w:r>
        <w:t xml:space="preserve">The biggest outlier is the 130.8% 1 year return of Bank of India Credit Risk Fund. Its 5 year return is negative, so it was probably a one time event. Also about 15% of funds had a 1 year return of 0 or less.</w:t>
      </w:r>
    </w:p>
    <w:bookmarkEnd w:id="25"/>
    <w:bookmarkStart w:id="26" w:name="stage-3-normalisation"/>
    <w:p>
      <w:pPr>
        <w:pStyle w:val="Heading1"/>
        <w:keepNext/>
        <w:spacing w:before="320" w:after="120"/>
      </w:pPr>
      <w:r>
        <w:t xml:space="preserve">Stage 3: Normalisation</w:t>
      </w:r>
    </w:p>
    <w:p>
      <w:pPr>
        <w:numPr>
          <w:ilvl w:val="0"/>
          <w:numId w:val="1007"/>
        </w:numPr>
      </w:pPr>
      <w:r>
        <w:t xml:space="preserve">The columns have very different sizes. Returns go up to 71, expense ratio is below 3 and risk is 1 to 6. If I add them directly the column with big numbers will control the score.</w:t>
      </w:r>
    </w:p>
    <w:p>
      <w:pPr>
        <w:numPr>
          <w:ilvl w:val="0"/>
          <w:numId w:val="1007"/>
        </w:numPr>
      </w:pPr>
      <w:r>
        <w:t xml:space="preserve">I used MinMaxScaler on 3 year return, expense ratio and risk level, because these are the columns used in my score. The formula is (value - min) / (max - min), so every value is between 0 and 1.</w:t>
      </w:r>
    </w:p>
    <w:p>
      <w:pPr>
        <w:numPr>
          <w:ilvl w:val="0"/>
          <w:numId w:val="1007"/>
        </w:numPr>
      </w:pPr>
      <w:r>
        <w:t xml:space="preserve">After scaling I can compare them directly. ICICI Pru Equity Savings Fund has a scaled return of 0.14 and a scaled expense ratio of 0.21. So it is cheap, but its return is low compared with the best funds.</w:t>
      </w:r>
    </w:p>
    <w:bookmarkEnd w:id="26"/>
    <w:bookmarkStart w:id="27" w:name="stage-4-scoring-and-ranking"/>
    <w:p>
      <w:pPr>
        <w:pStyle w:val="Heading1"/>
        <w:keepNext/>
        <w:spacing w:before="320" w:after="120"/>
      </w:pPr>
      <w:r>
        <w:t xml:space="preserve">Stage 4: Scoring and ranking</w:t>
      </w:r>
    </w:p>
    <w:p>
      <w:pPr>
        <w:numPr>
          <w:ilvl w:val="0"/>
          <w:numId w:val="1008"/>
        </w:numPr>
      </w:pPr>
      <w:r>
        <w:t xml:space="preserve">My formula is:</w:t>
      </w:r>
    </w:p>
    <w:p>
      <w:pPr>
        <w:numPr>
          <w:ilvl w:val="0"/>
          <w:numId w:val="1000"/>
        </w:numPr>
      </w:pPr>
      <w:r>
        <w:t xml:space="preserve">Score = 100 x (0.40 x Return + 0.15 x (1 - Expense) + 0.10 x Age score + 0.10 x Positive 1 year + 0.25 x (1 - Risk))</w:t>
      </w:r>
    </w:p>
    <w:p>
      <w:pPr>
        <w:numPr>
          <w:ilvl w:val="1"/>
          <w:numId w:val="1009"/>
        </w:numPr>
        <w:pStyle w:val="Compact"/>
        <w:spacing w:after="120" w:line="269" w:lineRule="auto"/>
      </w:pPr>
      <w:r>
        <w:t xml:space="preserve">Return, Expense and Risk are the scaled values.</w:t>
      </w:r>
    </w:p>
    <w:p>
      <w:pPr>
        <w:numPr>
          <w:ilvl w:val="1"/>
          <w:numId w:val="1009"/>
        </w:numPr>
        <w:pStyle w:val="Compact"/>
        <w:spacing w:after="120" w:line="269" w:lineRule="auto"/>
      </w:pPr>
      <w:r>
        <w:t xml:space="preserve">Age score = 1 - |age - 7| / 6 (minimum 0). I took 7 years as the best age, not too new and not too old.</w:t>
      </w:r>
    </w:p>
    <w:p>
      <w:pPr>
        <w:numPr>
          <w:ilvl w:val="1"/>
          <w:numId w:val="1009"/>
        </w:numPr>
        <w:pStyle w:val="Compact"/>
        <w:spacing w:after="120" w:line="269" w:lineRule="auto"/>
      </w:pPr>
      <w:r>
        <w:t xml:space="preserve">Positive 1 year is 1 if the 1 year return is above 0, otherwise 0.</w:t>
      </w:r>
    </w:p>
    <w:p>
      <w:pPr>
        <w:numPr>
          <w:ilvl w:val="1"/>
          <w:numId w:val="1009"/>
        </w:numPr>
        <w:pStyle w:val="Compact"/>
        <w:spacing w:after="120" w:line="269" w:lineRule="auto"/>
      </w:pPr>
      <w:r>
        <w:t xml:space="preserve">The brief gives 4 factors. I added risk as a fifth, because the aim is good return with low risk.</w:t>
      </w:r>
    </w:p>
    <w:p>
      <w:pPr>
        <w:numPr>
          <w:ilvl w:val="0"/>
          <w:numId w:val="1008"/>
        </w:numPr>
      </w:pPr>
      <w:r>
        <w:t xml:space="preserve">Return is better when it is high, so I use it as it is. Expense and risk are better when low, so I use 1 minus the scaled value.</w:t>
      </w:r>
    </w:p>
    <w:p>
      <w:pPr>
        <w:numPr>
          <w:ilvl w:val="0"/>
          <w:numId w:val="1008"/>
        </w:numPr>
      </w:pPr>
      <w:r>
        <w:t xml:space="preserve">I gave the most weight to return (40%) because it is the main aim, then risk (25%), expense (15%), age (10%) and positive 1 year (10%). A different weighting does change the ranking a lot. With 45/15/10/10/20 only 8 funds stayed in the Top 30 and 26 of the 30 were equity funds. With more weight on safety (25/15/10/10/40) 23 funds stayed. This happens because return and risk go together in this data.</w:t>
      </w:r>
    </w:p>
    <w:p>
      <w:pPr>
        <w:numPr>
          <w:ilvl w:val="0"/>
          <w:numId w:val="1008"/>
        </w:numPr>
      </w:pPr>
      <w:r>
        <w:t xml:space="preserve">I ranked all 779 funds. The parts closest to the final score are positive 1 year return (0.70), low risk (0.70) and low expense (0.59). Return is -0.26, because high return funds also have high risk.</w:t>
      </w:r>
    </w:p>
    <w:bookmarkEnd w:id="27"/>
    <w:bookmarkStart w:id="28" w:name="stage-5-top-30-funds"/>
    <w:p>
      <w:pPr>
        <w:pStyle w:val="Heading1"/>
        <w:keepNext/>
        <w:spacing w:before="320" w:after="120"/>
      </w:pPr>
      <w:r>
        <w:t xml:space="preserve">Stage 5: Top 30 funds</w:t>
      </w:r>
    </w:p>
    <w:p>
      <w:pPr>
        <w:numPr>
          <w:ilvl w:val="0"/>
          <w:numId w:val="1010"/>
        </w:numPr>
      </w:pPr>
      <w:r>
        <w:t xml:space="preserve">The Top 30 is saved in Top_30_Mutual_Funds.xlsx.</w:t>
      </w:r>
    </w:p>
    <w:p>
      <w:pPr>
        <w:numPr>
          <w:ilvl w:val="0"/>
          <w:numId w:val="1010"/>
        </w:numPr>
      </w:pPr>
      <w:r>
        <w:t xml:space="preserve">15 of the 30 are Debt, 9 are Hybrid and 6 are Equity. 22 have risk level 1. 12 are overnight funds and 8 are arbitrage funds. The average expense ratio is 0.34% (all funds 0.71%) and no AMC has more than 3 funds. So with my weights, safe and cheap funds win. Most of them give only 4 to 5% return. Rank 1 (Sundaram Emerging Small Cap Series III) is a small cap fund with risk level 2, which looks strange.</w:t>
      </w:r>
    </w:p>
    <w:p>
      <w:pPr>
        <w:numPr>
          <w:ilvl w:val="0"/>
          <w:numId w:val="1010"/>
        </w:numPr>
      </w:pPr>
      <w:r>
        <w:t xml:space="preserve">ICICI Pru Equity Savings Fund is at rank 12 with score 55.73. Its 3 year return is 12.7%, 1 year return is 6.2% (positive), expense ratio is 0.54%, age is 8 years and risk level is 2. So it has a fair return with low risk and low cost.</w:t>
      </w:r>
    </w:p>
    <w:bookmarkEnd w:id="28"/>
    <w:bookmarkStart w:id="35" w:name="stage-6-power-bi-dashboard"/>
    <w:p>
      <w:pPr>
        <w:pStyle w:val="Heading1"/>
        <w:keepNext/>
        <w:spacing w:before="320" w:after="120"/>
      </w:pPr>
      <w:r>
        <w:t xml:space="preserve">Stage 6: Power BI dashboard</w:t>
      </w:r>
    </w:p>
    <w:p>
      <w:pPr>
        <w:pStyle w:val="FirstParagraph"/>
        <w:spacing w:after="120" w:line="269" w:lineRule="auto"/>
      </w:pPr>
      <w:r>
        <w:t xml:space="preserve">My dashboard has 3 pages. Page 1 (Overview) and page 2 (Fund Analysis) have 5 charts each, and page 3 shows the Top 30 table. The same filters are on every page.</w:t>
      </w:r>
    </w:p>
    <w:p>
      <w:pPr>
        <w:pStyle w:val="CaptionedFigure"/>
        <w:keepNext/>
        <w:spacing w:before="120" w:after="80"/>
        <w:jc w:val="center"/>
      </w:pPr>
      <w:r>
        <w:drawing>
          <wp:inline>
            <wp:extent cx="5334000" cy="3067808"/>
            <wp:effectExtent b="0" l="0" r="0" t="0"/>
            <wp:docPr descr="Page 1: Overview" title="" id="30" name="Picture"/>
            <a:graphic>
              <a:graphicData uri="http://schemas.openxmlformats.org/drawingml/2006/picture">
                <pic:pic>
                  <pic:nvPicPr>
                    <pic:cNvPr descr="dash_page1.png" id="31" name="Picture"/>
                    <pic:cNvPicPr>
                      <a:picLocks noChangeArrowheads="1" noChangeAspect="1"/>
                    </pic:cNvPicPr>
                  </pic:nvPicPr>
                  <pic:blipFill>
                    <a:blip r:embed="rId29"/>
                    <a:stretch>
                      <a:fillRect/>
                    </a:stretch>
                  </pic:blipFill>
                  <pic:spPr bwMode="auto">
                    <a:xfrm>
                      <a:off x="0" y="0"/>
                      <a:ext cx="5334000" cy="3067808"/>
                    </a:xfrm>
                    <a:prstGeom prst="rect">
                      <a:avLst/>
                    </a:prstGeom>
                    <a:noFill/>
                    <a:ln w="9525">
                      <a:noFill/>
                      <a:headEnd/>
                      <a:tailEnd/>
                    </a:ln>
                  </pic:spPr>
                </pic:pic>
              </a:graphicData>
            </a:graphic>
          </wp:inline>
        </w:drawing>
      </w:r>
    </w:p>
    <w:p>
      <w:pPr>
        <w:pStyle w:val="ImageCaption"/>
        <w:spacing w:after="200"/>
        <w:jc w:val="center"/>
      </w:pPr>
      <w:r>
        <w:t xml:space="preserve">Page 1: Overview</w:t>
      </w:r>
    </w:p>
    <w:p>
      <w:pPr>
        <w:pStyle w:val="CaptionedFigure"/>
        <w:keepNext/>
        <w:spacing w:before="120" w:after="80"/>
        <w:jc w:val="center"/>
      </w:pPr>
      <w:r>
        <w:drawing>
          <wp:inline>
            <wp:extent cx="5334000" cy="3032723"/>
            <wp:effectExtent b="0" l="0" r="0" t="0"/>
            <wp:docPr descr="Page 2: Fund Analysis" title="" id="33" name="Picture"/>
            <a:graphic>
              <a:graphicData uri="http://schemas.openxmlformats.org/drawingml/2006/picture">
                <pic:pic>
                  <pic:nvPicPr>
                    <pic:cNvPr descr="dash_page2.png" id="34" name="Picture"/>
                    <pic:cNvPicPr>
                      <a:picLocks noChangeArrowheads="1" noChangeAspect="1"/>
                    </pic:cNvPicPr>
                  </pic:nvPicPr>
                  <pic:blipFill>
                    <a:blip r:embed="rId32"/>
                    <a:stretch>
                      <a:fillRect/>
                    </a:stretch>
                  </pic:blipFill>
                  <pic:spPr bwMode="auto">
                    <a:xfrm>
                      <a:off x="0" y="0"/>
                      <a:ext cx="5334000" cy="3032723"/>
                    </a:xfrm>
                    <a:prstGeom prst="rect">
                      <a:avLst/>
                    </a:prstGeom>
                    <a:noFill/>
                    <a:ln w="9525">
                      <a:noFill/>
                      <a:headEnd/>
                      <a:tailEnd/>
                    </a:ln>
                  </pic:spPr>
                </pic:pic>
              </a:graphicData>
            </a:graphic>
          </wp:inline>
        </w:drawing>
      </w:r>
    </w:p>
    <w:p>
      <w:pPr>
        <w:pStyle w:val="ImageCaption"/>
        <w:spacing w:after="200"/>
        <w:jc w:val="center"/>
      </w:pPr>
      <w:r>
        <w:t xml:space="preserve">Page 2: Fund Analysis</w:t>
      </w:r>
    </w:p>
    <w:p>
      <w:pPr>
        <w:pStyle w:val="BodyText"/>
        <w:spacing w:after="120" w:line="269" w:lineRule="auto"/>
      </w:pPr>
      <w:r>
        <w:t xml:space="preserve">Filters: Fund Type, Sub Category, AMC Name, Risk Level and Rating. Fund Type is the same as category.</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true"/>
        </w:trPr>
        <w:tc>
          <w:tcPr>
            <w:shd w:val="clear" w:color="auto" w:fill="1F4E78"/>
          </w:tcPr>
          <w:p>
            <w:pPr>
              <w:pStyle w:val="Compact"/>
              <w:spacing w:before="40" w:after="40"/>
              <w:jc w:val="left"/>
            </w:pPr>
            <w:r>
              <w:rPr>
                <w:rFonts w:ascii="Calibri" w:hAnsi="Calibri"/>
                <w:b/>
                <w:color w:val="FFFFFF"/>
                <w:sz w:val="19"/>
              </w:rPr>
              <w:t xml:space="preserve">Visual</w:t>
            </w:r>
          </w:p>
        </w:tc>
        <w:tc>
          <w:tcPr>
            <w:shd w:val="clear" w:color="auto" w:fill="1F4E78"/>
          </w:tcPr>
          <w:p>
            <w:pPr>
              <w:pStyle w:val="Compact"/>
              <w:spacing w:before="40" w:after="40"/>
              <w:jc w:val="left"/>
            </w:pPr>
            <w:r>
              <w:rPr>
                <w:rFonts w:ascii="Calibri" w:hAnsi="Calibri"/>
                <w:b/>
                <w:color w:val="FFFFFF"/>
                <w:sz w:val="19"/>
              </w:rPr>
              <w:t xml:space="preserve">Chart</w:t>
            </w:r>
          </w:p>
        </w:tc>
        <w:tc>
          <w:tcPr>
            <w:shd w:val="clear" w:color="auto" w:fill="1F4E78"/>
          </w:tcPr>
          <w:p>
            <w:pPr>
              <w:pStyle w:val="Compact"/>
              <w:spacing w:before="40" w:after="40"/>
              <w:jc w:val="left"/>
            </w:pPr>
            <w:r>
              <w:rPr>
                <w:rFonts w:ascii="Calibri" w:hAnsi="Calibri"/>
                <w:b/>
                <w:color w:val="FFFFFF"/>
                <w:sz w:val="19"/>
              </w:rPr>
              <w:t xml:space="preserve">Reason</w:t>
            </w:r>
          </w:p>
        </w:tc>
      </w:tr>
      <w:tr>
        <w:tc>
          <w:tcPr/>
          <w:p>
            <w:pPr>
              <w:pStyle w:val="Compact"/>
              <w:spacing w:before="40" w:after="40"/>
              <w:jc w:val="left"/>
            </w:pPr>
            <w:r>
              <w:rPr>
                <w:rFonts w:ascii="Calibri" w:hAnsi="Calibri"/>
                <w:sz w:val="19"/>
              </w:rPr>
              <w:t xml:space="preserve">AUM by fund type</w:t>
            </w:r>
          </w:p>
        </w:tc>
        <w:tc>
          <w:tcPr/>
          <w:p>
            <w:pPr>
              <w:pStyle w:val="Compact"/>
              <w:spacing w:before="40" w:after="40"/>
              <w:jc w:val="left"/>
            </w:pPr>
            <w:r>
              <w:rPr>
                <w:rFonts w:ascii="Calibri" w:hAnsi="Calibri"/>
                <w:sz w:val="19"/>
              </w:rPr>
              <w:t xml:space="preserve">Bar</w:t>
            </w:r>
          </w:p>
        </w:tc>
        <w:tc>
          <w:tcPr/>
          <w:p>
            <w:pPr>
              <w:pStyle w:val="Compact"/>
              <w:spacing w:before="40" w:after="40"/>
              <w:jc w:val="left"/>
            </w:pPr>
            <w:r>
              <w:rPr>
                <w:rFonts w:ascii="Calibri" w:hAnsi="Calibri"/>
                <w:sz w:val="19"/>
              </w:rPr>
              <w:t xml:space="preserve">5 types, easy to compare</w:t>
            </w:r>
          </w:p>
        </w:tc>
      </w:tr>
      <w:tr>
        <w:tc>
          <w:tcPr>
            <w:shd w:val="clear" w:color="auto" w:fill="EEF4FA"/>
          </w:tcPr>
          <w:p>
            <w:pPr>
              <w:pStyle w:val="Compact"/>
              <w:spacing w:before="40" w:after="40"/>
              <w:jc w:val="left"/>
            </w:pPr>
            <w:r>
              <w:rPr>
                <w:rFonts w:ascii="Calibri" w:hAnsi="Calibri"/>
                <w:sz w:val="19"/>
              </w:rPr>
              <w:t xml:space="preserve">3 year return by category</w:t>
            </w:r>
          </w:p>
        </w:tc>
        <w:tc>
          <w:tcPr>
            <w:shd w:val="clear" w:color="auto" w:fill="EEF4FA"/>
          </w:tcPr>
          <w:p>
            <w:pPr>
              <w:pStyle w:val="Compact"/>
              <w:spacing w:before="40" w:after="40"/>
              <w:jc w:val="left"/>
            </w:pPr>
            <w:r>
              <w:rPr>
                <w:rFonts w:ascii="Calibri" w:hAnsi="Calibri"/>
                <w:sz w:val="19"/>
              </w:rPr>
              <w:t xml:space="preserve">Column</w:t>
            </w:r>
          </w:p>
        </w:tc>
        <w:tc>
          <w:tcPr>
            <w:shd w:val="clear" w:color="auto" w:fill="EEF4FA"/>
          </w:tcPr>
          <w:p>
            <w:pPr>
              <w:pStyle w:val="Compact"/>
              <w:spacing w:before="40" w:after="40"/>
              <w:jc w:val="left"/>
            </w:pPr>
            <w:r>
              <w:rPr>
                <w:rFonts w:ascii="Calibri" w:hAnsi="Calibri"/>
                <w:sz w:val="19"/>
              </w:rPr>
              <w:t xml:space="preserve">easy to compare. A donut is not good because averages do not add to a whole</w:t>
            </w:r>
          </w:p>
        </w:tc>
      </w:tr>
      <w:tr>
        <w:tc>
          <w:tcPr/>
          <w:p>
            <w:pPr>
              <w:pStyle w:val="Compact"/>
              <w:spacing w:before="40" w:after="40"/>
              <w:jc w:val="left"/>
            </w:pPr>
            <w:r>
              <w:rPr>
                <w:rFonts w:ascii="Calibri" w:hAnsi="Calibri"/>
                <w:sz w:val="19"/>
              </w:rPr>
              <w:t xml:space="preserve">Funds by risk level</w:t>
            </w:r>
          </w:p>
        </w:tc>
        <w:tc>
          <w:tcPr/>
          <w:p>
            <w:pPr>
              <w:pStyle w:val="Compact"/>
              <w:spacing w:before="40" w:after="40"/>
              <w:jc w:val="left"/>
            </w:pPr>
            <w:r>
              <w:rPr>
                <w:rFonts w:ascii="Calibri" w:hAnsi="Calibri"/>
                <w:sz w:val="19"/>
              </w:rPr>
              <w:t xml:space="preserve">Column</w:t>
            </w:r>
          </w:p>
        </w:tc>
        <w:tc>
          <w:tcPr/>
          <w:p>
            <w:pPr>
              <w:pStyle w:val="Compact"/>
              <w:spacing w:before="40" w:after="40"/>
              <w:jc w:val="left"/>
            </w:pPr>
            <w:r>
              <w:rPr>
                <w:rFonts w:ascii="Calibri" w:hAnsi="Calibri"/>
                <w:sz w:val="19"/>
              </w:rPr>
              <w:t xml:space="preserve">shows how many funds are at each level</w:t>
            </w:r>
          </w:p>
        </w:tc>
      </w:tr>
      <w:tr>
        <w:tc>
          <w:tcPr>
            <w:shd w:val="clear" w:color="auto" w:fill="EEF4FA"/>
          </w:tcPr>
          <w:p>
            <w:pPr>
              <w:pStyle w:val="Compact"/>
              <w:spacing w:before="40" w:after="40"/>
              <w:jc w:val="left"/>
            </w:pPr>
            <w:r>
              <w:rPr>
                <w:rFonts w:ascii="Calibri" w:hAnsi="Calibri"/>
                <w:sz w:val="19"/>
              </w:rPr>
              <w:t xml:space="preserve">Share of funds by type</w:t>
            </w:r>
          </w:p>
        </w:tc>
        <w:tc>
          <w:tcPr>
            <w:shd w:val="clear" w:color="auto" w:fill="EEF4FA"/>
          </w:tcPr>
          <w:p>
            <w:pPr>
              <w:pStyle w:val="Compact"/>
              <w:spacing w:before="40" w:after="40"/>
              <w:jc w:val="left"/>
            </w:pPr>
            <w:r>
              <w:rPr>
                <w:rFonts w:ascii="Calibri" w:hAnsi="Calibri"/>
                <w:sz w:val="19"/>
              </w:rPr>
              <w:t xml:space="preserve">Donut</w:t>
            </w:r>
          </w:p>
        </w:tc>
        <w:tc>
          <w:tcPr>
            <w:shd w:val="clear" w:color="auto" w:fill="EEF4FA"/>
          </w:tcPr>
          <w:p>
            <w:pPr>
              <w:pStyle w:val="Compact"/>
              <w:spacing w:before="40" w:after="40"/>
              <w:jc w:val="left"/>
            </w:pPr>
            <w:r>
              <w:rPr>
                <w:rFonts w:ascii="Calibri" w:hAnsi="Calibri"/>
                <w:sz w:val="19"/>
              </w:rPr>
              <w:t xml:space="preserve">the shares add to 100%</w:t>
            </w:r>
          </w:p>
        </w:tc>
      </w:tr>
      <w:tr>
        <w:tc>
          <w:tcPr/>
          <w:p>
            <w:pPr>
              <w:pStyle w:val="Compact"/>
              <w:spacing w:before="40" w:after="40"/>
              <w:jc w:val="left"/>
            </w:pPr>
            <w:r>
              <w:rPr>
                <w:rFonts w:ascii="Calibri" w:hAnsi="Calibri"/>
                <w:sz w:val="19"/>
              </w:rPr>
              <w:t xml:space="preserve">Funds by rating</w:t>
            </w:r>
          </w:p>
        </w:tc>
        <w:tc>
          <w:tcPr/>
          <w:p>
            <w:pPr>
              <w:pStyle w:val="Compact"/>
              <w:spacing w:before="40" w:after="40"/>
              <w:jc w:val="left"/>
            </w:pPr>
            <w:r>
              <w:rPr>
                <w:rFonts w:ascii="Calibri" w:hAnsi="Calibri"/>
                <w:sz w:val="19"/>
              </w:rPr>
              <w:t xml:space="preserve">Column</w:t>
            </w:r>
          </w:p>
        </w:tc>
        <w:tc>
          <w:tcPr/>
          <w:p>
            <w:pPr>
              <w:pStyle w:val="Compact"/>
              <w:spacing w:before="40" w:after="40"/>
              <w:jc w:val="left"/>
            </w:pPr>
            <w:r>
              <w:rPr>
                <w:rFonts w:ascii="Calibri" w:hAnsi="Calibri"/>
                <w:sz w:val="19"/>
              </w:rPr>
              <w:t xml:space="preserve">shows how many funds have each rating</w:t>
            </w:r>
          </w:p>
        </w:tc>
      </w:tr>
      <w:tr>
        <w:tc>
          <w:tcPr>
            <w:shd w:val="clear" w:color="auto" w:fill="EEF4FA"/>
          </w:tcPr>
          <w:p>
            <w:pPr>
              <w:pStyle w:val="Compact"/>
              <w:spacing w:before="40" w:after="40"/>
              <w:jc w:val="left"/>
            </w:pPr>
            <w:r>
              <w:rPr>
                <w:rFonts w:ascii="Calibri" w:hAnsi="Calibri"/>
                <w:sz w:val="19"/>
              </w:rPr>
              <w:t xml:space="preserve">SIP and lump sum</w:t>
            </w:r>
          </w:p>
        </w:tc>
        <w:tc>
          <w:tcPr>
            <w:shd w:val="clear" w:color="auto" w:fill="EEF4FA"/>
          </w:tcPr>
          <w:p>
            <w:pPr>
              <w:pStyle w:val="Compact"/>
              <w:spacing w:before="40" w:after="40"/>
              <w:jc w:val="left"/>
            </w:pPr>
            <w:r>
              <w:rPr>
                <w:rFonts w:ascii="Calibri" w:hAnsi="Calibri"/>
                <w:sz w:val="19"/>
              </w:rPr>
              <w:t xml:space="preserve">Cards</w:t>
            </w:r>
          </w:p>
        </w:tc>
        <w:tc>
          <w:tcPr>
            <w:shd w:val="clear" w:color="auto" w:fill="EEF4FA"/>
          </w:tcPr>
          <w:p>
            <w:pPr>
              <w:pStyle w:val="Compact"/>
              <w:spacing w:before="40" w:after="40"/>
              <w:jc w:val="left"/>
            </w:pPr>
            <w:r>
              <w:rPr>
                <w:rFonts w:ascii="Calibri" w:hAnsi="Calibri"/>
                <w:sz w:val="19"/>
              </w:rPr>
              <w:t xml:space="preserve">one main number each</w:t>
            </w:r>
          </w:p>
        </w:tc>
      </w:tr>
      <w:tr>
        <w:tc>
          <w:tcPr/>
          <w:p>
            <w:pPr>
              <w:pStyle w:val="Compact"/>
              <w:spacing w:before="40" w:after="40"/>
              <w:jc w:val="left"/>
            </w:pPr>
            <w:r>
              <w:rPr>
                <w:rFonts w:ascii="Calibri" w:hAnsi="Calibri"/>
                <w:sz w:val="19"/>
              </w:rPr>
              <w:t xml:space="preserve">Expense ratio by sub category</w:t>
            </w:r>
          </w:p>
        </w:tc>
        <w:tc>
          <w:tcPr/>
          <w:p>
            <w:pPr>
              <w:pStyle w:val="Compact"/>
              <w:spacing w:before="40" w:after="40"/>
              <w:jc w:val="left"/>
            </w:pPr>
            <w:r>
              <w:rPr>
                <w:rFonts w:ascii="Calibri" w:hAnsi="Calibri"/>
                <w:sz w:val="19"/>
              </w:rPr>
              <w:t xml:space="preserve">Bar</w:t>
            </w:r>
          </w:p>
        </w:tc>
        <w:tc>
          <w:tcPr/>
          <w:p>
            <w:pPr>
              <w:pStyle w:val="Compact"/>
              <w:spacing w:before="40" w:after="40"/>
              <w:jc w:val="left"/>
            </w:pPr>
            <w:r>
              <w:rPr>
                <w:rFonts w:ascii="Calibri" w:hAnsi="Calibri"/>
                <w:sz w:val="19"/>
              </w:rPr>
              <w:t xml:space="preserve">38 names fit better on the side</w:t>
            </w:r>
          </w:p>
        </w:tc>
      </w:tr>
      <w:tr>
        <w:tc>
          <w:tcPr>
            <w:shd w:val="clear" w:color="auto" w:fill="EEF4FA"/>
          </w:tcPr>
          <w:p>
            <w:pPr>
              <w:pStyle w:val="Compact"/>
              <w:spacing w:before="40" w:after="40"/>
              <w:jc w:val="left"/>
            </w:pPr>
            <w:r>
              <w:rPr>
                <w:rFonts w:ascii="Calibri" w:hAnsi="Calibri"/>
                <w:sz w:val="19"/>
              </w:rPr>
              <w:t xml:space="preserve">AMC return vs AUM</w:t>
            </w:r>
          </w:p>
        </w:tc>
        <w:tc>
          <w:tcPr>
            <w:shd w:val="clear" w:color="auto" w:fill="EEF4FA"/>
          </w:tcPr>
          <w:p>
            <w:pPr>
              <w:pStyle w:val="Compact"/>
              <w:spacing w:before="40" w:after="40"/>
              <w:jc w:val="left"/>
            </w:pPr>
            <w:r>
              <w:rPr>
                <w:rFonts w:ascii="Calibri" w:hAnsi="Calibri"/>
                <w:sz w:val="19"/>
              </w:rPr>
              <w:t xml:space="preserve">Scatter</w:t>
            </w:r>
          </w:p>
        </w:tc>
        <w:tc>
          <w:tcPr>
            <w:shd w:val="clear" w:color="auto" w:fill="EEF4FA"/>
          </w:tcPr>
          <w:p>
            <w:pPr>
              <w:pStyle w:val="Compact"/>
              <w:spacing w:before="40" w:after="40"/>
              <w:jc w:val="left"/>
            </w:pPr>
            <w:r>
              <w:rPr>
                <w:rFonts w:ascii="Calibri" w:hAnsi="Calibri"/>
                <w:sz w:val="19"/>
              </w:rPr>
              <w:t xml:space="preserve">shows size and return together</w:t>
            </w:r>
          </w:p>
        </w:tc>
      </w:tr>
      <w:tr>
        <w:tc>
          <w:tcPr/>
          <w:p>
            <w:pPr>
              <w:pStyle w:val="Compact"/>
              <w:spacing w:before="40" w:after="40"/>
              <w:jc w:val="left"/>
            </w:pPr>
            <w:r>
              <w:rPr>
                <w:rFonts w:ascii="Calibri" w:hAnsi="Calibri"/>
                <w:sz w:val="19"/>
              </w:rPr>
              <w:t xml:space="preserve">Top 10 fund managers by AUM</w:t>
            </w:r>
          </w:p>
        </w:tc>
        <w:tc>
          <w:tcPr/>
          <w:p>
            <w:pPr>
              <w:pStyle w:val="Compact"/>
              <w:spacing w:before="40" w:after="40"/>
              <w:jc w:val="left"/>
            </w:pPr>
            <w:r>
              <w:rPr>
                <w:rFonts w:ascii="Calibri" w:hAnsi="Calibri"/>
                <w:sz w:val="19"/>
              </w:rPr>
              <w:t xml:space="preserve">Bar</w:t>
            </w:r>
          </w:p>
        </w:tc>
        <w:tc>
          <w:tcPr/>
          <w:p>
            <w:pPr>
              <w:pStyle w:val="Compact"/>
              <w:spacing w:before="40" w:after="40"/>
              <w:jc w:val="left"/>
            </w:pPr>
            <w:r>
              <w:rPr>
                <w:rFonts w:ascii="Calibri" w:hAnsi="Calibri"/>
                <w:sz w:val="19"/>
              </w:rPr>
              <w:t xml:space="preserve">a ranking</w:t>
            </w:r>
          </w:p>
        </w:tc>
      </w:tr>
      <w:tr>
        <w:tc>
          <w:tcPr>
            <w:shd w:val="clear" w:color="auto" w:fill="EEF4FA"/>
          </w:tcPr>
          <w:p>
            <w:pPr>
              <w:pStyle w:val="Compact"/>
              <w:spacing w:before="40" w:after="40"/>
              <w:jc w:val="left"/>
            </w:pPr>
            <w:r>
              <w:rPr>
                <w:rFonts w:ascii="Calibri" w:hAnsi="Calibri"/>
                <w:sz w:val="19"/>
              </w:rPr>
              <w:t xml:space="preserve">Top 10 AMCs by 3 year return</w:t>
            </w:r>
          </w:p>
        </w:tc>
        <w:tc>
          <w:tcPr>
            <w:shd w:val="clear" w:color="auto" w:fill="EEF4FA"/>
          </w:tcPr>
          <w:p>
            <w:pPr>
              <w:pStyle w:val="Compact"/>
              <w:spacing w:before="40" w:after="40"/>
              <w:jc w:val="left"/>
            </w:pPr>
            <w:r>
              <w:rPr>
                <w:rFonts w:ascii="Calibri" w:hAnsi="Calibri"/>
                <w:sz w:val="19"/>
              </w:rPr>
              <w:t xml:space="preserve">Bar</w:t>
            </w:r>
          </w:p>
        </w:tc>
        <w:tc>
          <w:tcPr>
            <w:shd w:val="clear" w:color="auto" w:fill="EEF4FA"/>
          </w:tcPr>
          <w:p>
            <w:pPr>
              <w:pStyle w:val="Compact"/>
              <w:spacing w:before="40" w:after="40"/>
              <w:jc w:val="left"/>
            </w:pPr>
            <w:r>
              <w:rPr>
                <w:rFonts w:ascii="Calibri" w:hAnsi="Calibri"/>
                <w:sz w:val="19"/>
              </w:rPr>
              <w:t xml:space="preserve">only AMCs with 5 or more funds</w:t>
            </w:r>
          </w:p>
        </w:tc>
      </w:tr>
      <w:tr>
        <w:tc>
          <w:tcPr/>
          <w:p>
            <w:pPr>
              <w:pStyle w:val="Compact"/>
              <w:spacing w:before="40" w:after="40"/>
              <w:jc w:val="left"/>
            </w:pPr>
            <w:r>
              <w:rPr>
                <w:rFonts w:ascii="Calibri" w:hAnsi="Calibri"/>
                <w:sz w:val="19"/>
              </w:rPr>
              <w:t xml:space="preserve">3 year return by risk level</w:t>
            </w:r>
          </w:p>
        </w:tc>
        <w:tc>
          <w:tcPr/>
          <w:p>
            <w:pPr>
              <w:pStyle w:val="Compact"/>
              <w:spacing w:before="40" w:after="40"/>
              <w:jc w:val="left"/>
            </w:pPr>
            <w:r>
              <w:rPr>
                <w:rFonts w:ascii="Calibri" w:hAnsi="Calibri"/>
                <w:sz w:val="19"/>
              </w:rPr>
              <w:t xml:space="preserve">Column</w:t>
            </w:r>
          </w:p>
        </w:tc>
        <w:tc>
          <w:tcPr/>
          <w:p>
            <w:pPr>
              <w:pStyle w:val="Compact"/>
              <w:spacing w:before="40" w:after="40"/>
              <w:jc w:val="left"/>
            </w:pPr>
            <w:r>
              <w:rPr>
                <w:rFonts w:ascii="Calibri" w:hAnsi="Calibri"/>
                <w:sz w:val="19"/>
              </w:rPr>
              <w:t xml:space="preserve">shows the risk and return trade-off</w:t>
            </w:r>
          </w:p>
        </w:tc>
      </w:tr>
      <w:tr>
        <w:tc>
          <w:tcPr>
            <w:shd w:val="clear" w:color="auto" w:fill="EEF4FA"/>
          </w:tcPr>
          <w:p>
            <w:pPr>
              <w:pStyle w:val="Compact"/>
              <w:spacing w:before="40" w:after="40"/>
              <w:jc w:val="left"/>
            </w:pPr>
            <w:r>
              <w:rPr>
                <w:rFonts w:ascii="Calibri" w:hAnsi="Calibri"/>
                <w:sz w:val="19"/>
              </w:rPr>
              <w:t xml:space="preserve">Top 30 funds</w:t>
            </w:r>
          </w:p>
        </w:tc>
        <w:tc>
          <w:tcPr>
            <w:shd w:val="clear" w:color="auto" w:fill="EEF4FA"/>
          </w:tcPr>
          <w:p>
            <w:pPr>
              <w:pStyle w:val="Compact"/>
              <w:spacing w:before="40" w:after="40"/>
              <w:jc w:val="left"/>
            </w:pPr>
            <w:r>
              <w:rPr>
                <w:rFonts w:ascii="Calibri" w:hAnsi="Calibri"/>
                <w:sz w:val="19"/>
              </w:rPr>
              <w:t xml:space="preserve">Table</w:t>
            </w:r>
          </w:p>
        </w:tc>
        <w:tc>
          <w:tcPr>
            <w:shd w:val="clear" w:color="auto" w:fill="EEF4FA"/>
          </w:tcPr>
          <w:p>
            <w:pPr>
              <w:pStyle w:val="Compact"/>
              <w:spacing w:before="40" w:after="40"/>
              <w:jc w:val="left"/>
            </w:pPr>
            <w:r>
              <w:rPr>
                <w:rFonts w:ascii="Calibri" w:hAnsi="Calibri"/>
                <w:sz w:val="19"/>
              </w:rPr>
              <w:t xml:space="preserve">shows the result of my score</w:t>
            </w:r>
          </w:p>
        </w:tc>
      </w:tr>
      <w:tr>
        <w:tc>
          <w:tcPr/>
          <w:p>
            <w:pPr>
              <w:pStyle w:val="Compact"/>
              <w:spacing w:before="40" w:after="40"/>
              <w:jc w:val="left"/>
            </w:pPr>
            <w:r>
              <w:rPr>
                <w:rFonts w:ascii="Calibri" w:hAnsi="Calibri"/>
                <w:sz w:val="19"/>
              </w:rPr>
              <w:t xml:space="preserve">Insight cards</w:t>
            </w:r>
          </w:p>
        </w:tc>
        <w:tc>
          <w:tcPr/>
          <w:p>
            <w:pPr>
              <w:pStyle w:val="Compact"/>
              <w:spacing w:before="40" w:after="40"/>
              <w:jc w:val="left"/>
            </w:pPr>
            <w:r>
              <w:rPr>
                <w:rFonts w:ascii="Calibri" w:hAnsi="Calibri"/>
                <w:sz w:val="19"/>
              </w:rPr>
              <w:t xml:space="preserve">Text cards</w:t>
            </w:r>
          </w:p>
        </w:tc>
        <w:tc>
          <w:tcPr/>
          <w:p>
            <w:pPr>
              <w:pStyle w:val="Compact"/>
              <w:spacing w:before="40" w:after="40"/>
              <w:jc w:val="left"/>
            </w:pPr>
            <w:r>
              <w:rPr>
                <w:rFonts w:ascii="Calibri" w:hAnsi="Calibri"/>
                <w:sz w:val="19"/>
              </w:rPr>
              <w:t xml:space="preserve">short sentences that change with filters</w:t>
            </w:r>
          </w:p>
        </w:tc>
      </w:tr>
    </w:tbl>
    <w:p>
      <w:pPr>
        <w:pStyle w:val="BodyText"/>
        <w:spacing w:after="120" w:line="269" w:lineRule="auto"/>
      </w:pPr>
      <w:r>
        <w:t xml:space="preserve">Layout: every page has the title and filters on top, then the cards and the charts, so it reads from top to bottom. Page 1 is the overview, page 2 has more detail and page 3 has the final Top 30.</w:t>
      </w:r>
    </w:p>
    <w:p>
      <w:pPr>
        <w:pStyle w:val="BodyText"/>
        <w:spacing w:after="120" w:line="269" w:lineRule="auto"/>
      </w:pPr>
      <w:r>
        <w:t xml:space="preserve">The most useful visual for an investor is 3 year return by risk level. Return goes from 4.16% at risk level 1 to 27.52% at level 6, so it shows the trade-off in one chart.</w:t>
      </w:r>
    </w:p>
    <w:bookmarkEnd w:id="35"/>
    <w:bookmarkStart w:id="36" w:name="stage-7-insights"/>
    <w:p>
      <w:pPr>
        <w:pStyle w:val="Heading1"/>
        <w:keepNext/>
        <w:spacing w:before="320" w:after="120"/>
      </w:pPr>
      <w:r>
        <w:t xml:space="preserve">Stage 7: Insights</w:t>
      </w:r>
    </w:p>
    <w:p>
      <w:pPr>
        <w:numPr>
          <w:ilvl w:val="0"/>
          <w:numId w:val="1011"/>
        </w:numPr>
        <w:pStyle w:val="Compact"/>
        <w:spacing w:after="120" w:line="269" w:lineRule="auto"/>
      </w:pPr>
      <w:r>
        <w:t xml:space="preserve">Equity has the largest AUM, 13.54 lakh crore (43.6%). It is about 1.74 lakh crore more than Debt (11.80 lakh crore).</w:t>
      </w:r>
    </w:p>
    <w:p>
      <w:pPr>
        <w:numPr>
          <w:ilvl w:val="0"/>
          <w:numId w:val="1011"/>
        </w:numPr>
        <w:pStyle w:val="Compact"/>
        <w:spacing w:after="120" w:line="269" w:lineRule="auto"/>
      </w:pPr>
      <w:r>
        <w:t xml:space="preserve">Rahul Goswami manages the most AUM, about 1.31 lakh crore. Sankaran Naren is almost the same.</w:t>
      </w:r>
    </w:p>
    <w:p>
      <w:pPr>
        <w:numPr>
          <w:ilvl w:val="0"/>
          <w:numId w:val="1011"/>
        </w:numPr>
        <w:pStyle w:val="Compact"/>
        <w:spacing w:after="120" w:line="269" w:lineRule="auto"/>
      </w:pPr>
      <w:r>
        <w:t xml:space="preserve">Debt has the lowest expense ratio by type (0.36% average). By sub category it is Fixed Maturity Plans (about 0.05%).</w:t>
      </w:r>
    </w:p>
    <w:p>
      <w:pPr>
        <w:numPr>
          <w:ilvl w:val="0"/>
          <w:numId w:val="1011"/>
        </w:numPr>
        <w:pStyle w:val="Compact"/>
        <w:spacing w:after="120" w:line="269" w:lineRule="auto"/>
      </w:pPr>
      <w:r>
        <w:t xml:space="preserve">The best 1 year return is Bank of India Credit Risk Fund (130.8%), but it looks like a one time event.</w:t>
      </w:r>
    </w:p>
    <w:p>
      <w:pPr>
        <w:numPr>
          <w:ilvl w:val="0"/>
          <w:numId w:val="1011"/>
        </w:numPr>
        <w:pStyle w:val="Compact"/>
        <w:spacing w:after="120" w:line="269" w:lineRule="auto"/>
      </w:pPr>
      <w:r>
        <w:t xml:space="preserve">The average minimum SIP is 528 rupees (557 if I leave out funds with 0). The typical minimum lump sum is 5,000 rupees.</w:t>
      </w:r>
    </w:p>
    <w:p>
      <w:pPr>
        <w:numPr>
          <w:ilvl w:val="0"/>
          <w:numId w:val="1011"/>
        </w:numPr>
        <w:pStyle w:val="Compact"/>
        <w:spacing w:after="120" w:line="269" w:lineRule="auto"/>
      </w:pPr>
      <w:r>
        <w:t xml:space="preserve">3 year return: Equity 29.7%, Hybrid 14.8%, Debt 5.8%. Risk goes up in the same order, so more return means more risk.</w:t>
      </w:r>
    </w:p>
    <w:p>
      <w:pPr>
        <w:numPr>
          <w:ilvl w:val="0"/>
          <w:numId w:val="1011"/>
        </w:numPr>
        <w:pStyle w:val="Compact"/>
        <w:spacing w:after="120" w:line="269" w:lineRule="auto"/>
      </w:pPr>
      <w:r>
        <w:t xml:space="preserve">Insight cards:</w:t>
      </w:r>
    </w:p>
    <w:p>
      <w:pPr>
        <w:numPr>
          <w:ilvl w:val="1"/>
          <w:numId w:val="1012"/>
        </w:numPr>
        <w:pStyle w:val="Compact"/>
        <w:spacing w:after="120" w:line="269" w:lineRule="auto"/>
      </w:pPr>
      <w:r>
        <w:t xml:space="preserve">Equity gave about 30% a year over 3 years, but its value moves up and down about 8 times more than debt.</w:t>
      </w:r>
    </w:p>
    <w:p>
      <w:pPr>
        <w:numPr>
          <w:ilvl w:val="1"/>
          <w:numId w:val="1012"/>
        </w:numPr>
        <w:pStyle w:val="Compact"/>
        <w:spacing w:after="120" w:line="269" w:lineRule="auto"/>
      </w:pPr>
      <w:r>
        <w:t xml:space="preserve">Debt funds charge about 0.36% a year and equity funds about 1.05%. Over many years this adds up.</w:t>
      </w:r>
    </w:p>
    <w:p>
      <w:pPr>
        <w:numPr>
          <w:ilvl w:val="1"/>
          <w:numId w:val="1012"/>
        </w:numPr>
        <w:pStyle w:val="Compact"/>
        <w:spacing w:after="120" w:line="269" w:lineRule="auto"/>
      </w:pPr>
      <w:r>
        <w:t xml:space="preserve">Half of the funds are at the highest risk level.</w:t>
      </w:r>
    </w:p>
    <w:bookmarkEnd w:id="36"/>
    <w:bookmarkStart w:id="37" w:name="final-reflection"/>
    <w:p>
      <w:pPr>
        <w:pStyle w:val="Heading1"/>
        <w:keepNext/>
        <w:spacing w:before="320" w:after="120"/>
      </w:pPr>
      <w:r>
        <w:t xml:space="preserve">Final reflection</w:t>
      </w:r>
    </w:p>
    <w:p>
      <w:pPr>
        <w:pStyle w:val="FirstParagraph"/>
        <w:spacing w:after="120" w:line="269" w:lineRule="auto"/>
      </w:pPr>
      <w:r>
        <w:t xml:space="preserve">A first time investor who wants low risk and steady growth should start with low cost debt or hybrid funds, and add equity slowly later. One high 1 year return is not a good reason to pick a fund.</w:t>
      </w:r>
    </w:p>
    <w:p>
      <w:pPr>
        <w:pStyle w:val="BodyText"/>
        <w:spacing w:after="120" w:line="269" w:lineRule="auto"/>
      </w:pPr>
      <w:r>
        <w:t xml:space="preserve">Python helped me clean and score 814 funds. Excel keeps the final list in one simple file. Power BI shows the result in charts, so I could answer from the data and not guess. This is a class project, not investment advice.</w:t>
      </w:r>
    </w:p>
    <w:bookmarkEnd w:id="37"/>
    <w:sectPr>
      <w:footerReference w:type="default" r:id="rId9"/>
      <w:pgSz w:w="11906" w:h="16838"/>
      <w:pgMar w:left="1247" w:right="1247"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2"/>
    </w:rPr>
  </w:style>
  <w:style w:styleId="BodyText" w:type="paragraph">
    <w:name w:val="Body Text"/>
    <w:basedOn w:val="Normal"/>
    <w:link w:val="BodyTextChar"/>
    <w:pPr>
      <w:spacing w:after="180" w:before="180"/>
    </w:pPr>
    <w:qFormat/>
    <w:rPr>
      <w:rFonts w:ascii="Calibri" w:hAnsi="Calibri" w:cs="Calibri" w:eastAsia="Calibri"/>
      <w:sz w:val="22"/>
    </w:rPr>
  </w:style>
  <w:style w:customStyle="1" w:styleId="FirstParagraph" w:type="paragraph">
    <w:name w:val="First Paragraph"/>
    <w:basedOn w:val="BodyText"/>
    <w:next w:val="BodyText"/>
    <w:qFormat/>
    <w:rPr>
      <w:rFonts w:ascii="Calibri" w:hAnsi="Calibri" w:cs="Calibri" w:eastAsia="Calibri"/>
      <w:sz w:val="22"/>
    </w:rPr>
  </w:style>
  <w:style w:customStyle="1" w:styleId="Compact" w:type="paragraph">
    <w:name w:val="Compact"/>
    <w:basedOn w:val="BodyText"/>
    <w:qFormat/>
    <w:pPr>
      <w:spacing w:after="36" w:before="36"/>
    </w:pPr>
    <w:rPr>
      <w:rFonts w:ascii="Calibri" w:hAnsi="Calibri" w:cs="Calibri" w:eastAsia="Calibri"/>
      <w:sz w:val="22"/>
    </w:rPr>
  </w:style>
  <w:style w:styleId="Title" w:type="paragraph">
    <w:name w:val="Title"/>
    <w:basedOn w:val="Normal"/>
    <w:next w:val="BodyText"/>
    <w:qFormat/>
    <w:pPr>
      <w:keepNext/>
      <w:keepLines/>
      <w:spacing w:after="240" w:before="480"/>
      <w:jc w:val="center"/>
    </w:pPr>
    <w:rPr>
      <w:rFonts w:ascii="Calibri" w:hAnsi="Calibri" w:cs="Calibri" w:eastAsia="Calibri"/>
      <w:b/>
      <w:bCs/>
      <w:color w:val="1F4E78"/>
      <w:sz w:val="52"/>
      <w:szCs w:val="36"/>
    </w:rPr>
  </w:style>
  <w:style w:styleId="Subtitle" w:type="paragraph">
    <w:name w:val="Subtitle"/>
    <w:basedOn w:val="Title"/>
    <w:next w:val="BodyText"/>
    <w:qFormat/>
    <w:pPr>
      <w:keepNext/>
      <w:keepLines/>
      <w:spacing w:after="240" w:before="240"/>
      <w:jc w:val="center"/>
    </w:pPr>
    <w:rPr>
      <w:rFonts w:ascii="Calibri" w:hAnsi="Calibri" w:cs="Calibri" w:eastAsia="Calibri"/>
      <w:b w:val="0"/>
      <w:color w:val="595959"/>
      <w:sz w:val="26"/>
      <w:szCs w:val="30"/>
    </w:rPr>
  </w:style>
  <w:style w:customStyle="1" w:styleId="Author" w:type="paragraph">
    <w:name w:val="Author"/>
    <w:next w:val="BodyText"/>
    <w:qFormat/>
    <w:pPr>
      <w:keepNext/>
      <w:keepLines/>
      <w:jc w:val="center"/>
    </w:pPr>
    <w:rPr>
      <w:rFonts w:ascii="Calibri" w:hAnsi="Calibri" w:cs="Calibri" w:eastAsia="Calibri"/>
      <w:b w:val="0"/>
      <w:color w:val="404040"/>
      <w:sz w:val="22"/>
    </w:rPr>
  </w:style>
  <w:style w:styleId="Date" w:type="paragraph">
    <w:name w:val="Date"/>
    <w:next w:val="BodyText"/>
    <w:qFormat/>
    <w:pPr>
      <w:keepNext/>
      <w:keepLines/>
      <w:jc w:val="center"/>
    </w:pPr>
    <w:rPr>
      <w:rFonts w:ascii="Calibri" w:hAnsi="Calibri" w:cs="Calibri" w:eastAsia="Calibri"/>
      <w:b w:val="0"/>
      <w:color w:val="404040"/>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hAnsi="Calibri" w:cs="Calibri" w:eastAsia="Calibri"/>
      <w:b/>
      <w:bCs/>
      <w:color w:val="1F4E78"/>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hAnsi="Calibri" w:cs="Calibri" w:eastAsia="Calibri"/>
      <w:b/>
      <w:bCs/>
      <w:color w:val="1F4E78"/>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cs="Calibri" w:eastAsia="Calibri"/>
      <w:b/>
      <w:bCs/>
      <w:color w:val="1F4E7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hAnsi="Calibri" w:cs="Calibri" w:eastAsia="Calibri"/>
      <w:b w:val="0"/>
      <w:i/>
      <w:color w:val="595959"/>
      <w:sz w:val="18"/>
    </w:rPr>
  </w:style>
  <w:style w:customStyle="1" w:styleId="TableCaption" w:type="paragraph">
    <w:name w:val="Table Caption"/>
    <w:basedOn w:val="Caption"/>
    <w:pPr>
      <w:keepNext/>
    </w:pPr>
  </w:style>
  <w:style w:customStyle="1" w:styleId="ImageCaption" w:type="paragraph">
    <w:name w:val="Image Caption"/>
    <w:basedOn w:val="Caption"/>
    <w:rPr>
      <w:rFonts w:ascii="Calibri" w:hAnsi="Calibri" w:cs="Calibri" w:eastAsia="Calibri"/>
      <w:b w:val="0"/>
      <w:color w:val="595959"/>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2" Type="http://schemas.openxmlformats.org/officeDocument/2006/relationships/image" Target="media/rId32.png"/><Relationship Id="rId22" Type="http://schemas.openxmlformats.org/officeDocument/2006/relationships/image" Target="media/rId2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Fund Overview &amp; Insights</dc:title>
  <dc:creator>[Your Name]</dc:creator>
  <cp:keywords/>
  <dcterms:created xsi:type="dcterms:W3CDTF">2026-10-11T10:29:03Z</dcterms:created>
  <dcterms:modified xsi:type="dcterms:W3CDTF">2026-10-11T10:29:03Z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[Date]</vt:lpwstr>
  </property>
  <property fmtid="{D5CDD505-2E9C-101B-9397-08002B2CF9AE}" pid="3" name="subtitle">
    <vt:lpwstr>Data Analytics Project: Finding High-Return, Low-Risk Fund Schemes</vt:lpwstr>
  </property>
</Properties>
</file>