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fffff" w:val="clear"/>
        <w:spacing w:after="80" w:before="28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q49i6c80dobj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Project Objective: Marketing campaign analysis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goal of this project is to perform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customer segmentation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using clustering techniques to help businesses understand their customer base better. By analyzing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demographic, purchase, and behavioral attributes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we can group customers into distinct segments, allowing companies to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target their marketing strategies more effectively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personalize product recommendations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shd w:fill="ffffff" w:val="clear"/>
        <w:spacing w:after="80" w:before="28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z4bknmwlgh77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Key Goals: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Identify distinct customer groups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based on spending habits, demographics, and engagement.</w:t>
        <w:br w:type="textWrapping"/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Optimize marketing efforts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by focusing on high-value customer segments.</w:t>
        <w:br w:type="textWrapping"/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Improve customer retention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by understanding and addressing specific needs.</w:t>
        <w:br w:type="textWrapping"/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Enhance product recommendations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by analyzing customer purchase patterns.</w:t>
        <w:br w:type="textWrapping"/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Compare different clustering models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like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K-Means, Hierarchical Clustering, and DBSCAN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determine the best approach.</w:t>
      </w:r>
    </w:p>
    <w:p w:rsidR="00000000" w:rsidDel="00000000" w:rsidP="00000000" w:rsidRDefault="00000000" w:rsidRPr="00000000" w14:paraId="00000005">
      <w:pPr>
        <w:pStyle w:val="Heading3"/>
        <w:shd w:fill="ffffff" w:val="clear"/>
        <w:spacing w:after="80" w:before="28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5mll3pcba4rm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Dataset &amp; Attributes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dataset includes a range of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demographic, behavioral, and transactional attributes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📌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Demographics: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Unique customer identifier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Year_Birth: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Year of birth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Education: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Education level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Marital_Status: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Marital status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Income: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Yearly household income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Kidhome / Teenhome: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Number of children &amp; teenagers in the household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📌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Customer Behavior: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Dt_Customer: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Date of customer enrollment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Recency: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Number of days since last purchase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Complain: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Whether the customer has complained in the last two years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📌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Purchase History: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MntWines, MntFruits, MntMeatProducts, MntFishProducts, MntSweetProducts, MntGoldProds: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Amount spent on different product categories in the last two years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📌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Promotional Engagement: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NumDealsPurchases: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Number of purchases made with a discount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AcceptedCmp1-5 &amp; Response: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Whether the customer accepted promotional campaigns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📌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Shopping Channels &amp; Engagement: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NumWebPurchases: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Online purchases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NumCatalogPurchases: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Catalog-based purchases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NumStorePurchases: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In-store purchases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NumWebVisitsMonth: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Website visits in the last month</w:t>
      </w:r>
    </w:p>
    <w:p w:rsidR="00000000" w:rsidDel="00000000" w:rsidP="00000000" w:rsidRDefault="00000000" w:rsidRPr="00000000" w14:paraId="0000001C">
      <w:pPr>
        <w:pStyle w:val="Heading3"/>
        <w:shd w:fill="ffffff" w:val="clear"/>
        <w:spacing w:after="80" w:before="28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muvs1hcxvov6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Clustering Approach: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📌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Feature Engineering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– Handling missing data, normalizing numerical variables, and encoding categorical data.</w:t>
        <w:br w:type="textWrapping"/>
        <w:t xml:space="preserve">📌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Dimensionality Reduction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– Using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PCA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(Principal Component Analysis) to improve clustering efficiency.</w:t>
        <w:br w:type="textWrapping"/>
        <w:t xml:space="preserve">📌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Model Selection &amp; Evaluation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– Applying and comparing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K-Means, Hierarchical Clustering, and DBSCAN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determine optimal segmentation.</w:t>
        <w:br w:type="textWrapping"/>
        <w:t xml:space="preserve">📌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Cluster Interpretation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– Analyzing cluster characteristics to derive meaningful insights.</w:t>
      </w:r>
    </w:p>
    <w:p w:rsidR="00000000" w:rsidDel="00000000" w:rsidP="00000000" w:rsidRDefault="00000000" w:rsidRPr="00000000" w14:paraId="0000001E">
      <w:pPr>
        <w:pStyle w:val="Heading3"/>
        <w:shd w:fill="ffffff" w:val="clear"/>
        <w:spacing w:after="80" w:before="28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q8a7hqv8lstz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Deployment Plan: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🚀 Build an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interactive dashboard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Streamlit/Flask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visualize customer segments, explore spending behaviors, and provide actionable insights for businesses.</w:t>
      </w:r>
    </w:p>
    <w:p w:rsidR="00000000" w:rsidDel="00000000" w:rsidP="00000000" w:rsidRDefault="00000000" w:rsidRPr="00000000" w14:paraId="00000020">
      <w:pPr>
        <w:shd w:fill="ffffff" w:val="clear"/>
        <w:spacing w:after="158" w:before="158" w:lineRule="auto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OC/pZpc/N7Di7FGwRsuaYZJWPA==">CgMxLjAyDmgucTQ5aTZjODBkb2JqMg5oLno0YmtubXdsZ2g3NzIOaC41bWxsM3BjYmE0cm0yDmgubXV2czFoY3h2b3Y2Mg5oLnE4YTdocXY4bHN0ejgAciExMFViOXRGc3VhTWJQYTBBb0UwNFhFWGNCcTA1S2hFblY=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