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28 June</w:t>
            </w:r>
            <w:r>
              <w:rPr>
                <w:rFonts w:ascii="Arial" w:cs="Arial" w:eastAsia="Arial" w:hAnsi="Arial"/>
              </w:rPr>
              <w:t xml:space="preserve">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lang w:val="en-US"/>
              </w:rPr>
              <w:t>LTVIP2025TMID60743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t>Sustainable Smart City Assistant Using IBM Granite LLM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Example: Order processing during pandemics for offline mode</w:t>
      </w:r>
    </w:p>
    <w:p>
      <w:pPr>
        <w:pStyle w:val="style0"/>
        <w:rPr>
          <w:rFonts w:ascii="Arial" w:cs="Arial" w:eastAsia="Arial" w:hAnsi="Arial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850" cy="26416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0" w:after="160" w:lineRule="auto" w:line="259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360" w:right="0" w:firstLine="36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 w:val="false"/>
                                <w:i w:val="false"/>
                                <w:smallCaps w:val="false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lIns="91425" rIns="91425" tIns="45700" bIns="457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37.0pt;margin-top:15.0pt;width:375.5pt;height:208.0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eastAsia="Arial" w:hAnsi="Arial"/>
          <w:b/>
        </w:rPr>
      </w:pPr>
      <w:r>
        <w:rPr>
          <w:noProof/>
          <w:lang w:val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1027" name="image1.png" descr="flo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6550" cy="248285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br/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</w:t>
      </w:r>
      <w:r>
        <w:rPr>
          <w:rFonts w:ascii="Arial" w:cs="Arial" w:eastAsia="Arial" w:hAnsi="Arial"/>
          <w:b/>
        </w:rPr>
        <w:t>1 :</w:t>
      </w:r>
      <w:r>
        <w:rPr>
          <w:rFonts w:ascii="Arial" w:cs="Arial" w:eastAsia="Arial" w:hAnsi="Arial"/>
          <w:b/>
        </w:rPr>
        <w:t xml:space="preserve"> Components &amp; T</w:t>
      </w:r>
      <w:r>
        <w:rPr>
          <w:rFonts w:ascii="Arial" w:cs="Arial" w:eastAsia="Arial" w:hAnsi="Arial"/>
          <w:b/>
        </w:rPr>
        <w:t>echnologies:</w:t>
      </w:r>
    </w:p>
    <w:tbl>
      <w:tblPr>
        <w:tblStyle w:val="style4105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>
        <w:trPr>
          <w:trHeight w:val="398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S.No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Component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Description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How users interact with the application (Web UI, Mobile App, </w:t>
            </w:r>
            <w:r>
              <w:t>Chatbot</w:t>
            </w:r>
            <w:r>
              <w:t>, etc.)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HTML, CSS, JavaScript / React.js / Angular.js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Core backend logic for processing user inputs and managing flow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Python / Java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Handles speech-to-text conversion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IBM Watson Speech-to-Text (STT) Service</w:t>
            </w:r>
          </w:p>
        </w:tc>
      </w:tr>
      <w:tr>
        <w:tblPrEx/>
        <w:trPr>
          <w:trHeight w:val="470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Manages </w:t>
            </w:r>
            <w:r>
              <w:t>chatbot</w:t>
            </w:r>
            <w:r>
              <w:t xml:space="preserve"> interaction and dialogue flow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IBM Watson Assistant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Stores user profiles, queries, and eco tips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MySQL</w:t>
            </w:r>
            <w:r>
              <w:t xml:space="preserve"> / </w:t>
            </w:r>
            <w:r>
              <w:t>MongoDB</w:t>
            </w:r>
            <w:r>
              <w:t xml:space="preserve"> / </w:t>
            </w:r>
            <w:r>
              <w:t>PostgreSQL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Scalable cloud-hosted data storage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IBM DB2, IBM </w:t>
            </w:r>
            <w:r>
              <w:t>Cloudant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For storing uploaded documents or generated reports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IBM Block Storage / IBM Object Storage / Local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To fetch real-time weather and environmental updates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IBM Weather API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For identity verification or authentication (if needed)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Aadhaar</w:t>
            </w:r>
            <w:r>
              <w:t xml:space="preserve"> API (UIDAI), </w:t>
            </w:r>
            <w:r>
              <w:t>DigiLocker</w:t>
            </w:r>
            <w:r>
              <w:t xml:space="preserve"> API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To analyze city data and suggest smart sustainability actions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IBM Granite LLM / Object Recognition Model</w:t>
            </w:r>
          </w:p>
        </w:tc>
      </w:tr>
      <w:tr>
        <w:tblPrEx/>
        <w:trPr>
          <w:trHeight w:val="489" w:hRule="atLeast"/>
        </w:trPr>
        <w:tc>
          <w:tcPr>
            <w:tcW w:w="8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02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Infrastructure (Server / Cloud)</w:t>
            </w:r>
          </w:p>
        </w:tc>
        <w:tc>
          <w:tcPr>
            <w:tcW w:w="5205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Platform where the app is deployed and runs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Local Server, IBM Cloud Foundry, </w:t>
            </w:r>
            <w:r>
              <w:t>Kubernetes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6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S.No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Characteristics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Description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yle87"/>
              </w:rPr>
              <w:t>Technology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List of open-source tools used in development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React.js / </w:t>
            </w:r>
            <w:r>
              <w:t>AngularJS</w:t>
            </w:r>
            <w:r>
              <w:t xml:space="preserve"> / Node.js / Flask / </w:t>
            </w:r>
            <w:r>
              <w:t>Django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Implementation of access control, encryption, and protection against threats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SHA-256, SSL/TLS, JWT, </w:t>
            </w:r>
            <w:r>
              <w:t>OAuth</w:t>
            </w:r>
            <w:r>
              <w:t xml:space="preserve"> 2.0, IAM Roles, OWASP Practices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Modular design supporting future growth (horizontal/vertical scaling)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 xml:space="preserve">3-Tier Architecture, </w:t>
            </w:r>
            <w:r>
              <w:t>RESTful</w:t>
            </w:r>
            <w:r>
              <w:t xml:space="preserve"> APIs, </w:t>
            </w:r>
            <w:r>
              <w:t>Microservices</w:t>
            </w:r>
            <w:r>
              <w:t xml:space="preserve">, </w:t>
            </w:r>
            <w:r>
              <w:t>Docker</w:t>
            </w:r>
            <w:r>
              <w:t xml:space="preserve">, </w:t>
            </w:r>
            <w:r>
              <w:t>Kubernetes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Ensuring app is always accessible through load balancing and redundancy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Load Balancer (e.g., NGINX), Distributed Cloud Servers, Auto-scaling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969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5170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Fast response with efficient handling of high traffic using optimization techniques</w:t>
            </w:r>
          </w:p>
        </w:tc>
        <w:tc>
          <w:tcPr>
            <w:tcW w:w="4097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t>Caching (</w:t>
            </w:r>
            <w:r>
              <w:t>Redis</w:t>
            </w:r>
            <w:r>
              <w:t>), CDN (</w:t>
            </w:r>
            <w:r>
              <w:t>Cloudflare</w:t>
            </w:r>
            <w:r>
              <w:t>/</w:t>
            </w:r>
            <w:r>
              <w:t>Akamai</w:t>
            </w:r>
            <w:r>
              <w:t>), Asynchronous APIs</w:t>
            </w:r>
          </w:p>
        </w:tc>
      </w:tr>
    </w:tbl>
    <w:p>
      <w:pPr>
        <w:pStyle w:val="style0"/>
        <w:tabs>
          <w:tab w:val="left" w:leader="none" w:pos="10667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ab/>
      </w: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863D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BFD4D4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9"/>
    <w:next w:val="style40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9"/>
    <w:next w:val="style40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9"/>
    <w:next w:val="style40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9"/>
    <w:next w:val="style40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table" w:customStyle="1" w:styleId="style4098">
    <w:name w:val="TableNormal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9"/>
    <w:next w:val="style409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9">
    <w:name w:val="normal"/>
    <w:next w:val="style40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105"/>
    <w:next w:val="style4106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381</Words>
  <Pages>3</Pages>
  <Characters>2373</Characters>
  <Application>WPS Office</Application>
  <DocSecurity>0</DocSecurity>
  <Paragraphs>135</Paragraphs>
  <ScaleCrop>false</ScaleCrop>
  <LinksUpToDate>false</LinksUpToDate>
  <CharactersWithSpaces>2666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SM-A156E</lastModifiedBy>
  <dcterms:modified xsi:type="dcterms:W3CDTF">2025-07-04T10:07:30Z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3d8edffe46ed43cda30be25965f544c9</vt:lpwstr>
  </property>
</Properties>
</file>