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76CC8">
      <w:pPr>
        <w:rPr>
          <w:rFonts w:ascii="sans-serif" w:hAnsi="sans-serif" w:eastAsia="sans-serif" w:cs="sans-serif"/>
          <w:i w:val="0"/>
          <w:iCs w:val="0"/>
          <w:caps w:val="0"/>
          <w:color w:val="333333"/>
          <w:spacing w:val="0"/>
          <w:sz w:val="20"/>
          <w:szCs w:val="20"/>
          <w:shd w:val="clear" w:fill="FFFFFF"/>
        </w:rPr>
      </w:pPr>
    </w:p>
    <w:p w14:paraId="46DAA225">
      <w:pPr>
        <w:rPr>
          <w:rFonts w:hint="default" w:ascii="Arial Black" w:hAnsi="Arial Black" w:eastAsia="sans-serif"/>
          <w:i w:val="0"/>
          <w:iCs w:val="0"/>
          <w:caps w:val="0"/>
          <w:color w:val="333333"/>
          <w:spacing w:val="0"/>
          <w:sz w:val="20"/>
          <w:szCs w:val="20"/>
          <w:shd w:val="clear" w:fill="FFFFFF"/>
          <w:lang w:val="en-US"/>
        </w:rPr>
      </w:pPr>
      <w:r>
        <w:rPr>
          <w:rFonts w:hint="default" w:ascii="Arial Black" w:hAnsi="Arial Black" w:eastAsia="sans-serif"/>
          <w:i w:val="0"/>
          <w:iCs w:val="0"/>
          <w:caps w:val="0"/>
          <w:color w:val="333333"/>
          <w:spacing w:val="0"/>
          <w:sz w:val="20"/>
          <w:szCs w:val="20"/>
          <w:shd w:val="clear" w:fill="FFFFFF"/>
          <w:lang w:val="en-US"/>
        </w:rPr>
        <w:t>Definition and Scope of Food Nutrition Tracking:</w:t>
      </w:r>
    </w:p>
    <w:p w14:paraId="1D6A24F0">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Food nutrition tracking refers to the systematic process of recording, monitoring, and analyzing the nutritional content of foods consumed over a defined period. It encompasses the quantification of macronutrients, micronutrients, energy density, and dietary patterns to support health, clinical, and research objectives. Modern food nutrition tracking has evolved from handwritten food diaries and printed exchange lists to sophisticated digital ecosystems integrating databases, wearables, and artificial intelligence.</w:t>
      </w:r>
    </w:p>
    <w:p w14:paraId="649F6F3A">
      <w:pPr>
        <w:rPr>
          <w:rFonts w:hint="default" w:ascii="Arial" w:hAnsi="Arial" w:eastAsia="sans-serif"/>
          <w:i w:val="0"/>
          <w:iCs w:val="0"/>
          <w:caps w:val="0"/>
          <w:color w:val="333333"/>
          <w:spacing w:val="0"/>
          <w:sz w:val="20"/>
          <w:szCs w:val="20"/>
          <w:shd w:val="clear" w:fill="FFFFFF"/>
          <w:lang w:val="en-US"/>
        </w:rPr>
      </w:pPr>
    </w:p>
    <w:p w14:paraId="057B2539">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Historical Evolution of Food Tracking Methods:</w:t>
      </w:r>
    </w:p>
    <w:p w14:paraId="3FF1BE4E">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The history of food tracking dates to early twentieth-century nutritional science when researchers first began quantifying food composition to understand nutrient deficiencies and metabolic requirements. The development of standardized food composition tables by governmental bodies such as the USDA in the 1950s laid the groundwork for systematic dietary assessment. Paper-based food diaries became standard clinical tools through the latter half of the century, gradually giving way to computerized dietary analysis software in the 1980s and 1990s, and eventually to mobile applications in the 2000s and beyond.</w:t>
      </w:r>
    </w:p>
    <w:p w14:paraId="5ECC03F0">
      <w:pPr>
        <w:rPr>
          <w:rFonts w:hint="default" w:ascii="Arial" w:hAnsi="Arial" w:eastAsia="sans-serif"/>
          <w:i w:val="0"/>
          <w:iCs w:val="0"/>
          <w:caps w:val="0"/>
          <w:color w:val="333333"/>
          <w:spacing w:val="0"/>
          <w:sz w:val="20"/>
          <w:szCs w:val="20"/>
          <w:shd w:val="clear" w:fill="FFFFFF"/>
          <w:lang w:val="en-US"/>
        </w:rPr>
      </w:pPr>
    </w:p>
    <w:p w14:paraId="6D627876">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Food Composition Databases:</w:t>
      </w:r>
    </w:p>
    <w:p w14:paraId="6248FEEC">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The accuracy of any food nutrition tracking system is fundamentally dependent on the quality and comprehensiveness of its underlying food composition database. Major databases include the USDA FoodData Central, the European Food Safety Authority database, and the UK Nutrient Databank. Research has identified significant variability in nutrient values across databases due to differences in analytical methods, food sampling strategies, and geographic agricultural variation. Studies have shown that relying on a single database can introduce systematic nutrient estimation errors of 20–40% for certain micronutrients.</w:t>
      </w:r>
    </w:p>
    <w:p w14:paraId="5052564E">
      <w:pPr>
        <w:rPr>
          <w:rFonts w:hint="default" w:ascii="Arial" w:hAnsi="Arial" w:eastAsia="sans-serif"/>
          <w:i w:val="0"/>
          <w:iCs w:val="0"/>
          <w:caps w:val="0"/>
          <w:color w:val="333333"/>
          <w:spacing w:val="0"/>
          <w:sz w:val="20"/>
          <w:szCs w:val="20"/>
          <w:shd w:val="clear" w:fill="FFFFFF"/>
          <w:lang w:val="en-US"/>
        </w:rPr>
      </w:pPr>
    </w:p>
    <w:p w14:paraId="121FAE49">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Macronutrient Tracking Accuracy:</w:t>
      </w:r>
    </w:p>
    <w:p w14:paraId="7AE5FD54">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Research examining the accuracy of macronutrient tracking reveals that users most reliably track carbohydrates and total fat, while protein tracking tends to be less consistent, particularly for mixed dishes and restaurant meals. Studies comparing tracked macronutrient intake against doubly labeled water and nitrogen balance biomarkers confirm systematic underestimation, with energy underreporting rates ranging from 15% to over 50% in some demographic groups. Women, individuals with higher BMI, and older adults show the greatest underreporting tendencies.</w:t>
      </w:r>
    </w:p>
    <w:p w14:paraId="2243FE2F">
      <w:pPr>
        <w:rPr>
          <w:rFonts w:hint="default" w:ascii="Arial" w:hAnsi="Arial" w:eastAsia="sans-serif"/>
          <w:i w:val="0"/>
          <w:iCs w:val="0"/>
          <w:caps w:val="0"/>
          <w:color w:val="333333"/>
          <w:spacing w:val="0"/>
          <w:sz w:val="20"/>
          <w:szCs w:val="20"/>
          <w:shd w:val="clear" w:fill="FFFFFF"/>
          <w:lang w:val="en-US"/>
        </w:rPr>
      </w:pPr>
    </w:p>
    <w:p w14:paraId="61B681E7">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Micronutrient Tracking and Nutritional Gaps:</w:t>
      </w:r>
    </w:p>
    <w:p w14:paraId="552BCCA2">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Despite macronutrients receiving the most attention in popular tracking tools, research underscores the critical importance of micronutrient monitoring. Studies consistently demonstrate population-wide insufficiencies in vitamins D, E, K, calcium, potassium, magnesium, and choline that are largely invisible in systems focused exclusively on caloric balance. Research-grade nutrition tracking tools that display micronutrient completion relative to dietary reference intakes (DRIs) have been shown to shift user dietary behavior toward more nutrient-dense food selections.</w:t>
      </w:r>
    </w:p>
    <w:p w14:paraId="19D045EE">
      <w:pPr>
        <w:rPr>
          <w:rFonts w:hint="default" w:ascii="Arial" w:hAnsi="Arial" w:eastAsia="sans-serif"/>
          <w:i w:val="0"/>
          <w:iCs w:val="0"/>
          <w:caps w:val="0"/>
          <w:color w:val="333333"/>
          <w:spacing w:val="0"/>
          <w:sz w:val="20"/>
          <w:szCs w:val="20"/>
          <w:shd w:val="clear" w:fill="FFFFFF"/>
          <w:lang w:val="en-US"/>
        </w:rPr>
      </w:pPr>
    </w:p>
    <w:p w14:paraId="3E848410">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Portion Size Estimation:</w:t>
      </w:r>
    </w:p>
    <w:p w14:paraId="30694892">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One of the most persistent sources of error in food nutrition tracking is inaccurate portion size estimation. Research using weighed food records as the gold standard demonstrates that visual estimation of portion sizes is unreliable across all demographic groups, with errors frequently exceeding 25–50% for energy-dense foods. Studies have tested various portion estimation aids including food models, photographs, and graduated containers, finding that photographic portion guides and weighed measurements produce the most accurate results but impose the greatest user burden.</w:t>
      </w:r>
    </w:p>
    <w:p w14:paraId="2FF1E78E">
      <w:pPr>
        <w:rPr>
          <w:rFonts w:hint="default" w:ascii="Arial" w:hAnsi="Arial" w:eastAsia="sans-serif"/>
          <w:i w:val="0"/>
          <w:iCs w:val="0"/>
          <w:caps w:val="0"/>
          <w:color w:val="333333"/>
          <w:spacing w:val="0"/>
          <w:sz w:val="20"/>
          <w:szCs w:val="20"/>
          <w:shd w:val="clear" w:fill="FFFFFF"/>
          <w:lang w:val="en-US"/>
        </w:rPr>
      </w:pPr>
    </w:p>
    <w:p w14:paraId="6DD1C1FE">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Mobile Applications and Digital Platforms:</w:t>
      </w:r>
    </w:p>
    <w:p w14:paraId="590F99F8">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The food nutrition tracking app market has grown substantially, with platforms such as MyFitnessPal, Cronometer, Lose It, and Nutritionix accumulating tens of millions of users. Research evaluating these platforms finds substantial variation in database size, nutrient coverage, and accuracy of user-contributed entries. Studies have shown that user-generated food entries in crowdsourced databases contain nutritional errors in up to 70% of entries when compared to laboratory-analyzed values, raising significant concerns about data reliability in research and clinical applications.</w:t>
      </w:r>
    </w:p>
    <w:p w14:paraId="10CA67EF">
      <w:pPr>
        <w:rPr>
          <w:rFonts w:hint="default" w:ascii="Arial" w:hAnsi="Arial" w:eastAsia="sans-serif"/>
          <w:i w:val="0"/>
          <w:iCs w:val="0"/>
          <w:caps w:val="0"/>
          <w:color w:val="333333"/>
          <w:spacing w:val="0"/>
          <w:sz w:val="20"/>
          <w:szCs w:val="20"/>
          <w:shd w:val="clear" w:fill="FFFFFF"/>
          <w:lang w:val="en-US"/>
        </w:rPr>
      </w:pPr>
    </w:p>
    <w:p w14:paraId="6F332BB5">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Barcode Scanning Technology:</w:t>
      </w:r>
    </w:p>
    <w:p w14:paraId="28BEFE3F">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Barcode scanning functionality has become a standard feature of nutrition tracking applications, enabling users to capture packaged food nutrition information directly from product labels. Research indicates that barcode-enabled tracking significantly reduces logging time, improves accuracy for packaged foods, and increases user adherence to tracking protocols. However, studies note that barcode databases are predominantly populated with products from high-income countries, limiting utility in low- and middle-income settings.</w:t>
      </w:r>
    </w:p>
    <w:p w14:paraId="698B2321">
      <w:pPr>
        <w:rPr>
          <w:rFonts w:hint="default" w:ascii="Arial" w:hAnsi="Arial" w:eastAsia="sans-serif"/>
          <w:i w:val="0"/>
          <w:iCs w:val="0"/>
          <w:caps w:val="0"/>
          <w:color w:val="333333"/>
          <w:spacing w:val="0"/>
          <w:sz w:val="20"/>
          <w:szCs w:val="20"/>
          <w:shd w:val="clear" w:fill="FFFFFF"/>
          <w:lang w:val="en-US"/>
        </w:rPr>
      </w:pPr>
    </w:p>
    <w:p w14:paraId="4FD1BB69">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Image Recognition and AI-Based Food Logging:</w:t>
      </w:r>
    </w:p>
    <w:p w14:paraId="04CE3891">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Computer vision and deep learning approaches to automated food recognition represent one of the most rapidly advancing areas in nutrition tracking research. Convolutional neural networks trained on large food image datasets have achieved top-1 recognition accuracy exceeding 80% for common foods in controlled settings. Studies evaluating end-to-end AI food logging systems in free-living conditions report lower but improving accuracy, with ongoing research focusing on mixed dish decomposition, cultural food recognition, and volumetric portion estimation from single or multi-angle photographs.</w:t>
      </w:r>
    </w:p>
    <w:p w14:paraId="678514D5">
      <w:pPr>
        <w:rPr>
          <w:rFonts w:hint="default" w:ascii="Arial" w:hAnsi="Arial" w:eastAsia="sans-serif"/>
          <w:i w:val="0"/>
          <w:iCs w:val="0"/>
          <w:caps w:val="0"/>
          <w:color w:val="333333"/>
          <w:spacing w:val="0"/>
          <w:sz w:val="20"/>
          <w:szCs w:val="20"/>
          <w:shd w:val="clear" w:fill="FFFFFF"/>
          <w:lang w:val="en-US"/>
        </w:rPr>
      </w:pPr>
    </w:p>
    <w:p w14:paraId="5030B34D">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Wearable Technology Integration:</w:t>
      </w:r>
    </w:p>
    <w:p w14:paraId="60720E48">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The integration of nutrition tracking with wearable devices has created opportunities to combine dietary data with physiological measurements such as heart rate, activity levels, sleep quality, and continuous glucose monitoring. Research using integrated data streams demonstrates that physiological context substantially enriches the interpretation of dietary intake data. For example, studies combining CGM data with food logs have identified individual-specific dietary triggers for glycemic variability that would not be apparent from dietary data alone.</w:t>
      </w:r>
    </w:p>
    <w:p w14:paraId="0278897B">
      <w:pPr>
        <w:rPr>
          <w:rFonts w:hint="default" w:ascii="Arial" w:hAnsi="Arial" w:eastAsia="sans-serif"/>
          <w:i w:val="0"/>
          <w:iCs w:val="0"/>
          <w:caps w:val="0"/>
          <w:color w:val="333333"/>
          <w:spacing w:val="0"/>
          <w:sz w:val="20"/>
          <w:szCs w:val="20"/>
          <w:shd w:val="clear" w:fill="FFFFFF"/>
          <w:lang w:val="en-US"/>
        </w:rPr>
      </w:pPr>
    </w:p>
    <w:p w14:paraId="0B1F1DB7">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Dietary Recall Methods in Research:</w:t>
      </w:r>
    </w:p>
    <w:p w14:paraId="3675B8C9">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The 24-hour dietary recall remains the most widely used method in population nutrition research due to its relatively low respondent burden and compatibility with multiple passes interviewing techniques such as the USDA Automated Multiple-Pass Method (AMPM). Research validates that multiple non-consecutive 24-hour recalls, when combined with appropriate statistical adjustments for day-to-day variability, provide reliable estimates of usual dietary intake at the population level. The web-based ASA24 tool has expanded the scalability of dietary recall data collection in large epidemiological studies.</w:t>
      </w:r>
    </w:p>
    <w:p w14:paraId="732DE069">
      <w:pPr>
        <w:rPr>
          <w:rFonts w:hint="default" w:ascii="Arial" w:hAnsi="Arial" w:eastAsia="sans-serif"/>
          <w:i w:val="0"/>
          <w:iCs w:val="0"/>
          <w:caps w:val="0"/>
          <w:color w:val="333333"/>
          <w:spacing w:val="0"/>
          <w:sz w:val="20"/>
          <w:szCs w:val="20"/>
          <w:shd w:val="clear" w:fill="FFFFFF"/>
          <w:lang w:val="en-US"/>
        </w:rPr>
      </w:pPr>
    </w:p>
    <w:p w14:paraId="3449221B">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Food Frequency Questionnaires:</w:t>
      </w:r>
    </w:p>
    <w:p w14:paraId="69DBA867">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Food frequency questionnaires capture habitual dietary intake over extended reference periods, typically the past month or year, making them valuable for prospective cohort studies assessing diet-disease relationships. Research on FFQ validity shows moderate to good correlation with biomarker-validated dietary intakes for nutrients such as carotenoids, folate, and saturated fat, but weaker performance for episodically consumed foods and total energy intake. Semi-quantitative FFQs that incorporate portion size options show superior performance compared to simpler frequency-only versions.</w:t>
      </w:r>
    </w:p>
    <w:p w14:paraId="689D520E">
      <w:pPr>
        <w:rPr>
          <w:rFonts w:hint="default" w:ascii="Arial" w:hAnsi="Arial" w:eastAsia="sans-serif"/>
          <w:i w:val="0"/>
          <w:iCs w:val="0"/>
          <w:caps w:val="0"/>
          <w:color w:val="333333"/>
          <w:spacing w:val="0"/>
          <w:sz w:val="20"/>
          <w:szCs w:val="20"/>
          <w:shd w:val="clear" w:fill="FFFFFF"/>
          <w:lang w:val="en-US"/>
        </w:rPr>
      </w:pPr>
    </w:p>
    <w:p w14:paraId="37D64969">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Restaurant and Away-from-Home Food Tracking:</w:t>
      </w:r>
    </w:p>
    <w:p w14:paraId="00AEA03C">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Tracking foods consumed outside the home represents a major challenge in food nutrition research, as restaurant meals exhibit far greater caloric and nutritional variability than packaged or home-prepared foods. Studies have found that the same menu item can vary by several hundred calories across restaurant locations and preparation styles. Research suggests that standard database entries for restaurant foods underestimate actual caloric content by an average of 18%, with greater discrepancies for high-calorie items and independently owned establishments.</w:t>
      </w:r>
    </w:p>
    <w:p w14:paraId="77FE9682">
      <w:pPr>
        <w:rPr>
          <w:rFonts w:hint="default" w:ascii="Arial" w:hAnsi="Arial" w:eastAsia="sans-serif"/>
          <w:i w:val="0"/>
          <w:iCs w:val="0"/>
          <w:caps w:val="0"/>
          <w:color w:val="333333"/>
          <w:spacing w:val="0"/>
          <w:sz w:val="20"/>
          <w:szCs w:val="20"/>
          <w:shd w:val="clear" w:fill="FFFFFF"/>
          <w:lang w:val="en-US"/>
        </w:rPr>
      </w:pPr>
    </w:p>
    <w:p w14:paraId="66F6DF63">
      <w:pPr>
        <w:rPr>
          <w:rFonts w:hint="default" w:ascii="Arial" w:hAnsi="Arial" w:eastAsia="sans-serif"/>
          <w:i w:val="0"/>
          <w:iCs w:val="0"/>
          <w:caps w:val="0"/>
          <w:color w:val="333333"/>
          <w:spacing w:val="0"/>
          <w:sz w:val="20"/>
          <w:szCs w:val="20"/>
          <w:shd w:val="clear" w:fill="FFFFFF"/>
          <w:lang w:val="en-US"/>
        </w:rPr>
      </w:pPr>
    </w:p>
    <w:p w14:paraId="36034F27">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Cultural and Ethnic Food Diversity in Tracking:</w:t>
      </w:r>
    </w:p>
    <w:p w14:paraId="0DC9975E">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A significant limitation of mainstream food nutrition tracking tools is the underrepresentation of traditional and culturally diverse foods in their databases. Research conducted across Asian, African, Latin American, and Middle Eastern dietary contexts finds that participants from these backgrounds are frequently unable to accurately log culturally specific dishes, leading to incomplete dietary records and compromised data quality. Studies advocate for the development of culturally tailored food databases and tracking interfaces to address health equity gaps in dietary assessment.</w:t>
      </w:r>
    </w:p>
    <w:p w14:paraId="2EF58EA9">
      <w:pPr>
        <w:rPr>
          <w:rFonts w:hint="default" w:ascii="Arial" w:hAnsi="Arial" w:eastAsia="sans-serif"/>
          <w:i w:val="0"/>
          <w:iCs w:val="0"/>
          <w:caps w:val="0"/>
          <w:color w:val="333333"/>
          <w:spacing w:val="0"/>
          <w:sz w:val="20"/>
          <w:szCs w:val="20"/>
          <w:shd w:val="clear" w:fill="FFFFFF"/>
          <w:lang w:val="en-US"/>
        </w:rPr>
      </w:pPr>
    </w:p>
    <w:p w14:paraId="2B5D16DB">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Nutrient Timing and Meal-Level Tracking:</w:t>
      </w:r>
    </w:p>
    <w:p w14:paraId="69F88E41">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Beyond total daily nutrient intake, research increasingly supports the importance of tracking nutritional intake at the individual meal level. Studies on protein distribution, carbohydrate timing around exercise, and breakfast composition demonstrate that the timing and distribution of nutrients throughout the day influences metabolic outcomes independently of total intake. Meal-level tracking tools that provide nutrient breakdowns by eating occasion support more granular dietary optimization in clinical and sports nutrition contexts.</w:t>
      </w:r>
    </w:p>
    <w:p w14:paraId="191A61E3">
      <w:pPr>
        <w:rPr>
          <w:rFonts w:hint="default" w:ascii="Arial" w:hAnsi="Arial" w:eastAsia="sans-serif"/>
          <w:i w:val="0"/>
          <w:iCs w:val="0"/>
          <w:caps w:val="0"/>
          <w:color w:val="333333"/>
          <w:spacing w:val="0"/>
          <w:sz w:val="20"/>
          <w:szCs w:val="20"/>
          <w:shd w:val="clear" w:fill="FFFFFF"/>
          <w:lang w:val="en-US"/>
        </w:rPr>
      </w:pPr>
    </w:p>
    <w:p w14:paraId="02EBFE4C">
      <w:pPr>
        <w:rPr>
          <w:rFonts w:hint="default" w:ascii="Arial Black" w:hAnsi="Arial Black" w:eastAsia="sans-serif" w:cs="Arial Black"/>
          <w:i w:val="0"/>
          <w:iCs w:val="0"/>
          <w:caps w:val="0"/>
          <w:color w:val="333333"/>
          <w:spacing w:val="0"/>
          <w:sz w:val="20"/>
          <w:szCs w:val="20"/>
          <w:shd w:val="clear" w:fill="FFFFFF"/>
          <w:lang w:val="en-US"/>
        </w:rPr>
      </w:pPr>
      <w:r>
        <w:rPr>
          <w:rFonts w:hint="default" w:ascii="Arial Black" w:hAnsi="Arial Black" w:eastAsia="sans-serif" w:cs="Arial Black"/>
          <w:i w:val="0"/>
          <w:iCs w:val="0"/>
          <w:caps w:val="0"/>
          <w:color w:val="333333"/>
          <w:spacing w:val="0"/>
          <w:sz w:val="20"/>
          <w:szCs w:val="20"/>
          <w:shd w:val="clear" w:fill="FFFFFF"/>
          <w:lang w:val="en-US"/>
        </w:rPr>
        <w:t>Dietary Quality Indices and Scoring Systems:</w:t>
      </w:r>
      <w:bookmarkStart w:id="0" w:name="_GoBack"/>
      <w:bookmarkEnd w:id="0"/>
    </w:p>
    <w:p w14:paraId="5D9FECB4">
      <w:pPr>
        <w:rPr>
          <w:rFonts w:hint="default" w:ascii="Arial" w:hAnsi="Arial" w:eastAsia="sans-serif"/>
          <w:i w:val="0"/>
          <w:iCs w:val="0"/>
          <w:caps w:val="0"/>
          <w:color w:val="333333"/>
          <w:spacing w:val="0"/>
          <w:sz w:val="20"/>
          <w:szCs w:val="20"/>
          <w:shd w:val="clear" w:fill="FFFFFF"/>
          <w:lang w:val="en-US"/>
        </w:rPr>
      </w:pPr>
      <w:r>
        <w:rPr>
          <w:rFonts w:hint="default" w:ascii="Arial" w:hAnsi="Arial" w:eastAsia="sans-serif"/>
          <w:i w:val="0"/>
          <w:iCs w:val="0"/>
          <w:caps w:val="0"/>
          <w:color w:val="333333"/>
          <w:spacing w:val="0"/>
          <w:sz w:val="20"/>
          <w:szCs w:val="20"/>
          <w:shd w:val="clear" w:fill="FFFFFF"/>
          <w:lang w:val="en-US"/>
        </w:rPr>
        <w:t>Research has developed numerous standardized indices to translate raw food tracking data into summary measures of dietary quality. Tools including the Healthy Eating Index (HEI), the Mediterranean Diet Score, the DASH diet adherence score, and the Dietary Inflammatory Index (DII) aggregate food tracking data into actionable metrics. Studies comparing these indices find moderate concordance, and researchers advocate for selecting indices that align with the specific dietary pattern or health outcome of interest.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77643B"/>
    <w:rsid w:val="24776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2026-02-20T15:34:00Z</dcterms:created>
  <dc:creator>Sharanya Pagidipally</dc:creator>
  <cp:lastModifiedBy>Sharanya Pagidipally</cp:lastModifiedBy>
  <dcterms:modified xsi:type="dcterms:W3CDTF">2026-02-20T16:16:50Z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4F6823629806415D881A729FE34A2264_11</vt:lpwstr>
  </property>
</Properties>
</file>