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Retention Policy</w:t>
      </w:r>
    </w:p>
    <w:p>
      <w:r>
        <w:t>This policy defines how long the company retains different categories of business records before they are securely deleted.</w:t>
      </w:r>
    </w:p>
    <w:p>
      <w:pPr>
        <w:pStyle w:val="Heading2"/>
      </w:pPr>
      <w:r>
        <w:t>Retention Schedule</w:t>
      </w:r>
    </w:p>
    <w:p>
      <w:r>
        <w:t>Financial records are retained for 7 years, primarily to support tax and audit compliance.</w:t>
      </w:r>
    </w:p>
    <w:p>
      <w:r>
        <w:t>Employee records are retained for 3 years after termination, primarily to support employment-dispute liability windows.</w:t>
      </w:r>
    </w:p>
    <w:p>
      <w:r>
        <w:t>Customer support tickets are retained for 2 years, primarily to support product-quality trend analysis.</w:t>
      </w:r>
    </w:p>
    <w:p>
      <w:pPr>
        <w:pStyle w:val="Heading2"/>
      </w:pPr>
      <w:r>
        <w:t>Deletion Process</w:t>
      </w:r>
    </w:p>
    <w:p>
      <w:r>
        <w:t>Records past their retention window are purged by an automated nightly job rather than a manual review, so the schedule above is enforced consistently regardless of record volume.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