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eastAsia="Times New Roman" w:cs="Times New Roman"/>
          <w:b/>
          <w:color w:val="000000"/>
          <w:sz w:val="52"/>
        </w:rPr>
        <w:t>COMPREHENSIVE DATA SCIENCE</w:t>
        <w:br/>
        <w:t>PROJECT REPORT</w:t>
      </w:r>
    </w:p>
    <w:p>
      <w:pPr>
        <w:jc w:val="center"/>
      </w:pPr>
      <w:r>
        <w:rPr>
          <w:rFonts w:ascii="Times New Roman" w:hAnsi="Times New Roman" w:eastAsia="Times New Roman" w:cs="Times New Roman"/>
          <w:color w:val="000000"/>
          <w:sz w:val="30"/>
        </w:rPr>
        <w:t>From Data Preparation to Statistical Analysis,</w:t>
        <w:br/>
        <w:t>Visualization, Machine Learning and Strategic Recommendations</w:t>
      </w:r>
    </w:p>
    <w:p/>
    <w:p>
      <w:pPr>
        <w:jc w:val="center"/>
      </w:pPr>
      <w:r>
        <w:rPr>
          <w:rFonts w:ascii="Times New Roman" w:hAnsi="Times New Roman" w:eastAsia="Times New Roman" w:cs="Times New Roman"/>
          <w:b/>
          <w:color w:val="000000"/>
          <w:sz w:val="32"/>
        </w:rPr>
        <w:t>FINAL WEEK — WEEK 5</w:t>
      </w:r>
    </w:p>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16"/>
            <w:shd w:fill="D9E2F3"/>
            <w:tcMar>
              <w:top w:w="80" w:type="dxa"/>
              <w:start w:w="100" w:type="dxa"/>
              <w:bottom w:w="80" w:type="dxa"/>
              <w:end w:w="100" w:type="dxa"/>
            </w:tcMar>
            <w:vAlign w:val="center"/>
          </w:tcPr>
          <w:p>
            <w:r>
              <w:rPr>
                <w:rFonts w:ascii="Times New Roman" w:hAnsi="Times New Roman" w:eastAsia="Times New Roman" w:cs="Times New Roman"/>
                <w:b/>
                <w:color w:val="000000"/>
                <w:sz w:val="18"/>
              </w:rPr>
              <w:t>Prepared By</w:t>
            </w:r>
          </w:p>
        </w:tc>
        <w:tc>
          <w:tcPr>
            <w:tcW w:type="dxa" w:w="2880"/>
            <w:shd w:fill="D9E2F3"/>
            <w:tcMar>
              <w:top w:w="80" w:type="dxa"/>
              <w:start w:w="100" w:type="dxa"/>
              <w:bottom w:w="80" w:type="dxa"/>
              <w:end w:w="100" w:type="dxa"/>
            </w:tcMar>
            <w:vAlign w:val="center"/>
          </w:tcPr>
          <w:p>
            <w:r>
              <w:rPr>
                <w:rFonts w:ascii="Times New Roman" w:hAnsi="Times New Roman" w:eastAsia="Times New Roman" w:cs="Times New Roman"/>
                <w:b/>
                <w:color w:val="000000"/>
                <w:sz w:val="18"/>
              </w:rPr>
              <w:t>Academic Program</w:t>
            </w:r>
          </w:p>
        </w:tc>
        <w:tc>
          <w:tcPr>
            <w:tcW w:type="dxa" w:w="3600"/>
            <w:shd w:fill="D9E2F3"/>
            <w:tcMar>
              <w:top w:w="80" w:type="dxa"/>
              <w:start w:w="100" w:type="dxa"/>
              <w:bottom w:w="80" w:type="dxa"/>
              <w:end w:w="100" w:type="dxa"/>
            </w:tcMar>
            <w:vAlign w:val="center"/>
          </w:tcPr>
          <w:p>
            <w:r>
              <w:rPr>
                <w:rFonts w:ascii="Times New Roman" w:hAnsi="Times New Roman" w:eastAsia="Times New Roman" w:cs="Times New Roman"/>
                <w:b/>
                <w:color w:val="000000"/>
                <w:sz w:val="18"/>
              </w:rPr>
              <w:t>Institution</w:t>
            </w:r>
          </w:p>
        </w:tc>
        <w:tc>
          <w:tcPr>
            <w:tcW w:type="dxa" w:w="1152"/>
            <w:shd w:fill="D9E2F3"/>
            <w:tcMar>
              <w:top w:w="80" w:type="dxa"/>
              <w:start w:w="100" w:type="dxa"/>
              <w:bottom w:w="80" w:type="dxa"/>
              <w:end w:w="100" w:type="dxa"/>
            </w:tcMar>
            <w:vAlign w:val="center"/>
          </w:tcPr>
          <w:p>
            <w:r>
              <w:rPr>
                <w:rFonts w:ascii="Times New Roman" w:hAnsi="Times New Roman" w:eastAsia="Times New Roman" w:cs="Times New Roman"/>
                <w:b/>
                <w:color w:val="000000"/>
                <w:sz w:val="18"/>
              </w:rPr>
              <w:t>Year</w:t>
            </w:r>
          </w:p>
        </w:tc>
      </w:tr>
      <w:tr>
        <w:tc>
          <w:tcPr>
            <w:tcW w:type="dxa" w:w="2016"/>
            <w:tcMar>
              <w:top w:w="80" w:type="dxa"/>
              <w:start w:w="100" w:type="dxa"/>
              <w:bottom w:w="80" w:type="dxa"/>
              <w:end w:w="100" w:type="dxa"/>
            </w:tcMar>
            <w:vAlign w:val="top"/>
          </w:tcPr>
          <w:p>
            <w:r>
              <w:rPr>
                <w:rFonts w:ascii="Times New Roman" w:hAnsi="Times New Roman" w:eastAsia="Times New Roman" w:cs="Times New Roman"/>
                <w:color w:val="000000"/>
                <w:sz w:val="18"/>
              </w:rPr>
              <w:t>Vechham Sai Yaswin</w:t>
            </w:r>
          </w:p>
        </w:tc>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8"/>
              </w:rPr>
              <w:t>B.Tech – Artificial Intelligence &amp; Machine Learning</w:t>
            </w:r>
          </w:p>
        </w:tc>
        <w:tc>
          <w:tcPr>
            <w:tcW w:type="dxa" w:w="3600"/>
            <w:tcMar>
              <w:top w:w="80" w:type="dxa"/>
              <w:start w:w="100" w:type="dxa"/>
              <w:bottom w:w="80" w:type="dxa"/>
              <w:end w:w="100" w:type="dxa"/>
            </w:tcMar>
            <w:vAlign w:val="top"/>
          </w:tcPr>
          <w:p>
            <w:r>
              <w:rPr>
                <w:rFonts w:ascii="Times New Roman" w:hAnsi="Times New Roman" w:eastAsia="Times New Roman" w:cs="Times New Roman"/>
                <w:color w:val="000000"/>
                <w:sz w:val="18"/>
              </w:rPr>
              <w:t>Vel Tech Rangarajan Dr. Sagunthala R&amp;D Institute of Science and Technology</w:t>
            </w:r>
          </w:p>
        </w:tc>
        <w:tc>
          <w:tcPr>
            <w:tcW w:type="dxa" w:w="1152"/>
            <w:tcMar>
              <w:top w:w="80" w:type="dxa"/>
              <w:start w:w="100" w:type="dxa"/>
              <w:bottom w:w="80" w:type="dxa"/>
              <w:end w:w="100" w:type="dxa"/>
            </w:tcMar>
            <w:vAlign w:val="top"/>
          </w:tcPr>
          <w:p>
            <w:r>
              <w:rPr>
                <w:rFonts w:ascii="Times New Roman" w:hAnsi="Times New Roman" w:eastAsia="Times New Roman" w:cs="Times New Roman"/>
                <w:color w:val="000000"/>
                <w:sz w:val="18"/>
              </w:rPr>
              <w:t>2026</w:t>
            </w:r>
          </w:p>
        </w:tc>
      </w:tr>
    </w:tbl>
    <w:p>
      <w:pPr>
        <w:spacing w:after="40"/>
      </w:pP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Document Control and Source Basis</w:t>
      </w:r>
    </w:p>
    <w:p>
      <w:pPr>
        <w:spacing w:after="120" w:line="269" w:lineRule="auto"/>
      </w:pPr>
      <w:r>
        <w:rPr>
          <w:rFonts w:ascii="Times New Roman" w:hAnsi="Times New Roman" w:eastAsia="Times New Roman" w:cs="Times New Roman"/>
          <w:i w:val="0"/>
          <w:color w:val="000000"/>
        </w:rPr>
        <w:t>This final Week 5 report was prepared by synthesising the seven source files supplied for the internship: four weekly reports and three executed Python notebooks. The weekly reports provide the documented methodology, interpretation and visual evidence, while the notebooks provide the underlying analytical workflow and code used for Weeks 2–4.</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888"/>
            <w:shd w:fill="D9E2F3"/>
            <w:tcMar>
              <w:top w:w="80" w:type="dxa"/>
              <w:start w:w="100" w:type="dxa"/>
              <w:bottom w:w="80" w:type="dxa"/>
              <w:end w:w="100" w:type="dxa"/>
            </w:tcMar>
            <w:vAlign w:val="center"/>
          </w:tcPr>
          <w:p>
            <w:r>
              <w:rPr>
                <w:rFonts w:ascii="Times New Roman" w:hAnsi="Times New Roman" w:eastAsia="Times New Roman" w:cs="Times New Roman"/>
                <w:b/>
                <w:color w:val="000000"/>
                <w:sz w:val="17"/>
              </w:rPr>
              <w:t>Source</w:t>
            </w:r>
          </w:p>
        </w:tc>
        <w:tc>
          <w:tcPr>
            <w:tcW w:type="dxa" w:w="1152"/>
            <w:shd w:fill="D9E2F3"/>
            <w:tcMar>
              <w:top w:w="80" w:type="dxa"/>
              <w:start w:w="100" w:type="dxa"/>
              <w:bottom w:w="80" w:type="dxa"/>
              <w:end w:w="100" w:type="dxa"/>
            </w:tcMar>
            <w:vAlign w:val="center"/>
          </w:tcPr>
          <w:p>
            <w:r>
              <w:rPr>
                <w:rFonts w:ascii="Times New Roman" w:hAnsi="Times New Roman" w:eastAsia="Times New Roman" w:cs="Times New Roman"/>
                <w:b/>
                <w:color w:val="000000"/>
                <w:sz w:val="17"/>
              </w:rPr>
              <w:t>Type</w:t>
            </w:r>
          </w:p>
        </w:tc>
        <w:tc>
          <w:tcPr>
            <w:tcW w:type="dxa" w:w="4608"/>
            <w:shd w:fill="D9E2F3"/>
            <w:tcMar>
              <w:top w:w="80" w:type="dxa"/>
              <w:start w:w="100" w:type="dxa"/>
              <w:bottom w:w="80" w:type="dxa"/>
              <w:end w:w="100" w:type="dxa"/>
            </w:tcMar>
            <w:vAlign w:val="center"/>
          </w:tcPr>
          <w:p>
            <w:r>
              <w:rPr>
                <w:rFonts w:ascii="Times New Roman" w:hAnsi="Times New Roman" w:eastAsia="Times New Roman" w:cs="Times New Roman"/>
                <w:b/>
                <w:color w:val="000000"/>
                <w:sz w:val="17"/>
              </w:rPr>
              <w:t>Role in Week 5 synthesis</w:t>
            </w:r>
          </w:p>
        </w:tc>
      </w:tr>
      <w:tr>
        <w:tc>
          <w:tcPr>
            <w:tcW w:type="dxa" w:w="3888"/>
            <w:tcMar>
              <w:top w:w="80" w:type="dxa"/>
              <w:start w:w="100" w:type="dxa"/>
              <w:bottom w:w="80" w:type="dxa"/>
              <w:end w:w="100" w:type="dxa"/>
            </w:tcMar>
            <w:vAlign w:val="top"/>
          </w:tcPr>
          <w:p>
            <w:r>
              <w:rPr>
                <w:rFonts w:ascii="Times New Roman" w:hAnsi="Times New Roman" w:eastAsia="Times New Roman" w:cs="Times New Roman"/>
                <w:color w:val="000000"/>
                <w:sz w:val="17"/>
              </w:rPr>
              <w:t>Week 1 Data Acquisition, Cleaning and EDA report</w:t>
            </w:r>
          </w:p>
        </w:tc>
        <w:tc>
          <w:tcPr>
            <w:tcW w:type="dxa" w:w="1152"/>
            <w:tcMar>
              <w:top w:w="80" w:type="dxa"/>
              <w:start w:w="100" w:type="dxa"/>
              <w:bottom w:w="80" w:type="dxa"/>
              <w:end w:w="100" w:type="dxa"/>
            </w:tcMar>
            <w:vAlign w:val="top"/>
          </w:tcPr>
          <w:p>
            <w:r>
              <w:rPr>
                <w:rFonts w:ascii="Times New Roman" w:hAnsi="Times New Roman" w:eastAsia="Times New Roman" w:cs="Times New Roman"/>
                <w:color w:val="000000"/>
                <w:sz w:val="17"/>
              </w:rPr>
              <w:t>DOCX</w:t>
            </w:r>
          </w:p>
        </w:tc>
        <w:tc>
          <w:tcPr>
            <w:tcW w:type="dxa" w:w="4608"/>
            <w:tcMar>
              <w:top w:w="80" w:type="dxa"/>
              <w:start w:w="100" w:type="dxa"/>
              <w:bottom w:w="80" w:type="dxa"/>
              <w:end w:w="100" w:type="dxa"/>
            </w:tcMar>
            <w:vAlign w:val="top"/>
          </w:tcPr>
          <w:p>
            <w:r>
              <w:rPr>
                <w:rFonts w:ascii="Times New Roman" w:hAnsi="Times New Roman" w:eastAsia="Times New Roman" w:cs="Times New Roman"/>
                <w:color w:val="000000"/>
                <w:sz w:val="17"/>
              </w:rPr>
              <w:t>Data preparation, quality assessment, EDA and retail baseline findings</w:t>
            </w:r>
          </w:p>
        </w:tc>
      </w:tr>
      <w:tr>
        <w:tc>
          <w:tcPr>
            <w:tcW w:type="dxa" w:w="3888"/>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Week 2 Advanced Data Visualization and Storytelling report</w:t>
            </w:r>
          </w:p>
        </w:tc>
        <w:tc>
          <w:tcPr>
            <w:tcW w:type="dxa" w:w="1152"/>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DOCX</w:t>
            </w:r>
          </w:p>
        </w:tc>
        <w:tc>
          <w:tcPr>
            <w:tcW w:type="dxa" w:w="4608"/>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Six visual narratives, business interpretation and visualization rationale</w:t>
            </w:r>
          </w:p>
        </w:tc>
      </w:tr>
      <w:tr>
        <w:tc>
          <w:tcPr>
            <w:tcW w:type="dxa" w:w="3888"/>
            <w:tcMar>
              <w:top w:w="80" w:type="dxa"/>
              <w:start w:w="100" w:type="dxa"/>
              <w:bottom w:w="80" w:type="dxa"/>
              <w:end w:w="100" w:type="dxa"/>
            </w:tcMar>
            <w:vAlign w:val="top"/>
          </w:tcPr>
          <w:p>
            <w:r>
              <w:rPr>
                <w:rFonts w:ascii="Times New Roman" w:hAnsi="Times New Roman" w:eastAsia="Times New Roman" w:cs="Times New Roman"/>
                <w:color w:val="000000"/>
                <w:sz w:val="17"/>
              </w:rPr>
              <w:t>Week 2 Advanced Data Visualization and Storytelling notebook</w:t>
            </w:r>
          </w:p>
        </w:tc>
        <w:tc>
          <w:tcPr>
            <w:tcW w:type="dxa" w:w="1152"/>
            <w:tcMar>
              <w:top w:w="80" w:type="dxa"/>
              <w:start w:w="100" w:type="dxa"/>
              <w:bottom w:w="80" w:type="dxa"/>
              <w:end w:w="100" w:type="dxa"/>
            </w:tcMar>
            <w:vAlign w:val="top"/>
          </w:tcPr>
          <w:p>
            <w:r>
              <w:rPr>
                <w:rFonts w:ascii="Times New Roman" w:hAnsi="Times New Roman" w:eastAsia="Times New Roman" w:cs="Times New Roman"/>
                <w:color w:val="000000"/>
                <w:sz w:val="17"/>
              </w:rPr>
              <w:t>IPYNB</w:t>
            </w:r>
          </w:p>
        </w:tc>
        <w:tc>
          <w:tcPr>
            <w:tcW w:type="dxa" w:w="4608"/>
            <w:tcMar>
              <w:top w:w="80" w:type="dxa"/>
              <w:start w:w="100" w:type="dxa"/>
              <w:bottom w:w="80" w:type="dxa"/>
              <w:end w:w="100" w:type="dxa"/>
            </w:tcMar>
            <w:vAlign w:val="top"/>
          </w:tcPr>
          <w:p>
            <w:r>
              <w:rPr>
                <w:rFonts w:ascii="Times New Roman" w:hAnsi="Times New Roman" w:eastAsia="Times New Roman" w:cs="Times New Roman"/>
                <w:color w:val="000000"/>
                <w:sz w:val="17"/>
              </w:rPr>
              <w:t>Executed visualization workflow and calculations</w:t>
            </w:r>
          </w:p>
        </w:tc>
      </w:tr>
      <w:tr>
        <w:tc>
          <w:tcPr>
            <w:tcW w:type="dxa" w:w="3888"/>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Week 3 Statistical Analysis and Hypothesis Testing report</w:t>
            </w:r>
          </w:p>
        </w:tc>
        <w:tc>
          <w:tcPr>
            <w:tcW w:type="dxa" w:w="1152"/>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DOCX</w:t>
            </w:r>
          </w:p>
        </w:tc>
        <w:tc>
          <w:tcPr>
            <w:tcW w:type="dxa" w:w="4608"/>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Hypotheses, statistical methodology, results and limitations</w:t>
            </w:r>
          </w:p>
        </w:tc>
      </w:tr>
      <w:tr>
        <w:tc>
          <w:tcPr>
            <w:tcW w:type="dxa" w:w="3888"/>
            <w:tcMar>
              <w:top w:w="80" w:type="dxa"/>
              <w:start w:w="100" w:type="dxa"/>
              <w:bottom w:w="80" w:type="dxa"/>
              <w:end w:w="100" w:type="dxa"/>
            </w:tcMar>
            <w:vAlign w:val="top"/>
          </w:tcPr>
          <w:p>
            <w:r>
              <w:rPr>
                <w:rFonts w:ascii="Times New Roman" w:hAnsi="Times New Roman" w:eastAsia="Times New Roman" w:cs="Times New Roman"/>
                <w:color w:val="000000"/>
                <w:sz w:val="17"/>
              </w:rPr>
              <w:t>Week 3 Statistical Analysis and Hypothesis Testing notebook</w:t>
            </w:r>
          </w:p>
        </w:tc>
        <w:tc>
          <w:tcPr>
            <w:tcW w:type="dxa" w:w="1152"/>
            <w:tcMar>
              <w:top w:w="80" w:type="dxa"/>
              <w:start w:w="100" w:type="dxa"/>
              <w:bottom w:w="80" w:type="dxa"/>
              <w:end w:w="100" w:type="dxa"/>
            </w:tcMar>
            <w:vAlign w:val="top"/>
          </w:tcPr>
          <w:p>
            <w:r>
              <w:rPr>
                <w:rFonts w:ascii="Times New Roman" w:hAnsi="Times New Roman" w:eastAsia="Times New Roman" w:cs="Times New Roman"/>
                <w:color w:val="000000"/>
                <w:sz w:val="17"/>
              </w:rPr>
              <w:t>IPYNB</w:t>
            </w:r>
          </w:p>
        </w:tc>
        <w:tc>
          <w:tcPr>
            <w:tcW w:type="dxa" w:w="4608"/>
            <w:tcMar>
              <w:top w:w="80" w:type="dxa"/>
              <w:start w:w="100" w:type="dxa"/>
              <w:bottom w:w="80" w:type="dxa"/>
              <w:end w:w="100" w:type="dxa"/>
            </w:tcMar>
            <w:vAlign w:val="top"/>
          </w:tcPr>
          <w:p>
            <w:r>
              <w:rPr>
                <w:rFonts w:ascii="Times New Roman" w:hAnsi="Times New Roman" w:eastAsia="Times New Roman" w:cs="Times New Roman"/>
                <w:color w:val="000000"/>
                <w:sz w:val="17"/>
              </w:rPr>
              <w:t>Executed statistical tests and supporting plots</w:t>
            </w:r>
          </w:p>
        </w:tc>
      </w:tr>
      <w:tr>
        <w:tc>
          <w:tcPr>
            <w:tcW w:type="dxa" w:w="3888"/>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Week 4 Machine Learning Model Development and Evaluation report</w:t>
            </w:r>
          </w:p>
        </w:tc>
        <w:tc>
          <w:tcPr>
            <w:tcW w:type="dxa" w:w="1152"/>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DOCX</w:t>
            </w:r>
          </w:p>
        </w:tc>
        <w:tc>
          <w:tcPr>
            <w:tcW w:type="dxa" w:w="4608"/>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Model methodology, evaluation, error analysis and interpretation</w:t>
            </w:r>
          </w:p>
        </w:tc>
      </w:tr>
      <w:tr>
        <w:tc>
          <w:tcPr>
            <w:tcW w:type="dxa" w:w="3888"/>
            <w:tcMar>
              <w:top w:w="80" w:type="dxa"/>
              <w:start w:w="100" w:type="dxa"/>
              <w:bottom w:w="80" w:type="dxa"/>
              <w:end w:w="100" w:type="dxa"/>
            </w:tcMar>
            <w:vAlign w:val="top"/>
          </w:tcPr>
          <w:p>
            <w:r>
              <w:rPr>
                <w:rFonts w:ascii="Times New Roman" w:hAnsi="Times New Roman" w:eastAsia="Times New Roman" w:cs="Times New Roman"/>
                <w:color w:val="000000"/>
                <w:sz w:val="17"/>
              </w:rPr>
              <w:t>Week 4 Machine Learning Model Development and Evaluation notebook</w:t>
            </w:r>
          </w:p>
        </w:tc>
        <w:tc>
          <w:tcPr>
            <w:tcW w:type="dxa" w:w="1152"/>
            <w:tcMar>
              <w:top w:w="80" w:type="dxa"/>
              <w:start w:w="100" w:type="dxa"/>
              <w:bottom w:w="80" w:type="dxa"/>
              <w:end w:w="100" w:type="dxa"/>
            </w:tcMar>
            <w:vAlign w:val="top"/>
          </w:tcPr>
          <w:p>
            <w:r>
              <w:rPr>
                <w:rFonts w:ascii="Times New Roman" w:hAnsi="Times New Roman" w:eastAsia="Times New Roman" w:cs="Times New Roman"/>
                <w:color w:val="000000"/>
                <w:sz w:val="17"/>
              </w:rPr>
              <w:t>IPYNB</w:t>
            </w:r>
          </w:p>
        </w:tc>
        <w:tc>
          <w:tcPr>
            <w:tcW w:type="dxa" w:w="4608"/>
            <w:tcMar>
              <w:top w:w="80" w:type="dxa"/>
              <w:start w:w="100" w:type="dxa"/>
              <w:bottom w:w="80" w:type="dxa"/>
              <w:end w:w="100" w:type="dxa"/>
            </w:tcMar>
            <w:vAlign w:val="top"/>
          </w:tcPr>
          <w:p>
            <w:r>
              <w:rPr>
                <w:rFonts w:ascii="Times New Roman" w:hAnsi="Times New Roman" w:eastAsia="Times New Roman" w:cs="Times New Roman"/>
                <w:color w:val="000000"/>
                <w:sz w:val="17"/>
              </w:rPr>
              <w:t>Executed machine-learning pipeline and evaluation code</w:t>
            </w:r>
          </w:p>
        </w:tc>
      </w:tr>
    </w:tbl>
    <w:p>
      <w:pPr>
        <w:spacing w:after="40"/>
      </w:pPr>
    </w:p>
    <w:tbl>
      <w:tblPr>
        <w:tblW w:type="auto" w:w="0"/>
        <w:jc w:val="center"/>
        <w:tblLook w:firstColumn="1" w:firstRow="1" w:lastColumn="0" w:lastRow="0" w:noHBand="0" w:noVBand="1" w:val="04A0"/>
      </w:tblPr>
      <w:tblGrid>
        <w:gridCol w:w="10080"/>
      </w:tblGrid>
      <w:tr>
        <w:tc>
          <w:tcPr>
            <w:tcW w:type="dxa" w:w="10080"/>
            <w:shd w:fill="F2F2F2"/>
            <w:tcMar>
              <w:top w:w="120" w:type="dxa"/>
              <w:start w:w="140" w:type="dxa"/>
              <w:bottom w:w="120" w:type="dxa"/>
              <w:end w:w="140" w:type="dxa"/>
            </w:tcMar>
          </w:tcPr>
          <w:p>
            <w:r>
              <w:rPr>
                <w:rFonts w:ascii="Times New Roman" w:hAnsi="Times New Roman" w:eastAsia="Times New Roman" w:cs="Times New Roman"/>
                <w:b/>
                <w:color w:val="000000"/>
              </w:rPr>
              <w:t>Source consistency note</w:t>
            </w:r>
            <w:r>
              <w:rPr>
                <w:rFonts w:ascii="Times New Roman" w:hAnsi="Times New Roman" w:eastAsia="Times New Roman" w:cs="Times New Roman"/>
                <w:color w:val="000000"/>
              </w:rPr>
              <w:br/>
              <w:t>The uploaded Week 1 filename contains the word “Titanic”, but the actual report content identifies the Online Retail II dataset throughout. This final report follows the actual analytical content rather than the filename.</w:t>
            </w:r>
          </w:p>
        </w:tc>
      </w:tr>
    </w:tbl>
    <w:p>
      <w:pPr>
        <w:spacing w:after="40"/>
      </w:pP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Executive Summary</w:t>
      </w:r>
    </w:p>
    <w:p>
      <w:pPr>
        <w:spacing w:after="120" w:line="269" w:lineRule="auto"/>
      </w:pPr>
      <w:r>
        <w:rPr>
          <w:rFonts w:ascii="Times New Roman" w:hAnsi="Times New Roman" w:eastAsia="Times New Roman" w:cs="Times New Roman"/>
          <w:i w:val="0"/>
          <w:color w:val="000000"/>
        </w:rPr>
        <w:t>This final report consolidates the analytical work completed across Weeks 1–4 into one end-to-end data science project narrative. The work progressed from data acquisition and cleaning, through exploratory and advanced visualization, into formal statistical hypothesis testing and finally supervised machine learning model development. The result is a practical demonstration of how raw data can be converted into evidence, interpreted for decision-making, and extended into predictive modelling.</w:t>
      </w:r>
    </w:p>
    <w:p>
      <w:pPr>
        <w:spacing w:after="120" w:line="269" w:lineRule="auto"/>
      </w:pPr>
      <w:r>
        <w:rPr>
          <w:rFonts w:ascii="Times New Roman" w:hAnsi="Times New Roman" w:eastAsia="Times New Roman" w:cs="Times New Roman"/>
          <w:i w:val="0"/>
          <w:color w:val="000000"/>
        </w:rPr>
        <w:t>Weeks 1–3 used the Online Retail II transaction dataset as the main business analytics case. The combined workbook contained 1,067,371 raw transaction lines across two yearly sheets. After preparing the data and focusing the main sales analysis on positive quantity and price transactions, the work identified £20.97 million in positive-sales revenue, 43 countries, 4,917 stock codes and 40,078 unique invoices. The analysis showed strong revenue concentration in the United Kingdom, noticeable month-to-month variation, concentration among high-revenue products, unequal customer value, and a strongly right-skewed transaction-revenue distribution.</w:t>
      </w:r>
    </w:p>
    <w:p>
      <w:pPr>
        <w:spacing w:after="120" w:line="269" w:lineRule="auto"/>
      </w:pPr>
      <w:r>
        <w:rPr>
          <w:rFonts w:ascii="Times New Roman" w:hAnsi="Times New Roman" w:eastAsia="Times New Roman" w:cs="Times New Roman"/>
          <w:i w:val="0"/>
          <w:color w:val="000000"/>
        </w:rPr>
        <w:t>Week 3 converted several visual observations into formal statistical evidence. A Welch independent t-test found a statistically significant difference between UK and Non-UK mean transaction revenue (t = -47.4265, p reported as 0.0). One-way ANOVA found statistically significant differences among the selected country groups (F = 9855.8207, p reported as 0.0). A Chi-Square test found a statistically significant association between country and cancellation status (χ² = 1444.0929, p ≈ 1.8983 × 10⁻³¹¹). These results were interpreted as statistical evidence within the analysed dataset, not as proof of causation.</w:t>
      </w:r>
    </w:p>
    <w:p>
      <w:pPr>
        <w:spacing w:after="120" w:line="269" w:lineRule="auto"/>
      </w:pPr>
      <w:r>
        <w:rPr>
          <w:rFonts w:ascii="Times New Roman" w:hAnsi="Times New Roman" w:eastAsia="Times New Roman" w:cs="Times New Roman"/>
          <w:i w:val="0"/>
          <w:color w:val="000000"/>
        </w:rPr>
        <w:t>Week 4 demonstrated a separate supervised machine-learning track using the Breast Cancer Wisconsin Diagnostic dataset. Two models were compared: Logistic Regression and a controlled-depth Decision Tree. Logistic Regression achieved 98.25% test accuracy, 98.61% precision, 98.61% recall, 98.61% F1-score and 0.9954 ROC-AUC, while the Decision Tree achieved 92.11% accuracy and 0.9163 ROC-AUC. Five-fold stratified cross-validation also favoured Logistic Regression, supporting the conclusion that it generalised more consistently in this experiment.</w:t>
      </w:r>
    </w:p>
    <w:p>
      <w:pPr>
        <w:spacing w:after="120" w:line="269" w:lineRule="auto"/>
      </w:pPr>
      <w:r>
        <w:rPr>
          <w:rFonts w:ascii="Times New Roman" w:hAnsi="Times New Roman" w:eastAsia="Times New Roman" w:cs="Times New Roman"/>
          <w:i w:val="0"/>
          <w:color w:val="000000"/>
        </w:rPr>
        <w:t>The strategic recommendations in this final report therefore focus on five practical themes: segmenting high-value customers, managing country-specific opportunities, investigating cancellation drivers, using dashboards for recurring decision support, and validating predictive models before real-world deployment. The report also recognises important limitations, including skewed transaction values, missing customer identifiers, statistical significance versus practical significance, dataset-specific conclusions, and the need for external validation of machine-learning models.</w:t>
      </w: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Report Map</w:t>
      </w:r>
    </w:p>
    <w:p>
      <w:pPr>
        <w:pStyle w:val="ListNumber"/>
        <w:spacing w:after="60"/>
      </w:pPr>
      <w:r>
        <w:rPr>
          <w:rFonts w:ascii="Times New Roman" w:hAnsi="Times New Roman" w:eastAsia="Times New Roman" w:cs="Times New Roman"/>
          <w:color w:val="000000"/>
        </w:rPr>
        <w:t>Executive Summary</w:t>
      </w:r>
    </w:p>
    <w:p>
      <w:pPr>
        <w:pStyle w:val="ListNumber"/>
        <w:spacing w:after="60"/>
      </w:pPr>
      <w:r>
        <w:rPr>
          <w:rFonts w:ascii="Times New Roman" w:hAnsi="Times New Roman" w:eastAsia="Times New Roman" w:cs="Times New Roman"/>
          <w:color w:val="000000"/>
        </w:rPr>
        <w:t>1. Introduction and Project Context</w:t>
      </w:r>
    </w:p>
    <w:p>
      <w:pPr>
        <w:pStyle w:val="ListNumber"/>
        <w:spacing w:after="60"/>
      </w:pPr>
      <w:r>
        <w:rPr>
          <w:rFonts w:ascii="Times New Roman" w:hAnsi="Times New Roman" w:eastAsia="Times New Roman" w:cs="Times New Roman"/>
          <w:color w:val="000000"/>
        </w:rPr>
        <w:t>2. Internship Objectives and End-to-End Workflow</w:t>
      </w:r>
    </w:p>
    <w:p>
      <w:pPr>
        <w:pStyle w:val="ListNumber"/>
        <w:spacing w:after="60"/>
      </w:pPr>
      <w:r>
        <w:rPr>
          <w:rFonts w:ascii="Times New Roman" w:hAnsi="Times New Roman" w:eastAsia="Times New Roman" w:cs="Times New Roman"/>
          <w:color w:val="000000"/>
        </w:rPr>
        <w:t>3. Week 1 – Data Acquisition, Cleaning and Exploratory Analysis</w:t>
      </w:r>
    </w:p>
    <w:p>
      <w:pPr>
        <w:pStyle w:val="ListNumber"/>
        <w:spacing w:after="60"/>
      </w:pPr>
      <w:r>
        <w:rPr>
          <w:rFonts w:ascii="Times New Roman" w:hAnsi="Times New Roman" w:eastAsia="Times New Roman" w:cs="Times New Roman"/>
          <w:color w:val="000000"/>
        </w:rPr>
        <w:t>4. Week 2 – Advanced Data Visualization and Storytelling</w:t>
      </w:r>
    </w:p>
    <w:p>
      <w:pPr>
        <w:pStyle w:val="ListNumber"/>
        <w:spacing w:after="60"/>
      </w:pPr>
      <w:r>
        <w:rPr>
          <w:rFonts w:ascii="Times New Roman" w:hAnsi="Times New Roman" w:eastAsia="Times New Roman" w:cs="Times New Roman"/>
          <w:color w:val="000000"/>
        </w:rPr>
        <w:t>5. Week 3 – Statistical Analysis and Hypothesis Testing</w:t>
      </w:r>
    </w:p>
    <w:p>
      <w:pPr>
        <w:pStyle w:val="ListNumber"/>
        <w:spacing w:after="60"/>
      </w:pPr>
      <w:r>
        <w:rPr>
          <w:rFonts w:ascii="Times New Roman" w:hAnsi="Times New Roman" w:eastAsia="Times New Roman" w:cs="Times New Roman"/>
          <w:color w:val="000000"/>
        </w:rPr>
        <w:t>6. Week 4 – Machine Learning Model Development and Evaluation</w:t>
      </w:r>
    </w:p>
    <w:p>
      <w:pPr>
        <w:pStyle w:val="ListNumber"/>
        <w:spacing w:after="60"/>
      </w:pPr>
      <w:r>
        <w:rPr>
          <w:rFonts w:ascii="Times New Roman" w:hAnsi="Times New Roman" w:eastAsia="Times New Roman" w:cs="Times New Roman"/>
          <w:color w:val="000000"/>
        </w:rPr>
        <w:t>7. Integrated Key Findings Across the Internship</w:t>
      </w:r>
    </w:p>
    <w:p>
      <w:pPr>
        <w:pStyle w:val="ListNumber"/>
        <w:spacing w:after="60"/>
      </w:pPr>
      <w:r>
        <w:rPr>
          <w:rFonts w:ascii="Times New Roman" w:hAnsi="Times New Roman" w:eastAsia="Times New Roman" w:cs="Times New Roman"/>
          <w:color w:val="000000"/>
        </w:rPr>
        <w:t>8. Strategic Recommendations</w:t>
      </w:r>
    </w:p>
    <w:p>
      <w:pPr>
        <w:pStyle w:val="ListNumber"/>
        <w:spacing w:after="60"/>
      </w:pPr>
      <w:r>
        <w:rPr>
          <w:rFonts w:ascii="Times New Roman" w:hAnsi="Times New Roman" w:eastAsia="Times New Roman" w:cs="Times New Roman"/>
          <w:color w:val="000000"/>
        </w:rPr>
        <w:t>9. Business and Research Impact</w:t>
      </w:r>
    </w:p>
    <w:p>
      <w:pPr>
        <w:pStyle w:val="ListNumber"/>
        <w:spacing w:after="60"/>
      </w:pPr>
      <w:r>
        <w:rPr>
          <w:rFonts w:ascii="Times New Roman" w:hAnsi="Times New Roman" w:eastAsia="Times New Roman" w:cs="Times New Roman"/>
          <w:color w:val="000000"/>
        </w:rPr>
        <w:t>10. Limitations and Risk Considerations</w:t>
      </w:r>
    </w:p>
    <w:p>
      <w:pPr>
        <w:pStyle w:val="ListNumber"/>
        <w:spacing w:after="60"/>
      </w:pPr>
      <w:r>
        <w:rPr>
          <w:rFonts w:ascii="Times New Roman" w:hAnsi="Times New Roman" w:eastAsia="Times New Roman" w:cs="Times New Roman"/>
          <w:color w:val="000000"/>
        </w:rPr>
        <w:t>11. Future Improvement Roadmap</w:t>
      </w:r>
    </w:p>
    <w:p>
      <w:pPr>
        <w:pStyle w:val="ListNumber"/>
        <w:spacing w:after="60"/>
      </w:pPr>
      <w:r>
        <w:rPr>
          <w:rFonts w:ascii="Times New Roman" w:hAnsi="Times New Roman" w:eastAsia="Times New Roman" w:cs="Times New Roman"/>
          <w:color w:val="000000"/>
        </w:rPr>
        <w:t>12. Technical Implementation and Code Highlights</w:t>
      </w:r>
    </w:p>
    <w:p>
      <w:pPr>
        <w:pStyle w:val="ListNumber"/>
        <w:spacing w:after="60"/>
      </w:pPr>
      <w:r>
        <w:rPr>
          <w:rFonts w:ascii="Times New Roman" w:hAnsi="Times New Roman" w:eastAsia="Times New Roman" w:cs="Times New Roman"/>
          <w:color w:val="000000"/>
        </w:rPr>
        <w:t>13. Conclusion</w:t>
      </w:r>
    </w:p>
    <w:p>
      <w:pPr>
        <w:pStyle w:val="ListNumber"/>
        <w:spacing w:after="60"/>
      </w:pPr>
      <w:r>
        <w:rPr>
          <w:rFonts w:ascii="Times New Roman" w:hAnsi="Times New Roman" w:eastAsia="Times New Roman" w:cs="Times New Roman"/>
          <w:color w:val="000000"/>
        </w:rPr>
        <w:t>14. References and Source Files</w:t>
      </w:r>
    </w:p>
    <w:p>
      <w:pPr>
        <w:pStyle w:val="ListNumber"/>
        <w:spacing w:after="60"/>
      </w:pPr>
      <w:r>
        <w:rPr>
          <w:rFonts w:ascii="Times New Roman" w:hAnsi="Times New Roman" w:eastAsia="Times New Roman" w:cs="Times New Roman"/>
          <w:color w:val="000000"/>
        </w:rPr>
        <w:t>15. Final Week 5 Requirement Checklist</w:t>
      </w: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1. Introduction and Project Context</w:t>
      </w:r>
    </w:p>
    <w:p>
      <w:pPr>
        <w:spacing w:after="120" w:line="269" w:lineRule="auto"/>
      </w:pPr>
      <w:r>
        <w:rPr>
          <w:rFonts w:ascii="Times New Roman" w:hAnsi="Times New Roman" w:eastAsia="Times New Roman" w:cs="Times New Roman"/>
          <w:i w:val="0"/>
          <w:color w:val="000000"/>
        </w:rPr>
        <w:t>The purpose of the final week is to integrate the practical skills developed throughout the internship into a coherent data science workflow. Rather than treating each weekly assignment as an isolated exercise, this report connects the work through a common analytical logic: first understand and prepare data, then communicate patterns visually, test important observations statistically, and finally demonstrate predictive modelling using an appropriate supervised learning problem.</w:t>
      </w:r>
    </w:p>
    <w:p>
      <w:pPr>
        <w:spacing w:after="120" w:line="269" w:lineRule="auto"/>
      </w:pPr>
      <w:r>
        <w:rPr>
          <w:rFonts w:ascii="Times New Roman" w:hAnsi="Times New Roman" w:eastAsia="Times New Roman" w:cs="Times New Roman"/>
          <w:i w:val="0"/>
          <w:color w:val="000000"/>
        </w:rPr>
        <w:t xml:space="preserve">The business analytics portion of the internship used the Online Retail II dataset. The Week 1 report describes the dataset as a real transaction environment containing invoices, products, quantities, prices, dates, customer identifiers and countries. The combined workbook contains more than one million transaction lines, making it suitable for realistic data-quality and aggregation exercises. </w:t>
      </w:r>
    </w:p>
    <w:p>
      <w:pPr>
        <w:spacing w:after="120" w:line="269" w:lineRule="auto"/>
      </w:pPr>
      <w:r>
        <w:rPr>
          <w:rFonts w:ascii="Times New Roman" w:hAnsi="Times New Roman" w:eastAsia="Times New Roman" w:cs="Times New Roman"/>
          <w:i w:val="0"/>
          <w:color w:val="000000"/>
        </w:rPr>
        <w:t>The machine-learning portion in Week 4 used the Breast Cancer Wisconsin Diagnostic dataset available through Scikit-learn. This was intentionally treated as a separate predictive-modelling case rather than being mixed with the retail business analysis. The separation allows the final report to demonstrate two complementary capabilities: business-oriented descriptive/statistical analytics and predictive machine learning.</w:t>
      </w:r>
    </w:p>
    <w:p>
      <w:pPr>
        <w:spacing w:after="120" w:line="269" w:lineRule="auto"/>
      </w:pPr>
      <w:r>
        <w:rPr>
          <w:rFonts w:ascii="Times New Roman" w:hAnsi="Times New Roman" w:eastAsia="Times New Roman" w:cs="Times New Roman"/>
          <w:i w:val="0"/>
          <w:color w:val="000000"/>
        </w:rPr>
        <w:t>Across the project, Python and its data-science ecosystem provided the core implementation environment. Pandas and NumPy supported data preparation and numerical analysis; Matplotlib and Seaborn supported visual communication; SciPy supported statistical testing; and Scikit-learn supported preprocessing, model development, cross-validation and evaluation.</w:t>
      </w:r>
    </w:p>
    <w:p>
      <w:pPr>
        <w:pStyle w:val="Heading1"/>
      </w:pPr>
      <w:r>
        <w:rPr>
          <w:rFonts w:ascii="Times New Roman" w:hAnsi="Times New Roman" w:eastAsia="Times New Roman" w:cs="Times New Roman"/>
          <w:color w:val="000000"/>
        </w:rPr>
        <w:t>2. Internship Objectives and End-to-End Workflow</w:t>
      </w:r>
    </w:p>
    <w:p>
      <w:pPr>
        <w:spacing w:after="120" w:line="269" w:lineRule="auto"/>
      </w:pPr>
      <w:r>
        <w:rPr>
          <w:rFonts w:ascii="Times New Roman" w:hAnsi="Times New Roman" w:eastAsia="Times New Roman" w:cs="Times New Roman"/>
          <w:i w:val="0"/>
          <w:color w:val="000000"/>
        </w:rPr>
        <w:t>The final project demonstrates the following learning outcomes:</w:t>
      </w:r>
    </w:p>
    <w:p>
      <w:pPr>
        <w:pStyle w:val="ListBullet"/>
        <w:spacing w:after="60"/>
      </w:pPr>
      <w:r>
        <w:rPr>
          <w:rFonts w:ascii="Times New Roman" w:hAnsi="Times New Roman" w:eastAsia="Times New Roman" w:cs="Times New Roman"/>
          <w:color w:val="000000"/>
        </w:rPr>
        <w:t>Acquire and understand structured public or supplied datasets.</w:t>
      </w:r>
    </w:p>
    <w:p>
      <w:pPr>
        <w:pStyle w:val="ListBullet"/>
        <w:spacing w:after="60"/>
      </w:pPr>
      <w:r>
        <w:rPr>
          <w:rFonts w:ascii="Times New Roman" w:hAnsi="Times New Roman" w:eastAsia="Times New Roman" w:cs="Times New Roman"/>
          <w:color w:val="000000"/>
        </w:rPr>
        <w:t>Identify and treat missing values, duplicates, invalid or unusual observations with justified decisions.</w:t>
      </w:r>
    </w:p>
    <w:p>
      <w:pPr>
        <w:pStyle w:val="ListBullet"/>
        <w:spacing w:after="60"/>
      </w:pPr>
      <w:r>
        <w:rPr>
          <w:rFonts w:ascii="Times New Roman" w:hAnsi="Times New Roman" w:eastAsia="Times New Roman" w:cs="Times New Roman"/>
          <w:color w:val="000000"/>
        </w:rPr>
        <w:t>Create business-relevant derived measures such as transaction revenue.</w:t>
      </w:r>
    </w:p>
    <w:p>
      <w:pPr>
        <w:pStyle w:val="ListBullet"/>
        <w:spacing w:after="60"/>
      </w:pPr>
      <w:r>
        <w:rPr>
          <w:rFonts w:ascii="Times New Roman" w:hAnsi="Times New Roman" w:eastAsia="Times New Roman" w:cs="Times New Roman"/>
          <w:color w:val="000000"/>
        </w:rPr>
        <w:t>Perform exploratory analysis to identify trends, concentration and unusual observations.</w:t>
      </w:r>
    </w:p>
    <w:p>
      <w:pPr>
        <w:pStyle w:val="ListBullet"/>
        <w:spacing w:after="60"/>
      </w:pPr>
      <w:r>
        <w:rPr>
          <w:rFonts w:ascii="Times New Roman" w:hAnsi="Times New Roman" w:eastAsia="Times New Roman" w:cs="Times New Roman"/>
          <w:color w:val="000000"/>
        </w:rPr>
        <w:t>Design visualizations that answer clear analytical questions and communicate findings to non-technical readers.</w:t>
      </w:r>
    </w:p>
    <w:p>
      <w:pPr>
        <w:pStyle w:val="ListBullet"/>
        <w:spacing w:after="60"/>
      </w:pPr>
      <w:r>
        <w:rPr>
          <w:rFonts w:ascii="Times New Roman" w:hAnsi="Times New Roman" w:eastAsia="Times New Roman" w:cs="Times New Roman"/>
          <w:color w:val="000000"/>
        </w:rPr>
        <w:t>Formulate testable hypotheses and select statistical methods appropriate to the question.</w:t>
      </w:r>
    </w:p>
    <w:p>
      <w:pPr>
        <w:pStyle w:val="ListBullet"/>
        <w:spacing w:after="60"/>
      </w:pPr>
      <w:r>
        <w:rPr>
          <w:rFonts w:ascii="Times New Roman" w:hAnsi="Times New Roman" w:eastAsia="Times New Roman" w:cs="Times New Roman"/>
          <w:color w:val="000000"/>
        </w:rPr>
        <w:t>Interpret p-values, confidence intervals and statistical associations correctly.</w:t>
      </w:r>
    </w:p>
    <w:p>
      <w:pPr>
        <w:pStyle w:val="ListBullet"/>
        <w:spacing w:after="60"/>
      </w:pPr>
      <w:r>
        <w:rPr>
          <w:rFonts w:ascii="Times New Roman" w:hAnsi="Times New Roman" w:eastAsia="Times New Roman" w:cs="Times New Roman"/>
          <w:color w:val="000000"/>
        </w:rPr>
        <w:t>Develop and compare supervised machine-learning models using multiple evaluation metrics.</w:t>
      </w:r>
    </w:p>
    <w:p>
      <w:pPr>
        <w:pStyle w:val="ListBullet"/>
        <w:spacing w:after="60"/>
      </w:pPr>
      <w:r>
        <w:rPr>
          <w:rFonts w:ascii="Times New Roman" w:hAnsi="Times New Roman" w:eastAsia="Times New Roman" w:cs="Times New Roman"/>
          <w:color w:val="000000"/>
        </w:rPr>
        <w:t>Use cross-validation and error analysis to examine generalisation rather than relying on a single accuracy value.</w:t>
      </w:r>
    </w:p>
    <w:p>
      <w:pPr>
        <w:pStyle w:val="ListBullet"/>
        <w:spacing w:after="60"/>
      </w:pPr>
      <w:r>
        <w:rPr>
          <w:rFonts w:ascii="Times New Roman" w:hAnsi="Times New Roman" w:eastAsia="Times New Roman" w:cs="Times New Roman"/>
          <w:color w:val="000000"/>
        </w:rPr>
        <w:t>Translate analytical evidence into practical recommendations, while recognising uncertainty and limitations.</w:t>
      </w:r>
    </w:p>
    <w:p>
      <w:pPr>
        <w:pStyle w:val="Heading2"/>
      </w:pPr>
      <w:r>
        <w:rPr>
          <w:rFonts w:ascii="Times New Roman" w:hAnsi="Times New Roman" w:eastAsia="Times New Roman" w:cs="Times New Roman"/>
          <w:color w:val="000000"/>
        </w:rPr>
        <w:t>2.1 End-to-End Workflow</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D9E2F3"/>
            <w:tcMar>
              <w:top w:w="80" w:type="dxa"/>
              <w:start w:w="100" w:type="dxa"/>
              <w:bottom w:w="80" w:type="dxa"/>
              <w:end w:w="100" w:type="dxa"/>
            </w:tcMar>
            <w:vAlign w:val="center"/>
          </w:tcPr>
          <w:p>
            <w:r>
              <w:rPr>
                <w:rFonts w:ascii="Times New Roman" w:hAnsi="Times New Roman" w:eastAsia="Times New Roman" w:cs="Times New Roman"/>
                <w:b/>
                <w:color w:val="000000"/>
                <w:sz w:val="17"/>
              </w:rPr>
              <w:t>Stage</w:t>
            </w:r>
          </w:p>
        </w:tc>
        <w:tc>
          <w:tcPr>
            <w:tcW w:type="dxa" w:w="4464"/>
            <w:shd w:fill="D9E2F3"/>
            <w:tcMar>
              <w:top w:w="80" w:type="dxa"/>
              <w:start w:w="100" w:type="dxa"/>
              <w:bottom w:w="80" w:type="dxa"/>
              <w:end w:w="100" w:type="dxa"/>
            </w:tcMar>
            <w:vAlign w:val="center"/>
          </w:tcPr>
          <w:p>
            <w:r>
              <w:rPr>
                <w:rFonts w:ascii="Times New Roman" w:hAnsi="Times New Roman" w:eastAsia="Times New Roman" w:cs="Times New Roman"/>
                <w:b/>
                <w:color w:val="000000"/>
                <w:sz w:val="17"/>
              </w:rPr>
              <w:t>Main activity</w:t>
            </w:r>
          </w:p>
        </w:tc>
        <w:tc>
          <w:tcPr>
            <w:tcW w:type="dxa" w:w="4032"/>
            <w:shd w:fill="D9E2F3"/>
            <w:tcMar>
              <w:top w:w="80" w:type="dxa"/>
              <w:start w:w="100" w:type="dxa"/>
              <w:bottom w:w="80" w:type="dxa"/>
              <w:end w:w="100" w:type="dxa"/>
            </w:tcMar>
            <w:vAlign w:val="center"/>
          </w:tcPr>
          <w:p>
            <w:r>
              <w:rPr>
                <w:rFonts w:ascii="Times New Roman" w:hAnsi="Times New Roman" w:eastAsia="Times New Roman" w:cs="Times New Roman"/>
                <w:b/>
                <w:color w:val="000000"/>
                <w:sz w:val="17"/>
              </w:rPr>
              <w:t>Evidence produced</w:t>
            </w:r>
          </w:p>
        </w:tc>
      </w:tr>
      <w:tr>
        <w:tc>
          <w:tcPr>
            <w:tcW w:type="dxa" w:w="1728"/>
            <w:tcMar>
              <w:top w:w="80" w:type="dxa"/>
              <w:start w:w="100" w:type="dxa"/>
              <w:bottom w:w="80" w:type="dxa"/>
              <w:end w:w="100" w:type="dxa"/>
            </w:tcMar>
            <w:vAlign w:val="top"/>
          </w:tcPr>
          <w:p>
            <w:r>
              <w:rPr>
                <w:rFonts w:ascii="Times New Roman" w:hAnsi="Times New Roman" w:eastAsia="Times New Roman" w:cs="Times New Roman"/>
                <w:color w:val="000000"/>
                <w:sz w:val="17"/>
              </w:rPr>
              <w:t>1. Data acquisition</w:t>
            </w:r>
          </w:p>
        </w:tc>
        <w:tc>
          <w:tcPr>
            <w:tcW w:type="dxa" w:w="4464"/>
            <w:tcMar>
              <w:top w:w="80" w:type="dxa"/>
              <w:start w:w="100" w:type="dxa"/>
              <w:bottom w:w="80" w:type="dxa"/>
              <w:end w:w="100" w:type="dxa"/>
            </w:tcMar>
            <w:vAlign w:val="top"/>
          </w:tcPr>
          <w:p>
            <w:r>
              <w:rPr>
                <w:rFonts w:ascii="Times New Roman" w:hAnsi="Times New Roman" w:eastAsia="Times New Roman" w:cs="Times New Roman"/>
                <w:color w:val="000000"/>
                <w:sz w:val="17"/>
              </w:rPr>
              <w:t>Load and combine source data</w:t>
            </w:r>
          </w:p>
        </w:tc>
        <w:tc>
          <w:tcPr>
            <w:tcW w:type="dxa" w:w="4032"/>
            <w:tcMar>
              <w:top w:w="80" w:type="dxa"/>
              <w:start w:w="100" w:type="dxa"/>
              <w:bottom w:w="80" w:type="dxa"/>
              <w:end w:w="100" w:type="dxa"/>
            </w:tcMar>
            <w:vAlign w:val="top"/>
          </w:tcPr>
          <w:p>
            <w:r>
              <w:rPr>
                <w:rFonts w:ascii="Times New Roman" w:hAnsi="Times New Roman" w:eastAsia="Times New Roman" w:cs="Times New Roman"/>
                <w:color w:val="000000"/>
                <w:sz w:val="17"/>
              </w:rPr>
              <w:t>Structured DataFrame and dataset profile</w:t>
            </w:r>
          </w:p>
        </w:tc>
      </w:tr>
      <w:tr>
        <w:tc>
          <w:tcPr>
            <w:tcW w:type="dxa" w:w="1728"/>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2. Data quality</w:t>
            </w:r>
          </w:p>
        </w:tc>
        <w:tc>
          <w:tcPr>
            <w:tcW w:type="dxa" w:w="4464"/>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Check missingness, duplicates, dates and unusual values</w:t>
            </w:r>
          </w:p>
        </w:tc>
        <w:tc>
          <w:tcPr>
            <w:tcW w:type="dxa" w:w="4032"/>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Data-quality summary and cleaning decisions</w:t>
            </w:r>
          </w:p>
        </w:tc>
      </w:tr>
      <w:tr>
        <w:tc>
          <w:tcPr>
            <w:tcW w:type="dxa" w:w="1728"/>
            <w:tcMar>
              <w:top w:w="80" w:type="dxa"/>
              <w:start w:w="100" w:type="dxa"/>
              <w:bottom w:w="80" w:type="dxa"/>
              <w:end w:w="100" w:type="dxa"/>
            </w:tcMar>
            <w:vAlign w:val="top"/>
          </w:tcPr>
          <w:p>
            <w:r>
              <w:rPr>
                <w:rFonts w:ascii="Times New Roman" w:hAnsi="Times New Roman" w:eastAsia="Times New Roman" w:cs="Times New Roman"/>
                <w:color w:val="000000"/>
                <w:sz w:val="17"/>
              </w:rPr>
              <w:t>3. Feature preparation</w:t>
            </w:r>
          </w:p>
        </w:tc>
        <w:tc>
          <w:tcPr>
            <w:tcW w:type="dxa" w:w="4464"/>
            <w:tcMar>
              <w:top w:w="80" w:type="dxa"/>
              <w:start w:w="100" w:type="dxa"/>
              <w:bottom w:w="80" w:type="dxa"/>
              <w:end w:w="100" w:type="dxa"/>
            </w:tcMar>
            <w:vAlign w:val="top"/>
          </w:tcPr>
          <w:p>
            <w:r>
              <w:rPr>
                <w:rFonts w:ascii="Times New Roman" w:hAnsi="Times New Roman" w:eastAsia="Times New Roman" w:cs="Times New Roman"/>
                <w:color w:val="000000"/>
                <w:sz w:val="17"/>
              </w:rPr>
              <w:t>Create revenue and modelling-ready variables</w:t>
            </w:r>
          </w:p>
        </w:tc>
        <w:tc>
          <w:tcPr>
            <w:tcW w:type="dxa" w:w="4032"/>
            <w:tcMar>
              <w:top w:w="80" w:type="dxa"/>
              <w:start w:w="100" w:type="dxa"/>
              <w:bottom w:w="80" w:type="dxa"/>
              <w:end w:w="100" w:type="dxa"/>
            </w:tcMar>
            <w:vAlign w:val="top"/>
          </w:tcPr>
          <w:p>
            <w:r>
              <w:rPr>
                <w:rFonts w:ascii="Times New Roman" w:hAnsi="Times New Roman" w:eastAsia="Times New Roman" w:cs="Times New Roman"/>
                <w:color w:val="000000"/>
                <w:sz w:val="17"/>
              </w:rPr>
              <w:t>Derived measures and prepared datasets</w:t>
            </w:r>
          </w:p>
        </w:tc>
      </w:tr>
      <w:tr>
        <w:tc>
          <w:tcPr>
            <w:tcW w:type="dxa" w:w="1728"/>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4. Exploratory analysis</w:t>
            </w:r>
          </w:p>
        </w:tc>
        <w:tc>
          <w:tcPr>
            <w:tcW w:type="dxa" w:w="4464"/>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Summarise patterns and distributions</w:t>
            </w:r>
          </w:p>
        </w:tc>
        <w:tc>
          <w:tcPr>
            <w:tcW w:type="dxa" w:w="4032"/>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Descriptive statistics and EDA charts</w:t>
            </w:r>
          </w:p>
        </w:tc>
      </w:tr>
      <w:tr>
        <w:tc>
          <w:tcPr>
            <w:tcW w:type="dxa" w:w="1728"/>
            <w:tcMar>
              <w:top w:w="80" w:type="dxa"/>
              <w:start w:w="100" w:type="dxa"/>
              <w:bottom w:w="80" w:type="dxa"/>
              <w:end w:w="100" w:type="dxa"/>
            </w:tcMar>
            <w:vAlign w:val="top"/>
          </w:tcPr>
          <w:p>
            <w:r>
              <w:rPr>
                <w:rFonts w:ascii="Times New Roman" w:hAnsi="Times New Roman" w:eastAsia="Times New Roman" w:cs="Times New Roman"/>
                <w:color w:val="000000"/>
                <w:sz w:val="17"/>
              </w:rPr>
              <w:t>5. Visual storytelling</w:t>
            </w:r>
          </w:p>
        </w:tc>
        <w:tc>
          <w:tcPr>
            <w:tcW w:type="dxa" w:w="4464"/>
            <w:tcMar>
              <w:top w:w="80" w:type="dxa"/>
              <w:start w:w="100" w:type="dxa"/>
              <w:bottom w:w="80" w:type="dxa"/>
              <w:end w:w="100" w:type="dxa"/>
            </w:tcMar>
            <w:vAlign w:val="top"/>
          </w:tcPr>
          <w:p>
            <w:r>
              <w:rPr>
                <w:rFonts w:ascii="Times New Roman" w:hAnsi="Times New Roman" w:eastAsia="Times New Roman" w:cs="Times New Roman"/>
                <w:color w:val="000000"/>
                <w:sz w:val="17"/>
              </w:rPr>
              <w:t>Answer business questions with charts</w:t>
            </w:r>
          </w:p>
        </w:tc>
        <w:tc>
          <w:tcPr>
            <w:tcW w:type="dxa" w:w="4032"/>
            <w:tcMar>
              <w:top w:w="80" w:type="dxa"/>
              <w:start w:w="100" w:type="dxa"/>
              <w:bottom w:w="80" w:type="dxa"/>
              <w:end w:w="100" w:type="dxa"/>
            </w:tcMar>
            <w:vAlign w:val="top"/>
          </w:tcPr>
          <w:p>
            <w:r>
              <w:rPr>
                <w:rFonts w:ascii="Times New Roman" w:hAnsi="Times New Roman" w:eastAsia="Times New Roman" w:cs="Times New Roman"/>
                <w:color w:val="000000"/>
                <w:sz w:val="17"/>
              </w:rPr>
              <w:t>Six advanced visualizations</w:t>
            </w:r>
          </w:p>
        </w:tc>
      </w:tr>
      <w:tr>
        <w:tc>
          <w:tcPr>
            <w:tcW w:type="dxa" w:w="1728"/>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6. Statistical validation</w:t>
            </w:r>
          </w:p>
        </w:tc>
        <w:tc>
          <w:tcPr>
            <w:tcW w:type="dxa" w:w="4464"/>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Test selected hypotheses</w:t>
            </w:r>
          </w:p>
        </w:tc>
        <w:tc>
          <w:tcPr>
            <w:tcW w:type="dxa" w:w="4032"/>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t-test, ANOVA and Chi-Square results</w:t>
            </w:r>
          </w:p>
        </w:tc>
      </w:tr>
      <w:tr>
        <w:tc>
          <w:tcPr>
            <w:tcW w:type="dxa" w:w="1728"/>
            <w:tcMar>
              <w:top w:w="80" w:type="dxa"/>
              <w:start w:w="100" w:type="dxa"/>
              <w:bottom w:w="80" w:type="dxa"/>
              <w:end w:w="100" w:type="dxa"/>
            </w:tcMar>
            <w:vAlign w:val="top"/>
          </w:tcPr>
          <w:p>
            <w:r>
              <w:rPr>
                <w:rFonts w:ascii="Times New Roman" w:hAnsi="Times New Roman" w:eastAsia="Times New Roman" w:cs="Times New Roman"/>
                <w:color w:val="000000"/>
                <w:sz w:val="17"/>
              </w:rPr>
              <w:t>7. Predictive modelling</w:t>
            </w:r>
          </w:p>
        </w:tc>
        <w:tc>
          <w:tcPr>
            <w:tcW w:type="dxa" w:w="4464"/>
            <w:tcMar>
              <w:top w:w="80" w:type="dxa"/>
              <w:start w:w="100" w:type="dxa"/>
              <w:bottom w:w="80" w:type="dxa"/>
              <w:end w:w="100" w:type="dxa"/>
            </w:tcMar>
            <w:vAlign w:val="top"/>
          </w:tcPr>
          <w:p>
            <w:r>
              <w:rPr>
                <w:rFonts w:ascii="Times New Roman" w:hAnsi="Times New Roman" w:eastAsia="Times New Roman" w:cs="Times New Roman"/>
                <w:color w:val="000000"/>
                <w:sz w:val="17"/>
              </w:rPr>
              <w:t>Train and compare classifiers</w:t>
            </w:r>
          </w:p>
        </w:tc>
        <w:tc>
          <w:tcPr>
            <w:tcW w:type="dxa" w:w="4032"/>
            <w:tcMar>
              <w:top w:w="80" w:type="dxa"/>
              <w:start w:w="100" w:type="dxa"/>
              <w:bottom w:w="80" w:type="dxa"/>
              <w:end w:w="100" w:type="dxa"/>
            </w:tcMar>
            <w:vAlign w:val="top"/>
          </w:tcPr>
          <w:p>
            <w:r>
              <w:rPr>
                <w:rFonts w:ascii="Times New Roman" w:hAnsi="Times New Roman" w:eastAsia="Times New Roman" w:cs="Times New Roman"/>
                <w:color w:val="000000"/>
                <w:sz w:val="17"/>
              </w:rPr>
              <w:t>Logistic Regression and Decision Tree</w:t>
            </w:r>
          </w:p>
        </w:tc>
      </w:tr>
      <w:tr>
        <w:tc>
          <w:tcPr>
            <w:tcW w:type="dxa" w:w="1728"/>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8. Evaluation</w:t>
            </w:r>
          </w:p>
        </w:tc>
        <w:tc>
          <w:tcPr>
            <w:tcW w:type="dxa" w:w="4464"/>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Measure performance and errors</w:t>
            </w:r>
          </w:p>
        </w:tc>
        <w:tc>
          <w:tcPr>
            <w:tcW w:type="dxa" w:w="4032"/>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Metrics, confusion matrices, ROC and cross-validation</w:t>
            </w:r>
          </w:p>
        </w:tc>
      </w:tr>
      <w:tr>
        <w:tc>
          <w:tcPr>
            <w:tcW w:type="dxa" w:w="1728"/>
            <w:tcMar>
              <w:top w:w="80" w:type="dxa"/>
              <w:start w:w="100" w:type="dxa"/>
              <w:bottom w:w="80" w:type="dxa"/>
              <w:end w:w="100" w:type="dxa"/>
            </w:tcMar>
            <w:vAlign w:val="top"/>
          </w:tcPr>
          <w:p>
            <w:r>
              <w:rPr>
                <w:rFonts w:ascii="Times New Roman" w:hAnsi="Times New Roman" w:eastAsia="Times New Roman" w:cs="Times New Roman"/>
                <w:color w:val="000000"/>
                <w:sz w:val="17"/>
              </w:rPr>
              <w:t>9. Strategic synthesis</w:t>
            </w:r>
          </w:p>
        </w:tc>
        <w:tc>
          <w:tcPr>
            <w:tcW w:type="dxa" w:w="4464"/>
            <w:tcMar>
              <w:top w:w="80" w:type="dxa"/>
              <w:start w:w="100" w:type="dxa"/>
              <w:bottom w:w="80" w:type="dxa"/>
              <w:end w:w="100" w:type="dxa"/>
            </w:tcMar>
            <w:vAlign w:val="top"/>
          </w:tcPr>
          <w:p>
            <w:r>
              <w:rPr>
                <w:rFonts w:ascii="Times New Roman" w:hAnsi="Times New Roman" w:eastAsia="Times New Roman" w:cs="Times New Roman"/>
                <w:color w:val="000000"/>
                <w:sz w:val="17"/>
              </w:rPr>
              <w:t>Convert evidence into actions</w:t>
            </w:r>
          </w:p>
        </w:tc>
        <w:tc>
          <w:tcPr>
            <w:tcW w:type="dxa" w:w="4032"/>
            <w:tcMar>
              <w:top w:w="80" w:type="dxa"/>
              <w:start w:w="100" w:type="dxa"/>
              <w:bottom w:w="80" w:type="dxa"/>
              <w:end w:w="100" w:type="dxa"/>
            </w:tcMar>
            <w:vAlign w:val="top"/>
          </w:tcPr>
          <w:p>
            <w:r>
              <w:rPr>
                <w:rFonts w:ascii="Times New Roman" w:hAnsi="Times New Roman" w:eastAsia="Times New Roman" w:cs="Times New Roman"/>
                <w:color w:val="000000"/>
                <w:sz w:val="17"/>
              </w:rPr>
              <w:t>Recommendations, impacts and future roadmap</w:t>
            </w:r>
          </w:p>
        </w:tc>
      </w:tr>
    </w:tbl>
    <w:p>
      <w:pPr>
        <w:spacing w:after="40"/>
      </w:pP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3. Week 1 – Data Acquisition, Cleaning and Exploratory Analysis</w:t>
      </w:r>
    </w:p>
    <w:p>
      <w:pPr>
        <w:spacing w:after="120" w:line="269" w:lineRule="auto"/>
      </w:pPr>
      <w:r>
        <w:rPr>
          <w:rFonts w:ascii="Times New Roman" w:hAnsi="Times New Roman" w:eastAsia="Times New Roman" w:cs="Times New Roman"/>
          <w:i w:val="0"/>
          <w:color w:val="000000"/>
        </w:rPr>
        <w:t>Week 1 established the foundation for reliable analysis. The Online Retail II workbook contained two year-based sheets, which were combined into one table so that the overall transaction pattern could be studied consistently. The report records 1,067,371 raw rows and eight principal columns.</w:t>
      </w:r>
    </w:p>
    <w:p>
      <w:pPr>
        <w:pStyle w:val="Heading2"/>
      </w:pPr>
      <w:r>
        <w:rPr>
          <w:rFonts w:ascii="Times New Roman" w:hAnsi="Times New Roman" w:eastAsia="Times New Roman" w:cs="Times New Roman"/>
          <w:color w:val="000000"/>
        </w:rPr>
        <w:t>3.1 Data Quality Assessment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D9E2F3"/>
            <w:tcMar>
              <w:top w:w="80" w:type="dxa"/>
              <w:start w:w="100" w:type="dxa"/>
              <w:bottom w:w="80" w:type="dxa"/>
              <w:end w:w="100" w:type="dxa"/>
            </w:tcMar>
            <w:vAlign w:val="center"/>
          </w:tcPr>
          <w:p>
            <w:r>
              <w:rPr>
                <w:rFonts w:ascii="Times New Roman" w:hAnsi="Times New Roman" w:eastAsia="Times New Roman" w:cs="Times New Roman"/>
                <w:b/>
                <w:color w:val="000000"/>
                <w:sz w:val="17"/>
              </w:rPr>
              <w:t>Quality check</w:t>
            </w:r>
          </w:p>
        </w:tc>
        <w:tc>
          <w:tcPr>
            <w:tcW w:type="dxa" w:w="2304"/>
            <w:shd w:fill="D9E2F3"/>
            <w:tcMar>
              <w:top w:w="80" w:type="dxa"/>
              <w:start w:w="100" w:type="dxa"/>
              <w:bottom w:w="80" w:type="dxa"/>
              <w:end w:w="100" w:type="dxa"/>
            </w:tcMar>
            <w:vAlign w:val="center"/>
          </w:tcPr>
          <w:p>
            <w:r>
              <w:rPr>
                <w:rFonts w:ascii="Times New Roman" w:hAnsi="Times New Roman" w:eastAsia="Times New Roman" w:cs="Times New Roman"/>
                <w:b/>
                <w:color w:val="000000"/>
                <w:sz w:val="17"/>
              </w:rPr>
              <w:t>Observed result</w:t>
            </w:r>
          </w:p>
        </w:tc>
        <w:tc>
          <w:tcPr>
            <w:tcW w:type="dxa" w:w="5616"/>
            <w:shd w:fill="D9E2F3"/>
            <w:tcMar>
              <w:top w:w="80" w:type="dxa"/>
              <w:start w:w="100" w:type="dxa"/>
              <w:bottom w:w="80" w:type="dxa"/>
              <w:end w:w="100" w:type="dxa"/>
            </w:tcMar>
            <w:vAlign w:val="center"/>
          </w:tcPr>
          <w:p>
            <w:r>
              <w:rPr>
                <w:rFonts w:ascii="Times New Roman" w:hAnsi="Times New Roman" w:eastAsia="Times New Roman" w:cs="Times New Roman"/>
                <w:b/>
                <w:color w:val="000000"/>
                <w:sz w:val="17"/>
              </w:rPr>
              <w:t>Analytical response</w:t>
            </w:r>
          </w:p>
        </w:tc>
      </w:tr>
      <w:tr>
        <w:tc>
          <w:tcPr>
            <w:tcW w:type="dxa" w:w="2304"/>
            <w:tcMar>
              <w:top w:w="80" w:type="dxa"/>
              <w:start w:w="100" w:type="dxa"/>
              <w:bottom w:w="80" w:type="dxa"/>
              <w:end w:w="100" w:type="dxa"/>
            </w:tcMar>
            <w:vAlign w:val="top"/>
          </w:tcPr>
          <w:p>
            <w:r>
              <w:rPr>
                <w:rFonts w:ascii="Times New Roman" w:hAnsi="Times New Roman" w:eastAsia="Times New Roman" w:cs="Times New Roman"/>
                <w:color w:val="000000"/>
                <w:sz w:val="17"/>
              </w:rPr>
              <w:t>Raw rows</w:t>
            </w:r>
          </w:p>
        </w:tc>
        <w:tc>
          <w:tcPr>
            <w:tcW w:type="dxa" w:w="2304"/>
            <w:tcMar>
              <w:top w:w="80" w:type="dxa"/>
              <w:start w:w="100" w:type="dxa"/>
              <w:bottom w:w="80" w:type="dxa"/>
              <w:end w:w="100" w:type="dxa"/>
            </w:tcMar>
            <w:vAlign w:val="top"/>
          </w:tcPr>
          <w:p>
            <w:r>
              <w:rPr>
                <w:rFonts w:ascii="Times New Roman" w:hAnsi="Times New Roman" w:eastAsia="Times New Roman" w:cs="Times New Roman"/>
                <w:color w:val="000000"/>
                <w:sz w:val="17"/>
              </w:rPr>
              <w:t>1,067,371</w:t>
            </w:r>
          </w:p>
        </w:tc>
        <w:tc>
          <w:tcPr>
            <w:tcW w:type="dxa" w:w="5616"/>
            <w:tcMar>
              <w:top w:w="80" w:type="dxa"/>
              <w:start w:w="100" w:type="dxa"/>
              <w:bottom w:w="80" w:type="dxa"/>
              <w:end w:w="100" w:type="dxa"/>
            </w:tcMar>
            <w:vAlign w:val="top"/>
          </w:tcPr>
          <w:p>
            <w:r>
              <w:rPr>
                <w:rFonts w:ascii="Times New Roman" w:hAnsi="Times New Roman" w:eastAsia="Times New Roman" w:cs="Times New Roman"/>
                <w:color w:val="000000"/>
                <w:sz w:val="17"/>
              </w:rPr>
              <w:t>Combined both yearly sheets before analysis</w:t>
            </w:r>
          </w:p>
        </w:tc>
      </w:tr>
      <w:tr>
        <w:tc>
          <w:tcPr>
            <w:tcW w:type="dxa" w:w="2304"/>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Duplicate rows</w:t>
            </w:r>
          </w:p>
        </w:tc>
        <w:tc>
          <w:tcPr>
            <w:tcW w:type="dxa" w:w="2304"/>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34,335</w:t>
            </w:r>
          </w:p>
        </w:tc>
        <w:tc>
          <w:tcPr>
            <w:tcW w:type="dxa" w:w="5616"/>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Removed duplicate rows before final transaction-level metrics</w:t>
            </w:r>
          </w:p>
        </w:tc>
      </w:tr>
      <w:tr>
        <w:tc>
          <w:tcPr>
            <w:tcW w:type="dxa" w:w="2304"/>
            <w:tcMar>
              <w:top w:w="80" w:type="dxa"/>
              <w:start w:w="100" w:type="dxa"/>
              <w:bottom w:w="80" w:type="dxa"/>
              <w:end w:w="100" w:type="dxa"/>
            </w:tcMar>
            <w:vAlign w:val="top"/>
          </w:tcPr>
          <w:p>
            <w:r>
              <w:rPr>
                <w:rFonts w:ascii="Times New Roman" w:hAnsi="Times New Roman" w:eastAsia="Times New Roman" w:cs="Times New Roman"/>
                <w:color w:val="000000"/>
                <w:sz w:val="17"/>
              </w:rPr>
              <w:t>Missing Customer ID</w:t>
            </w:r>
          </w:p>
        </w:tc>
        <w:tc>
          <w:tcPr>
            <w:tcW w:type="dxa" w:w="2304"/>
            <w:tcMar>
              <w:top w:w="80" w:type="dxa"/>
              <w:start w:w="100" w:type="dxa"/>
              <w:bottom w:w="80" w:type="dxa"/>
              <w:end w:w="100" w:type="dxa"/>
            </w:tcMar>
            <w:vAlign w:val="top"/>
          </w:tcPr>
          <w:p>
            <w:r>
              <w:rPr>
                <w:rFonts w:ascii="Times New Roman" w:hAnsi="Times New Roman" w:eastAsia="Times New Roman" w:cs="Times New Roman"/>
                <w:color w:val="000000"/>
                <w:sz w:val="17"/>
              </w:rPr>
              <w:t>243,007 (22.77%)</w:t>
            </w:r>
          </w:p>
        </w:tc>
        <w:tc>
          <w:tcPr>
            <w:tcW w:type="dxa" w:w="5616"/>
            <w:tcMar>
              <w:top w:w="80" w:type="dxa"/>
              <w:start w:w="100" w:type="dxa"/>
              <w:bottom w:w="80" w:type="dxa"/>
              <w:end w:w="100" w:type="dxa"/>
            </w:tcMar>
            <w:vAlign w:val="top"/>
          </w:tcPr>
          <w:p>
            <w:r>
              <w:rPr>
                <w:rFonts w:ascii="Times New Roman" w:hAnsi="Times New Roman" w:eastAsia="Times New Roman" w:cs="Times New Roman"/>
                <w:color w:val="000000"/>
                <w:sz w:val="17"/>
              </w:rPr>
              <w:t>Retained for transaction-level analysis; excluded where customer-level metrics required an ID</w:t>
            </w:r>
          </w:p>
        </w:tc>
      </w:tr>
      <w:tr>
        <w:tc>
          <w:tcPr>
            <w:tcW w:type="dxa" w:w="2304"/>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Missing Description</w:t>
            </w:r>
          </w:p>
        </w:tc>
        <w:tc>
          <w:tcPr>
            <w:tcW w:type="dxa" w:w="2304"/>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4,382 (0.41%)</w:t>
            </w:r>
          </w:p>
        </w:tc>
        <w:tc>
          <w:tcPr>
            <w:tcW w:type="dxa" w:w="5616"/>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Replaced with a neutral 'Unknown product description' label</w:t>
            </w:r>
          </w:p>
        </w:tc>
      </w:tr>
      <w:tr>
        <w:tc>
          <w:tcPr>
            <w:tcW w:type="dxa" w:w="2304"/>
            <w:tcMar>
              <w:top w:w="80" w:type="dxa"/>
              <w:start w:w="100" w:type="dxa"/>
              <w:bottom w:w="80" w:type="dxa"/>
              <w:end w:w="100" w:type="dxa"/>
            </w:tcMar>
            <w:vAlign w:val="top"/>
          </w:tcPr>
          <w:p>
            <w:r>
              <w:rPr>
                <w:rFonts w:ascii="Times New Roman" w:hAnsi="Times New Roman" w:eastAsia="Times New Roman" w:cs="Times New Roman"/>
                <w:color w:val="000000"/>
                <w:sz w:val="17"/>
              </w:rPr>
              <w:t>Negative quantities</w:t>
            </w:r>
          </w:p>
        </w:tc>
        <w:tc>
          <w:tcPr>
            <w:tcW w:type="dxa" w:w="2304"/>
            <w:tcMar>
              <w:top w:w="80" w:type="dxa"/>
              <w:start w:w="100" w:type="dxa"/>
              <w:bottom w:w="80" w:type="dxa"/>
              <w:end w:w="100" w:type="dxa"/>
            </w:tcMar>
            <w:vAlign w:val="top"/>
          </w:tcPr>
          <w:p>
            <w:r>
              <w:rPr>
                <w:rFonts w:ascii="Times New Roman" w:hAnsi="Times New Roman" w:eastAsia="Times New Roman" w:cs="Times New Roman"/>
                <w:color w:val="000000"/>
                <w:sz w:val="17"/>
              </w:rPr>
              <w:t>22,950</w:t>
            </w:r>
          </w:p>
        </w:tc>
        <w:tc>
          <w:tcPr>
            <w:tcW w:type="dxa" w:w="5616"/>
            <w:tcMar>
              <w:top w:w="80" w:type="dxa"/>
              <w:start w:w="100" w:type="dxa"/>
              <w:bottom w:w="80" w:type="dxa"/>
              <w:end w:w="100" w:type="dxa"/>
            </w:tcMar>
            <w:vAlign w:val="top"/>
          </w:tcPr>
          <w:p>
            <w:r>
              <w:rPr>
                <w:rFonts w:ascii="Times New Roman" w:hAnsi="Times New Roman" w:eastAsia="Times New Roman" w:cs="Times New Roman"/>
                <w:color w:val="000000"/>
                <w:sz w:val="17"/>
              </w:rPr>
              <w:t>Interpreted as returns/cancellations; excluded from positive-sales trend analysis</w:t>
            </w:r>
          </w:p>
        </w:tc>
      </w:tr>
      <w:tr>
        <w:tc>
          <w:tcPr>
            <w:tcW w:type="dxa" w:w="2304"/>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Cancellation invoices</w:t>
            </w:r>
          </w:p>
        </w:tc>
        <w:tc>
          <w:tcPr>
            <w:tcW w:type="dxa" w:w="2304"/>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19,494</w:t>
            </w:r>
          </w:p>
        </w:tc>
        <w:tc>
          <w:tcPr>
            <w:tcW w:type="dxa" w:w="5616"/>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Retained in cancellation analysis rather than deleting them</w:t>
            </w:r>
          </w:p>
        </w:tc>
      </w:tr>
      <w:tr>
        <w:tc>
          <w:tcPr>
            <w:tcW w:type="dxa" w:w="2304"/>
            <w:tcMar>
              <w:top w:w="80" w:type="dxa"/>
              <w:start w:w="100" w:type="dxa"/>
              <w:bottom w:w="80" w:type="dxa"/>
              <w:end w:w="100" w:type="dxa"/>
            </w:tcMar>
            <w:vAlign w:val="top"/>
          </w:tcPr>
          <w:p>
            <w:r>
              <w:rPr>
                <w:rFonts w:ascii="Times New Roman" w:hAnsi="Times New Roman" w:eastAsia="Times New Roman" w:cs="Times New Roman"/>
                <w:color w:val="000000"/>
                <w:sz w:val="17"/>
              </w:rPr>
              <w:t>Negative prices</w:t>
            </w:r>
          </w:p>
        </w:tc>
        <w:tc>
          <w:tcPr>
            <w:tcW w:type="dxa" w:w="2304"/>
            <w:tcMar>
              <w:top w:w="80" w:type="dxa"/>
              <w:start w:w="100" w:type="dxa"/>
              <w:bottom w:w="80" w:type="dxa"/>
              <w:end w:w="100" w:type="dxa"/>
            </w:tcMar>
            <w:vAlign w:val="top"/>
          </w:tcPr>
          <w:p>
            <w:r>
              <w:rPr>
                <w:rFonts w:ascii="Times New Roman" w:hAnsi="Times New Roman" w:eastAsia="Times New Roman" w:cs="Times New Roman"/>
                <w:color w:val="000000"/>
                <w:sz w:val="17"/>
              </w:rPr>
              <w:t>5</w:t>
            </w:r>
          </w:p>
        </w:tc>
        <w:tc>
          <w:tcPr>
            <w:tcW w:type="dxa" w:w="5616"/>
            <w:tcMar>
              <w:top w:w="80" w:type="dxa"/>
              <w:start w:w="100" w:type="dxa"/>
              <w:bottom w:w="80" w:type="dxa"/>
              <w:end w:w="100" w:type="dxa"/>
            </w:tcMar>
            <w:vAlign w:val="top"/>
          </w:tcPr>
          <w:p>
            <w:r>
              <w:rPr>
                <w:rFonts w:ascii="Times New Roman" w:hAnsi="Times New Roman" w:eastAsia="Times New Roman" w:cs="Times New Roman"/>
                <w:color w:val="000000"/>
                <w:sz w:val="17"/>
              </w:rPr>
              <w:t>Excluded from positive-sales revenue analysis</w:t>
            </w:r>
          </w:p>
        </w:tc>
      </w:tr>
    </w:tbl>
    <w:p>
      <w:pPr>
        <w:spacing w:after="40"/>
      </w:pPr>
    </w:p>
    <w:p>
      <w:pPr>
        <w:spacing w:after="120" w:line="269" w:lineRule="auto"/>
      </w:pPr>
      <w:r>
        <w:rPr>
          <w:rFonts w:ascii="Times New Roman" w:hAnsi="Times New Roman" w:eastAsia="Times New Roman" w:cs="Times New Roman"/>
          <w:i w:val="0"/>
          <w:color w:val="000000"/>
        </w:rPr>
        <w:t>The cleaning decisions were deliberately different for different variables. Customer IDs were not treated like ordinary missing values because a missing identifier prevents customer-level aggregation but does not automatically make the transaction useless. Likewise, cancellation and negative-quantity records were retained for analyses where their meaning was relevant. This distinction between 'invalid for one analysis' and 'invalid for all analyses' is an important data-science practice.</w:t>
      </w:r>
    </w:p>
    <w:p>
      <w:pPr>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77840" cy="3098800"/>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577840" cy="3098800"/>
                    </a:xfrm>
                    <a:prstGeom prst="rect"/>
                  </pic:spPr>
                </pic:pic>
              </a:graphicData>
            </a:graphic>
          </wp:inline>
        </w:drawing>
      </w:r>
    </w:p>
    <w:p>
      <w:pPr>
        <w:spacing w:after="120"/>
        <w:jc w:val="center"/>
      </w:pPr>
      <w:r>
        <w:rPr>
          <w:rFonts w:ascii="Times New Roman" w:hAnsi="Times New Roman" w:eastAsia="Times New Roman" w:cs="Times New Roman"/>
          <w:b/>
          <w:i/>
          <w:color w:val="000000"/>
          <w:sz w:val="18"/>
        </w:rPr>
        <w:t>Figure 1. Missing-value profile from the Week 1 analysis.</w:t>
      </w:r>
    </w:p>
    <w:p>
      <w:pPr>
        <w:pStyle w:val="Heading2"/>
      </w:pPr>
      <w:r>
        <w:rPr>
          <w:rFonts w:ascii="Times New Roman" w:hAnsi="Times New Roman" w:eastAsia="Times New Roman" w:cs="Times New Roman"/>
          <w:color w:val="000000"/>
        </w:rPr>
        <w:t>3.2 Derived Business Measure and EDA</w:t>
      </w:r>
    </w:p>
    <w:p>
      <w:pPr>
        <w:spacing w:after="120" w:line="269" w:lineRule="auto"/>
      </w:pPr>
      <w:r>
        <w:rPr>
          <w:rFonts w:ascii="Times New Roman" w:hAnsi="Times New Roman" w:eastAsia="Times New Roman" w:cs="Times New Roman"/>
          <w:i w:val="0"/>
          <w:color w:val="000000"/>
        </w:rPr>
        <w:t>A Revenue variable was created as Quantity × Price. For the main sales analysis, transactions with positive Quantity and positive Price were retained. This produced 1,041,671 positive-sales lines and approximately £20.97 million in positive-sales revenue. The analysis covered 43 countries, 4,917 stock codes and 40,078 unique invoices.</w:t>
      </w:r>
    </w:p>
    <w:p>
      <w:pPr>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77840" cy="3098800"/>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577840" cy="3098800"/>
                    </a:xfrm>
                    <a:prstGeom prst="rect"/>
                  </pic:spPr>
                </pic:pic>
              </a:graphicData>
            </a:graphic>
          </wp:inline>
        </w:drawing>
      </w:r>
    </w:p>
    <w:p>
      <w:pPr>
        <w:spacing w:after="120"/>
        <w:jc w:val="center"/>
      </w:pPr>
      <w:r>
        <w:rPr>
          <w:rFonts w:ascii="Times New Roman" w:hAnsi="Times New Roman" w:eastAsia="Times New Roman" w:cs="Times New Roman"/>
          <w:b/>
          <w:i/>
          <w:color w:val="000000"/>
          <w:sz w:val="18"/>
        </w:rPr>
        <w:t>Figure 2. Monthly revenue trend from the Week 1 exploratory analysis.</w:t>
      </w:r>
    </w:p>
    <w:p>
      <w:pPr>
        <w:spacing w:after="120" w:line="269" w:lineRule="auto"/>
      </w:pPr>
      <w:r>
        <w:rPr>
          <w:rFonts w:ascii="Times New Roman" w:hAnsi="Times New Roman" w:eastAsia="Times New Roman" w:cs="Times New Roman"/>
          <w:i w:val="0"/>
          <w:color w:val="000000"/>
        </w:rPr>
        <w:t>The monthly pattern shows meaningful variation over time. November 2011 reached approximately £1.51 million, while February 2011 was the lowest positive-sales month at approximately £0.52 million. The pattern demonstrates why a single overall revenue figure is insufficient for operational planning.</w:t>
      </w:r>
    </w:p>
    <w:p>
      <w:pPr>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77840" cy="3098800"/>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577840" cy="3098800"/>
                    </a:xfrm>
                    <a:prstGeom prst="rect"/>
                  </pic:spPr>
                </pic:pic>
              </a:graphicData>
            </a:graphic>
          </wp:inline>
        </w:drawing>
      </w:r>
    </w:p>
    <w:p>
      <w:pPr>
        <w:spacing w:after="120"/>
        <w:jc w:val="center"/>
      </w:pPr>
      <w:r>
        <w:rPr>
          <w:rFonts w:ascii="Times New Roman" w:hAnsi="Times New Roman" w:eastAsia="Times New Roman" w:cs="Times New Roman"/>
          <w:b/>
          <w:i/>
          <w:color w:val="000000"/>
          <w:sz w:val="18"/>
        </w:rPr>
        <w:t>Figure 3. Top countries by positive-sales revenue.</w:t>
      </w:r>
    </w:p>
    <w:p>
      <w:pPr>
        <w:spacing w:after="120" w:line="269" w:lineRule="auto"/>
      </w:pPr>
      <w:r>
        <w:rPr>
          <w:rFonts w:ascii="Times New Roman" w:hAnsi="Times New Roman" w:eastAsia="Times New Roman" w:cs="Times New Roman"/>
          <w:i w:val="0"/>
          <w:color w:val="000000"/>
        </w:rPr>
        <w:t>The country analysis shows a very strong concentration in the United Kingdom. This observation becomes especially important in Week 3, where country-based statistical tests are used to determine whether observed differences are supported by statistical evidence.</w:t>
      </w:r>
    </w:p>
    <w:p>
      <w:pPr>
        <w:pStyle w:val="Heading2"/>
      </w:pPr>
      <w:r>
        <w:rPr>
          <w:rFonts w:ascii="Times New Roman" w:hAnsi="Times New Roman" w:eastAsia="Times New Roman" w:cs="Times New Roman"/>
          <w:color w:val="000000"/>
        </w:rPr>
        <w:t>3.3 Week 1 Key Learning</w:t>
      </w:r>
    </w:p>
    <w:p>
      <w:pPr>
        <w:pStyle w:val="ListBullet"/>
        <w:spacing w:after="60"/>
      </w:pPr>
      <w:r>
        <w:rPr>
          <w:rFonts w:ascii="Times New Roman" w:hAnsi="Times New Roman" w:eastAsia="Times New Roman" w:cs="Times New Roman"/>
          <w:color w:val="000000"/>
        </w:rPr>
        <w:t>Data cleaning should be driven by the analytical purpose of the field, not by a single blanket rule.</w:t>
      </w:r>
    </w:p>
    <w:p>
      <w:pPr>
        <w:pStyle w:val="ListBullet"/>
        <w:spacing w:after="60"/>
      </w:pPr>
      <w:r>
        <w:rPr>
          <w:rFonts w:ascii="Times New Roman" w:hAnsi="Times New Roman" w:eastAsia="Times New Roman" w:cs="Times New Roman"/>
          <w:color w:val="000000"/>
        </w:rPr>
        <w:t>Transaction-level data often contains returns, cancellations and extreme values that need to be interpreted rather than blindly deleted.</w:t>
      </w:r>
    </w:p>
    <w:p>
      <w:pPr>
        <w:pStyle w:val="ListBullet"/>
        <w:spacing w:after="60"/>
      </w:pPr>
      <w:r>
        <w:rPr>
          <w:rFonts w:ascii="Times New Roman" w:hAnsi="Times New Roman" w:eastAsia="Times New Roman" w:cs="Times New Roman"/>
          <w:color w:val="000000"/>
        </w:rPr>
        <w:t>Derived business measures such as Revenue make raw operational fields easier to aggregate and interpret.</w:t>
      </w:r>
    </w:p>
    <w:p>
      <w:pPr>
        <w:pStyle w:val="ListBullet"/>
        <w:spacing w:after="60"/>
      </w:pPr>
      <w:r>
        <w:rPr>
          <w:rFonts w:ascii="Times New Roman" w:hAnsi="Times New Roman" w:eastAsia="Times New Roman" w:cs="Times New Roman"/>
          <w:color w:val="000000"/>
        </w:rPr>
        <w:t>EDA provides hypotheses and questions for later statistical analysis; it does not by itself establish causation.</w:t>
      </w: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4. Week 2 – Advanced Data Visualization and Storytelling</w:t>
      </w:r>
    </w:p>
    <w:p>
      <w:pPr>
        <w:spacing w:after="120" w:line="269" w:lineRule="auto"/>
      </w:pPr>
      <w:r>
        <w:rPr>
          <w:rFonts w:ascii="Times New Roman" w:hAnsi="Times New Roman" w:eastAsia="Times New Roman" w:cs="Times New Roman"/>
          <w:i w:val="0"/>
          <w:color w:val="000000"/>
        </w:rPr>
        <w:t>Week 2 extended the retail analysis from basic EDA into a coherent visual narrative. Six visualizations were developed with Matplotlib and Seaborn. The report organised them as a connected story: when revenue changes, where it comes from, which products drive it, when customers are active, how customer value differs, and whether extreme transaction values influence the overall picture.</w:t>
      </w:r>
    </w:p>
    <w:p>
      <w:pPr>
        <w:pStyle w:val="Heading2"/>
      </w:pPr>
      <w:r>
        <w:rPr>
          <w:rFonts w:ascii="Times New Roman" w:hAnsi="Times New Roman" w:eastAsia="Times New Roman" w:cs="Times New Roman"/>
          <w:color w:val="000000"/>
        </w:rPr>
        <w:t>4.1 Core Findings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shd w:fill="D9E2F3"/>
            <w:tcMar>
              <w:top w:w="80" w:type="dxa"/>
              <w:start w:w="100" w:type="dxa"/>
              <w:bottom w:w="80" w:type="dxa"/>
              <w:end w:w="100" w:type="dxa"/>
            </w:tcMar>
            <w:vAlign w:val="center"/>
          </w:tcPr>
          <w:p>
            <w:r>
              <w:rPr>
                <w:rFonts w:ascii="Times New Roman" w:hAnsi="Times New Roman" w:eastAsia="Times New Roman" w:cs="Times New Roman"/>
                <w:b/>
                <w:color w:val="000000"/>
                <w:sz w:val="17"/>
              </w:rPr>
              <w:t>Indicator</w:t>
            </w:r>
          </w:p>
        </w:tc>
        <w:tc>
          <w:tcPr>
            <w:tcW w:type="dxa" w:w="2880"/>
            <w:shd w:fill="D9E2F3"/>
            <w:tcMar>
              <w:top w:w="80" w:type="dxa"/>
              <w:start w:w="100" w:type="dxa"/>
              <w:bottom w:w="80" w:type="dxa"/>
              <w:end w:w="100" w:type="dxa"/>
            </w:tcMar>
            <w:vAlign w:val="center"/>
          </w:tcPr>
          <w:p>
            <w:r>
              <w:rPr>
                <w:rFonts w:ascii="Times New Roman" w:hAnsi="Times New Roman" w:eastAsia="Times New Roman" w:cs="Times New Roman"/>
                <w:b/>
                <w:color w:val="000000"/>
                <w:sz w:val="17"/>
              </w:rPr>
              <w:t>Actual result</w:t>
            </w:r>
          </w:p>
        </w:tc>
        <w:tc>
          <w:tcPr>
            <w:tcW w:type="dxa" w:w="4464"/>
            <w:shd w:fill="D9E2F3"/>
            <w:tcMar>
              <w:top w:w="80" w:type="dxa"/>
              <w:start w:w="100" w:type="dxa"/>
              <w:bottom w:w="80" w:type="dxa"/>
              <w:end w:w="100" w:type="dxa"/>
            </w:tcMar>
            <w:vAlign w:val="center"/>
          </w:tcPr>
          <w:p>
            <w:r>
              <w:rPr>
                <w:rFonts w:ascii="Times New Roman" w:hAnsi="Times New Roman" w:eastAsia="Times New Roman" w:cs="Times New Roman"/>
                <w:b/>
                <w:color w:val="000000"/>
                <w:sz w:val="17"/>
              </w:rPr>
              <w:t>Interpretation</w:t>
            </w:r>
          </w:p>
        </w:tc>
      </w:tr>
      <w:tr>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7"/>
              </w:rPr>
              <w:t>Positive-sales revenue</w:t>
            </w:r>
          </w:p>
        </w:tc>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7"/>
              </w:rPr>
              <w:t>£20,972,968.14</w:t>
            </w:r>
          </w:p>
        </w:tc>
        <w:tc>
          <w:tcPr>
            <w:tcW w:type="dxa" w:w="4464"/>
            <w:tcMar>
              <w:top w:w="80" w:type="dxa"/>
              <w:start w:w="100" w:type="dxa"/>
              <w:bottom w:w="80" w:type="dxa"/>
              <w:end w:w="100" w:type="dxa"/>
            </w:tcMar>
            <w:vAlign w:val="top"/>
          </w:tcPr>
          <w:p>
            <w:r>
              <w:rPr>
                <w:rFonts w:ascii="Times New Roman" w:hAnsi="Times New Roman" w:eastAsia="Times New Roman" w:cs="Times New Roman"/>
                <w:color w:val="000000"/>
                <w:sz w:val="17"/>
              </w:rPr>
              <w:t>Large transaction base for business analysis</w:t>
            </w:r>
          </w:p>
        </w:tc>
      </w:tr>
      <w:tr>
        <w:tc>
          <w:tcPr>
            <w:tcW w:type="dxa" w:w="2880"/>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Highest revenue month</w:t>
            </w:r>
          </w:p>
        </w:tc>
        <w:tc>
          <w:tcPr>
            <w:tcW w:type="dxa" w:w="2880"/>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November 2011 — £1,509,496.33</w:t>
            </w:r>
          </w:p>
        </w:tc>
        <w:tc>
          <w:tcPr>
            <w:tcW w:type="dxa" w:w="4464"/>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Important peak period for planning</w:t>
            </w:r>
          </w:p>
        </w:tc>
      </w:tr>
      <w:tr>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7"/>
              </w:rPr>
              <w:t>Lowest revenue month</w:t>
            </w:r>
          </w:p>
        </w:tc>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7"/>
              </w:rPr>
              <w:t>February 2011 — £523,631.89</w:t>
            </w:r>
          </w:p>
        </w:tc>
        <w:tc>
          <w:tcPr>
            <w:tcW w:type="dxa" w:w="4464"/>
            <w:tcMar>
              <w:top w:w="80" w:type="dxa"/>
              <w:start w:w="100" w:type="dxa"/>
              <w:bottom w:w="80" w:type="dxa"/>
              <w:end w:w="100" w:type="dxa"/>
            </w:tcMar>
            <w:vAlign w:val="top"/>
          </w:tcPr>
          <w:p>
            <w:r>
              <w:rPr>
                <w:rFonts w:ascii="Times New Roman" w:hAnsi="Times New Roman" w:eastAsia="Times New Roman" w:cs="Times New Roman"/>
                <w:color w:val="000000"/>
                <w:sz w:val="17"/>
              </w:rPr>
              <w:t>Substantial month-to-month variation</w:t>
            </w:r>
          </w:p>
        </w:tc>
      </w:tr>
      <w:tr>
        <w:tc>
          <w:tcPr>
            <w:tcW w:type="dxa" w:w="2880"/>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Top country</w:t>
            </w:r>
          </w:p>
        </w:tc>
        <w:tc>
          <w:tcPr>
            <w:tcW w:type="dxa" w:w="2880"/>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United Kingdom — ~£17.87 million</w:t>
            </w:r>
          </w:p>
        </w:tc>
        <w:tc>
          <w:tcPr>
            <w:tcW w:type="dxa" w:w="4464"/>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Very strong geographic concentration</w:t>
            </w:r>
          </w:p>
        </w:tc>
      </w:tr>
      <w:tr>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7"/>
              </w:rPr>
              <w:t>Top product</w:t>
            </w:r>
          </w:p>
        </w:tc>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7"/>
              </w:rPr>
              <w:t>REGENCY CAKESTAND 3 TIER — £344,563.25</w:t>
            </w:r>
          </w:p>
        </w:tc>
        <w:tc>
          <w:tcPr>
            <w:tcW w:type="dxa" w:w="4464"/>
            <w:tcMar>
              <w:top w:w="80" w:type="dxa"/>
              <w:start w:w="100" w:type="dxa"/>
              <w:bottom w:w="80" w:type="dxa"/>
              <w:end w:w="100" w:type="dxa"/>
            </w:tcMar>
            <w:vAlign w:val="top"/>
          </w:tcPr>
          <w:p>
            <w:r>
              <w:rPr>
                <w:rFonts w:ascii="Times New Roman" w:hAnsi="Times New Roman" w:eastAsia="Times New Roman" w:cs="Times New Roman"/>
                <w:color w:val="000000"/>
                <w:sz w:val="17"/>
              </w:rPr>
              <w:t>Small group of products drives notable revenue</w:t>
            </w:r>
          </w:p>
        </w:tc>
      </w:tr>
      <w:tr>
        <w:tc>
          <w:tcPr>
            <w:tcW w:type="dxa" w:w="2880"/>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RFM customers</w:t>
            </w:r>
          </w:p>
        </w:tc>
        <w:tc>
          <w:tcPr>
            <w:tcW w:type="dxa" w:w="2880"/>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5,878</w:t>
            </w:r>
          </w:p>
        </w:tc>
        <w:tc>
          <w:tcPr>
            <w:tcW w:type="dxa" w:w="4464"/>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Customer-level segmentation is feasible where IDs exist</w:t>
            </w:r>
          </w:p>
        </w:tc>
      </w:tr>
      <w:tr>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7"/>
              </w:rPr>
              <w:t>Median transaction revenue</w:t>
            </w:r>
          </w:p>
        </w:tc>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7"/>
              </w:rPr>
              <w:t>£9.96</w:t>
            </w:r>
          </w:p>
        </w:tc>
        <w:tc>
          <w:tcPr>
            <w:tcW w:type="dxa" w:w="4464"/>
            <w:tcMar>
              <w:top w:w="80" w:type="dxa"/>
              <w:start w:w="100" w:type="dxa"/>
              <w:bottom w:w="80" w:type="dxa"/>
              <w:end w:w="100" w:type="dxa"/>
            </w:tcMar>
            <w:vAlign w:val="top"/>
          </w:tcPr>
          <w:p>
            <w:r>
              <w:rPr>
                <w:rFonts w:ascii="Times New Roman" w:hAnsi="Times New Roman" w:eastAsia="Times New Roman" w:cs="Times New Roman"/>
                <w:color w:val="000000"/>
                <w:sz w:val="17"/>
              </w:rPr>
              <w:t>Typical transaction is far below extreme values</w:t>
            </w:r>
          </w:p>
        </w:tc>
      </w:tr>
      <w:tr>
        <w:tc>
          <w:tcPr>
            <w:tcW w:type="dxa" w:w="2880"/>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Maximum transaction revenue</w:t>
            </w:r>
          </w:p>
        </w:tc>
        <w:tc>
          <w:tcPr>
            <w:tcW w:type="dxa" w:w="2880"/>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£168,469.60</w:t>
            </w:r>
          </w:p>
        </w:tc>
        <w:tc>
          <w:tcPr>
            <w:tcW w:type="dxa" w:w="4464"/>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Extreme transactions materially widen the distribution</w:t>
            </w:r>
          </w:p>
        </w:tc>
      </w:tr>
    </w:tbl>
    <w:p>
      <w:pPr>
        <w:spacing w:after="40"/>
      </w:pPr>
    </w:p>
    <w:p>
      <w:pPr>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77840" cy="2370984"/>
            <wp:docPr id="4" name="Picture 4"/>
            <wp:cNvGraphicFramePr>
              <a:graphicFrameLocks noChangeAspect="1"/>
            </wp:cNvGraphicFramePr>
            <a:graphic>
              <a:graphicData uri="http://schemas.openxmlformats.org/drawingml/2006/picture">
                <pic:pic>
                  <pic:nvPicPr>
                    <pic:cNvPr id="0" name="image1.png"/>
                    <pic:cNvPicPr/>
                  </pic:nvPicPr>
                  <pic:blipFill>
                    <a:blip r:embed="rId14"/>
                    <a:stretch>
                      <a:fillRect/>
                    </a:stretch>
                  </pic:blipFill>
                  <pic:spPr>
                    <a:xfrm>
                      <a:off x="0" y="0"/>
                      <a:ext cx="5577840" cy="2370984"/>
                    </a:xfrm>
                    <a:prstGeom prst="rect"/>
                  </pic:spPr>
                </pic:pic>
              </a:graphicData>
            </a:graphic>
          </wp:inline>
        </w:drawing>
      </w:r>
    </w:p>
    <w:p>
      <w:pPr>
        <w:spacing w:after="120"/>
        <w:jc w:val="center"/>
      </w:pPr>
      <w:r>
        <w:rPr>
          <w:rFonts w:ascii="Times New Roman" w:hAnsi="Times New Roman" w:eastAsia="Times New Roman" w:cs="Times New Roman"/>
          <w:b/>
          <w:i/>
          <w:color w:val="000000"/>
          <w:sz w:val="18"/>
        </w:rPr>
        <w:t>Figure 4. Monthly revenue trend used to identify peaks and lower-performing periods.</w:t>
      </w:r>
    </w:p>
    <w:p>
      <w:pPr>
        <w:spacing w:after="120" w:line="269" w:lineRule="auto"/>
      </w:pPr>
      <w:r>
        <w:rPr>
          <w:rFonts w:ascii="Times New Roman" w:hAnsi="Times New Roman" w:eastAsia="Times New Roman" w:cs="Times New Roman"/>
          <w:i w:val="0"/>
          <w:color w:val="000000"/>
        </w:rPr>
        <w:t>The line chart is effective because time is continuous and the main question is change. The November peak and February trough can be used as starting points for investigating seasonality, promotional effects, inventory availability or operational factors. The chart itself does not establish which factor caused the movement.</w:t>
      </w:r>
    </w:p>
    <w:p>
      <w:pPr>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77840" cy="2765484"/>
            <wp:docPr id="5" name="Picture 5"/>
            <wp:cNvGraphicFramePr>
              <a:graphicFrameLocks noChangeAspect="1"/>
            </wp:cNvGraphicFramePr>
            <a:graphic>
              <a:graphicData uri="http://schemas.openxmlformats.org/drawingml/2006/picture">
                <pic:pic>
                  <pic:nvPicPr>
                    <pic:cNvPr id="0" name="image2.png"/>
                    <pic:cNvPicPr/>
                  </pic:nvPicPr>
                  <pic:blipFill>
                    <a:blip r:embed="rId15"/>
                    <a:stretch>
                      <a:fillRect/>
                    </a:stretch>
                  </pic:blipFill>
                  <pic:spPr>
                    <a:xfrm>
                      <a:off x="0" y="0"/>
                      <a:ext cx="5577840" cy="2765484"/>
                    </a:xfrm>
                    <a:prstGeom prst="rect"/>
                  </pic:spPr>
                </pic:pic>
              </a:graphicData>
            </a:graphic>
          </wp:inline>
        </w:drawing>
      </w:r>
    </w:p>
    <w:p>
      <w:pPr>
        <w:spacing w:after="120"/>
        <w:jc w:val="center"/>
      </w:pPr>
      <w:r>
        <w:rPr>
          <w:rFonts w:ascii="Times New Roman" w:hAnsi="Times New Roman" w:eastAsia="Times New Roman" w:cs="Times New Roman"/>
          <w:b/>
          <w:i/>
          <w:color w:val="000000"/>
          <w:sz w:val="18"/>
        </w:rPr>
        <w:t>Figure 5. Top 10 countries by positive-sales revenue.</w:t>
      </w:r>
    </w:p>
    <w:p>
      <w:pPr>
        <w:spacing w:after="120" w:line="269" w:lineRule="auto"/>
      </w:pPr>
      <w:r>
        <w:rPr>
          <w:rFonts w:ascii="Times New Roman" w:hAnsi="Times New Roman" w:eastAsia="Times New Roman" w:cs="Times New Roman"/>
          <w:i w:val="0"/>
          <w:color w:val="000000"/>
        </w:rPr>
        <w:t>The country chart makes concentration immediately visible. The United Kingdom contributes approximately £17.87 million, substantially more than the other leading countries. This supports a differentiated regional strategy rather than assuming all markets behave similarly.</w:t>
      </w:r>
    </w:p>
    <w:p>
      <w:pPr>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77840" cy="2569029"/>
            <wp:docPr id="6" name="Picture 6"/>
            <wp:cNvGraphicFramePr>
              <a:graphicFrameLocks noChangeAspect="1"/>
            </wp:cNvGraphicFramePr>
            <a:graphic>
              <a:graphicData uri="http://schemas.openxmlformats.org/drawingml/2006/picture">
                <pic:pic>
                  <pic:nvPicPr>
                    <pic:cNvPr id="0" name="image4.png"/>
                    <pic:cNvPicPr/>
                  </pic:nvPicPr>
                  <pic:blipFill>
                    <a:blip r:embed="rId16"/>
                    <a:stretch>
                      <a:fillRect/>
                    </a:stretch>
                  </pic:blipFill>
                  <pic:spPr>
                    <a:xfrm>
                      <a:off x="0" y="0"/>
                      <a:ext cx="5577840" cy="2569029"/>
                    </a:xfrm>
                    <a:prstGeom prst="rect"/>
                  </pic:spPr>
                </pic:pic>
              </a:graphicData>
            </a:graphic>
          </wp:inline>
        </w:drawing>
      </w:r>
    </w:p>
    <w:p>
      <w:pPr>
        <w:spacing w:after="120"/>
        <w:jc w:val="center"/>
      </w:pPr>
      <w:r>
        <w:rPr>
          <w:rFonts w:ascii="Times New Roman" w:hAnsi="Times New Roman" w:eastAsia="Times New Roman" w:cs="Times New Roman"/>
          <w:b/>
          <w:i/>
          <w:color w:val="000000"/>
          <w:sz w:val="18"/>
        </w:rPr>
        <w:t>Figure 6. Customer activity by day and hour.</w:t>
      </w:r>
    </w:p>
    <w:p>
      <w:pPr>
        <w:spacing w:after="120" w:line="269" w:lineRule="auto"/>
      </w:pPr>
      <w:r>
        <w:rPr>
          <w:rFonts w:ascii="Times New Roman" w:hAnsi="Times New Roman" w:eastAsia="Times New Roman" w:cs="Times New Roman"/>
          <w:i w:val="0"/>
          <w:color w:val="000000"/>
        </w:rPr>
        <w:t>The heatmap shows that transaction activity is concentrated mainly during daytime hours, with stronger activity around the middle of the day. Such a pattern can inform customer-service coverage, staffing and the timing of promotional activity.</w:t>
      </w:r>
    </w:p>
    <w:p>
      <w:pPr>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77840" cy="3324167"/>
            <wp:docPr id="7" name="Picture 7"/>
            <wp:cNvGraphicFramePr>
              <a:graphicFrameLocks noChangeAspect="1"/>
            </wp:cNvGraphicFramePr>
            <a:graphic>
              <a:graphicData uri="http://schemas.openxmlformats.org/drawingml/2006/picture">
                <pic:pic>
                  <pic:nvPicPr>
                    <pic:cNvPr id="0" name="image5.png"/>
                    <pic:cNvPicPr/>
                  </pic:nvPicPr>
                  <pic:blipFill>
                    <a:blip r:embed="rId17"/>
                    <a:stretch>
                      <a:fillRect/>
                    </a:stretch>
                  </pic:blipFill>
                  <pic:spPr>
                    <a:xfrm>
                      <a:off x="0" y="0"/>
                      <a:ext cx="5577840" cy="3324167"/>
                    </a:xfrm>
                    <a:prstGeom prst="rect"/>
                  </pic:spPr>
                </pic:pic>
              </a:graphicData>
            </a:graphic>
          </wp:inline>
        </w:drawing>
      </w:r>
    </w:p>
    <w:p>
      <w:pPr>
        <w:spacing w:after="120"/>
        <w:jc w:val="center"/>
      </w:pPr>
      <w:r>
        <w:rPr>
          <w:rFonts w:ascii="Times New Roman" w:hAnsi="Times New Roman" w:eastAsia="Times New Roman" w:cs="Times New Roman"/>
          <w:b/>
          <w:i/>
          <w:color w:val="000000"/>
          <w:sz w:val="18"/>
        </w:rPr>
        <w:t>Figure 7. Customer purchase frequency versus monetary value.</w:t>
      </w:r>
    </w:p>
    <w:p>
      <w:pPr>
        <w:spacing w:after="120" w:line="269" w:lineRule="auto"/>
      </w:pPr>
      <w:r>
        <w:rPr>
          <w:rFonts w:ascii="Times New Roman" w:hAnsi="Times New Roman" w:eastAsia="Times New Roman" w:cs="Times New Roman"/>
          <w:i w:val="0"/>
          <w:color w:val="000000"/>
        </w:rPr>
        <w:t>The scatter plot shows that most customers occupy the lower-frequency and lower-spending region, while a smaller group displays much higher frequency or monetary value. This unequal distribution supports targeted retention and engagement strategies for high-value customer groups.</w:t>
      </w:r>
    </w:p>
    <w:p>
      <w:pPr>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77840" cy="2765484"/>
            <wp:docPr id="8" name="Picture 8"/>
            <wp:cNvGraphicFramePr>
              <a:graphicFrameLocks noChangeAspect="1"/>
            </wp:cNvGraphicFramePr>
            <a:graphic>
              <a:graphicData uri="http://schemas.openxmlformats.org/drawingml/2006/picture">
                <pic:pic>
                  <pic:nvPicPr>
                    <pic:cNvPr id="0" name="image6.png"/>
                    <pic:cNvPicPr/>
                  </pic:nvPicPr>
                  <pic:blipFill>
                    <a:blip r:embed="rId18"/>
                    <a:stretch>
                      <a:fillRect/>
                    </a:stretch>
                  </pic:blipFill>
                  <pic:spPr>
                    <a:xfrm>
                      <a:off x="0" y="0"/>
                      <a:ext cx="5577840" cy="2765484"/>
                    </a:xfrm>
                    <a:prstGeom prst="rect"/>
                  </pic:spPr>
                </pic:pic>
              </a:graphicData>
            </a:graphic>
          </wp:inline>
        </w:drawing>
      </w:r>
    </w:p>
    <w:p>
      <w:pPr>
        <w:spacing w:after="120"/>
        <w:jc w:val="center"/>
      </w:pPr>
      <w:r>
        <w:rPr>
          <w:rFonts w:ascii="Times New Roman" w:hAnsi="Times New Roman" w:eastAsia="Times New Roman" w:cs="Times New Roman"/>
          <w:b/>
          <w:i/>
          <w:color w:val="000000"/>
          <w:sz w:val="18"/>
        </w:rPr>
        <w:t>Figure 8. Transaction revenue distribution on a logarithmic scale.</w:t>
      </w:r>
    </w:p>
    <w:p>
      <w:pPr>
        <w:spacing w:after="120" w:line="269" w:lineRule="auto"/>
      </w:pPr>
      <w:r>
        <w:rPr>
          <w:rFonts w:ascii="Times New Roman" w:hAnsi="Times New Roman" w:eastAsia="Times New Roman" w:cs="Times New Roman"/>
          <w:i w:val="0"/>
          <w:color w:val="000000"/>
        </w:rPr>
        <w:t>The median transaction revenue is approximately £9.96, while the maximum reaches £168,469.60. The large gap demonstrates why the analysis uses log scales where appropriate and why mean-based summaries should be interpreted carefully in highly skewed transaction data.</w:t>
      </w: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5. Week 3 – Statistical Analysis and Hypothesis Testing</w:t>
      </w:r>
    </w:p>
    <w:p>
      <w:pPr>
        <w:spacing w:after="120" w:line="269" w:lineRule="auto"/>
      </w:pPr>
      <w:r>
        <w:rPr>
          <w:rFonts w:ascii="Times New Roman" w:hAnsi="Times New Roman" w:eastAsia="Times New Roman" w:cs="Times New Roman"/>
          <w:i w:val="0"/>
          <w:color w:val="000000"/>
        </w:rPr>
        <w:t>Week 3 moved from descriptive evidence to formal statistical validation. Three tests were chosen to answer three different business questions: Welch's independent t-test for two groups, one-way ANOVA for several country groups, and Chi-Square for the relationship between country and cancellation status. A significance level of α = 0.05 was used throughout.</w:t>
      </w:r>
    </w:p>
    <w:p>
      <w:pPr>
        <w:pStyle w:val="Heading2"/>
      </w:pPr>
      <w:r>
        <w:rPr>
          <w:rFonts w:ascii="Times New Roman" w:hAnsi="Times New Roman" w:eastAsia="Times New Roman" w:cs="Times New Roman"/>
          <w:color w:val="000000"/>
        </w:rPr>
        <w:t>5.1 Hypotheses and Test Results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2880"/>
            <w:shd w:fill="D9E2F3"/>
            <w:tcMar>
              <w:top w:w="80" w:type="dxa"/>
              <w:start w:w="100" w:type="dxa"/>
              <w:bottom w:w="80" w:type="dxa"/>
              <w:end w:w="100" w:type="dxa"/>
            </w:tcMar>
            <w:vAlign w:val="center"/>
          </w:tcPr>
          <w:p>
            <w:r>
              <w:rPr>
                <w:rFonts w:ascii="Times New Roman" w:hAnsi="Times New Roman" w:eastAsia="Times New Roman" w:cs="Times New Roman"/>
                <w:b/>
                <w:color w:val="000000"/>
                <w:sz w:val="16"/>
              </w:rPr>
              <w:t>Question</w:t>
            </w:r>
          </w:p>
        </w:tc>
        <w:tc>
          <w:tcPr>
            <w:tcW w:type="dxa" w:w="1440"/>
            <w:shd w:fill="D9E2F3"/>
            <w:tcMar>
              <w:top w:w="80" w:type="dxa"/>
              <w:start w:w="100" w:type="dxa"/>
              <w:bottom w:w="80" w:type="dxa"/>
              <w:end w:w="100" w:type="dxa"/>
            </w:tcMar>
            <w:vAlign w:val="center"/>
          </w:tcPr>
          <w:p>
            <w:r>
              <w:rPr>
                <w:rFonts w:ascii="Times New Roman" w:hAnsi="Times New Roman" w:eastAsia="Times New Roman" w:cs="Times New Roman"/>
                <w:b/>
                <w:color w:val="000000"/>
                <w:sz w:val="16"/>
              </w:rPr>
              <w:t>Test</w:t>
            </w:r>
          </w:p>
        </w:tc>
        <w:tc>
          <w:tcPr>
            <w:tcW w:type="dxa" w:w="1584"/>
            <w:shd w:fill="D9E2F3"/>
            <w:tcMar>
              <w:top w:w="80" w:type="dxa"/>
              <w:start w:w="100" w:type="dxa"/>
              <w:bottom w:w="80" w:type="dxa"/>
              <w:end w:w="100" w:type="dxa"/>
            </w:tcMar>
            <w:vAlign w:val="center"/>
          </w:tcPr>
          <w:p>
            <w:r>
              <w:rPr>
                <w:rFonts w:ascii="Times New Roman" w:hAnsi="Times New Roman" w:eastAsia="Times New Roman" w:cs="Times New Roman"/>
                <w:b/>
                <w:color w:val="000000"/>
                <w:sz w:val="16"/>
              </w:rPr>
              <w:t>Statistic</w:t>
            </w:r>
          </w:p>
        </w:tc>
        <w:tc>
          <w:tcPr>
            <w:tcW w:type="dxa" w:w="1584"/>
            <w:shd w:fill="D9E2F3"/>
            <w:tcMar>
              <w:top w:w="80" w:type="dxa"/>
              <w:start w:w="100" w:type="dxa"/>
              <w:bottom w:w="80" w:type="dxa"/>
              <w:end w:w="100" w:type="dxa"/>
            </w:tcMar>
            <w:vAlign w:val="center"/>
          </w:tcPr>
          <w:p>
            <w:r>
              <w:rPr>
                <w:rFonts w:ascii="Times New Roman" w:hAnsi="Times New Roman" w:eastAsia="Times New Roman" w:cs="Times New Roman"/>
                <w:b/>
                <w:color w:val="000000"/>
                <w:sz w:val="16"/>
              </w:rPr>
              <w:t>p-value</w:t>
            </w:r>
          </w:p>
        </w:tc>
        <w:tc>
          <w:tcPr>
            <w:tcW w:type="dxa" w:w="1440"/>
            <w:shd w:fill="D9E2F3"/>
            <w:tcMar>
              <w:top w:w="80" w:type="dxa"/>
              <w:start w:w="100" w:type="dxa"/>
              <w:bottom w:w="80" w:type="dxa"/>
              <w:end w:w="100" w:type="dxa"/>
            </w:tcMar>
            <w:vAlign w:val="center"/>
          </w:tcPr>
          <w:p>
            <w:r>
              <w:rPr>
                <w:rFonts w:ascii="Times New Roman" w:hAnsi="Times New Roman" w:eastAsia="Times New Roman" w:cs="Times New Roman"/>
                <w:b/>
                <w:color w:val="000000"/>
                <w:sz w:val="16"/>
              </w:rPr>
              <w:t>Decision</w:t>
            </w:r>
          </w:p>
        </w:tc>
        <w:tc>
          <w:tcPr>
            <w:tcW w:type="dxa" w:w="2592"/>
            <w:shd w:fill="D9E2F3"/>
            <w:tcMar>
              <w:top w:w="80" w:type="dxa"/>
              <w:start w:w="100" w:type="dxa"/>
              <w:bottom w:w="80" w:type="dxa"/>
              <w:end w:w="100" w:type="dxa"/>
            </w:tcMar>
            <w:vAlign w:val="center"/>
          </w:tcPr>
          <w:p>
            <w:r>
              <w:rPr>
                <w:rFonts w:ascii="Times New Roman" w:hAnsi="Times New Roman" w:eastAsia="Times New Roman" w:cs="Times New Roman"/>
                <w:b/>
                <w:color w:val="000000"/>
                <w:sz w:val="16"/>
              </w:rPr>
              <w:t>Meaning</w:t>
            </w:r>
          </w:p>
        </w:tc>
      </w:tr>
      <w:tr>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6"/>
              </w:rPr>
              <w:t>UK vs Non-UK mean transaction revenue</w:t>
            </w:r>
          </w:p>
        </w:tc>
        <w:tc>
          <w:tcPr>
            <w:tcW w:type="dxa" w:w="1440"/>
            <w:tcMar>
              <w:top w:w="80" w:type="dxa"/>
              <w:start w:w="100" w:type="dxa"/>
              <w:bottom w:w="80" w:type="dxa"/>
              <w:end w:w="100" w:type="dxa"/>
            </w:tcMar>
            <w:vAlign w:val="top"/>
          </w:tcPr>
          <w:p>
            <w:r>
              <w:rPr>
                <w:rFonts w:ascii="Times New Roman" w:hAnsi="Times New Roman" w:eastAsia="Times New Roman" w:cs="Times New Roman"/>
                <w:color w:val="000000"/>
                <w:sz w:val="16"/>
              </w:rPr>
              <w:t>Welch t-test</w:t>
            </w:r>
          </w:p>
        </w:tc>
        <w:tc>
          <w:tcPr>
            <w:tcW w:type="dxa" w:w="1584"/>
            <w:tcMar>
              <w:top w:w="80" w:type="dxa"/>
              <w:start w:w="100" w:type="dxa"/>
              <w:bottom w:w="80" w:type="dxa"/>
              <w:end w:w="100" w:type="dxa"/>
            </w:tcMar>
            <w:vAlign w:val="top"/>
          </w:tcPr>
          <w:p>
            <w:r>
              <w:rPr>
                <w:rFonts w:ascii="Times New Roman" w:hAnsi="Times New Roman" w:eastAsia="Times New Roman" w:cs="Times New Roman"/>
                <w:color w:val="000000"/>
                <w:sz w:val="16"/>
              </w:rPr>
              <w:t>t = -47.4265</w:t>
            </w:r>
          </w:p>
        </w:tc>
        <w:tc>
          <w:tcPr>
            <w:tcW w:type="dxa" w:w="1584"/>
            <w:tcMar>
              <w:top w:w="80" w:type="dxa"/>
              <w:start w:w="100" w:type="dxa"/>
              <w:bottom w:w="80" w:type="dxa"/>
              <w:end w:w="100" w:type="dxa"/>
            </w:tcMar>
            <w:vAlign w:val="top"/>
          </w:tcPr>
          <w:p>
            <w:r>
              <w:rPr>
                <w:rFonts w:ascii="Times New Roman" w:hAnsi="Times New Roman" w:eastAsia="Times New Roman" w:cs="Times New Roman"/>
                <w:color w:val="000000"/>
                <w:sz w:val="16"/>
              </w:rPr>
              <w:t>0.0</w:t>
            </w:r>
          </w:p>
        </w:tc>
        <w:tc>
          <w:tcPr>
            <w:tcW w:type="dxa" w:w="1440"/>
            <w:tcMar>
              <w:top w:w="80" w:type="dxa"/>
              <w:start w:w="100" w:type="dxa"/>
              <w:bottom w:w="80" w:type="dxa"/>
              <w:end w:w="100" w:type="dxa"/>
            </w:tcMar>
            <w:vAlign w:val="top"/>
          </w:tcPr>
          <w:p>
            <w:r>
              <w:rPr>
                <w:rFonts w:ascii="Times New Roman" w:hAnsi="Times New Roman" w:eastAsia="Times New Roman" w:cs="Times New Roman"/>
                <w:color w:val="000000"/>
                <w:sz w:val="16"/>
              </w:rPr>
              <w:t>Reject H₀</w:t>
            </w:r>
          </w:p>
        </w:tc>
        <w:tc>
          <w:tcPr>
            <w:tcW w:type="dxa" w:w="2592"/>
            <w:tcMar>
              <w:top w:w="80" w:type="dxa"/>
              <w:start w:w="100" w:type="dxa"/>
              <w:bottom w:w="80" w:type="dxa"/>
              <w:end w:w="100" w:type="dxa"/>
            </w:tcMar>
            <w:vAlign w:val="top"/>
          </w:tcPr>
          <w:p>
            <w:r>
              <w:rPr>
                <w:rFonts w:ascii="Times New Roman" w:hAnsi="Times New Roman" w:eastAsia="Times New Roman" w:cs="Times New Roman"/>
                <w:color w:val="000000"/>
                <w:sz w:val="16"/>
              </w:rPr>
              <w:t>Mean revenue differs statistically</w:t>
            </w:r>
          </w:p>
        </w:tc>
      </w:tr>
      <w:tr>
        <w:tc>
          <w:tcPr>
            <w:tcW w:type="dxa" w:w="2880"/>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Five selected country means</w:t>
            </w:r>
          </w:p>
        </w:tc>
        <w:tc>
          <w:tcPr>
            <w:tcW w:type="dxa" w:w="1440"/>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One-way ANOVA</w:t>
            </w:r>
          </w:p>
        </w:tc>
        <w:tc>
          <w:tcPr>
            <w:tcW w:type="dxa" w:w="1584"/>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F = 9855.8207</w:t>
            </w:r>
          </w:p>
        </w:tc>
        <w:tc>
          <w:tcPr>
            <w:tcW w:type="dxa" w:w="1584"/>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0.0</w:t>
            </w:r>
          </w:p>
        </w:tc>
        <w:tc>
          <w:tcPr>
            <w:tcW w:type="dxa" w:w="1440"/>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Reject H₀</w:t>
            </w:r>
          </w:p>
        </w:tc>
        <w:tc>
          <w:tcPr>
            <w:tcW w:type="dxa" w:w="2592"/>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At least one country mean differs</w:t>
            </w:r>
          </w:p>
        </w:tc>
      </w:tr>
      <w:tr>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6"/>
              </w:rPr>
              <w:t>Country vs cancellation status</w:t>
            </w:r>
          </w:p>
        </w:tc>
        <w:tc>
          <w:tcPr>
            <w:tcW w:type="dxa" w:w="1440"/>
            <w:tcMar>
              <w:top w:w="80" w:type="dxa"/>
              <w:start w:w="100" w:type="dxa"/>
              <w:bottom w:w="80" w:type="dxa"/>
              <w:end w:w="100" w:type="dxa"/>
            </w:tcMar>
            <w:vAlign w:val="top"/>
          </w:tcPr>
          <w:p>
            <w:r>
              <w:rPr>
                <w:rFonts w:ascii="Times New Roman" w:hAnsi="Times New Roman" w:eastAsia="Times New Roman" w:cs="Times New Roman"/>
                <w:color w:val="000000"/>
                <w:sz w:val="16"/>
              </w:rPr>
              <w:t>Chi-Square</w:t>
            </w:r>
          </w:p>
        </w:tc>
        <w:tc>
          <w:tcPr>
            <w:tcW w:type="dxa" w:w="1584"/>
            <w:tcMar>
              <w:top w:w="80" w:type="dxa"/>
              <w:start w:w="100" w:type="dxa"/>
              <w:bottom w:w="80" w:type="dxa"/>
              <w:end w:w="100" w:type="dxa"/>
            </w:tcMar>
            <w:vAlign w:val="top"/>
          </w:tcPr>
          <w:p>
            <w:r>
              <w:rPr>
                <w:rFonts w:ascii="Times New Roman" w:hAnsi="Times New Roman" w:eastAsia="Times New Roman" w:cs="Times New Roman"/>
                <w:color w:val="000000"/>
                <w:sz w:val="16"/>
              </w:rPr>
              <w:t>χ² = 1444.0929</w:t>
            </w:r>
          </w:p>
        </w:tc>
        <w:tc>
          <w:tcPr>
            <w:tcW w:type="dxa" w:w="1584"/>
            <w:tcMar>
              <w:top w:w="80" w:type="dxa"/>
              <w:start w:w="100" w:type="dxa"/>
              <w:bottom w:w="80" w:type="dxa"/>
              <w:end w:w="100" w:type="dxa"/>
            </w:tcMar>
            <w:vAlign w:val="top"/>
          </w:tcPr>
          <w:p>
            <w:r>
              <w:rPr>
                <w:rFonts w:ascii="Times New Roman" w:hAnsi="Times New Roman" w:eastAsia="Times New Roman" w:cs="Times New Roman"/>
                <w:color w:val="000000"/>
                <w:sz w:val="16"/>
              </w:rPr>
              <w:t>1.8983e-311</w:t>
            </w:r>
          </w:p>
        </w:tc>
        <w:tc>
          <w:tcPr>
            <w:tcW w:type="dxa" w:w="1440"/>
            <w:tcMar>
              <w:top w:w="80" w:type="dxa"/>
              <w:start w:w="100" w:type="dxa"/>
              <w:bottom w:w="80" w:type="dxa"/>
              <w:end w:w="100" w:type="dxa"/>
            </w:tcMar>
            <w:vAlign w:val="top"/>
          </w:tcPr>
          <w:p>
            <w:r>
              <w:rPr>
                <w:rFonts w:ascii="Times New Roman" w:hAnsi="Times New Roman" w:eastAsia="Times New Roman" w:cs="Times New Roman"/>
                <w:color w:val="000000"/>
                <w:sz w:val="16"/>
              </w:rPr>
              <w:t>Reject H₀</w:t>
            </w:r>
          </w:p>
        </w:tc>
        <w:tc>
          <w:tcPr>
            <w:tcW w:type="dxa" w:w="2592"/>
            <w:tcMar>
              <w:top w:w="80" w:type="dxa"/>
              <w:start w:w="100" w:type="dxa"/>
              <w:bottom w:w="80" w:type="dxa"/>
              <w:end w:w="100" w:type="dxa"/>
            </w:tcMar>
            <w:vAlign w:val="top"/>
          </w:tcPr>
          <w:p>
            <w:r>
              <w:rPr>
                <w:rFonts w:ascii="Times New Roman" w:hAnsi="Times New Roman" w:eastAsia="Times New Roman" w:cs="Times New Roman"/>
                <w:color w:val="000000"/>
                <w:sz w:val="16"/>
              </w:rPr>
              <w:t>Country and cancellation status are associated</w:t>
            </w:r>
          </w:p>
        </w:tc>
      </w:tr>
    </w:tbl>
    <w:p>
      <w:pPr>
        <w:spacing w:after="40"/>
      </w:pPr>
    </w:p>
    <w:p>
      <w:pPr>
        <w:pStyle w:val="Heading2"/>
      </w:pPr>
      <w:r>
        <w:rPr>
          <w:rFonts w:ascii="Times New Roman" w:hAnsi="Times New Roman" w:eastAsia="Times New Roman" w:cs="Times New Roman"/>
          <w:color w:val="000000"/>
        </w:rPr>
        <w:t>5.2 Test 1 – UK versus Non-UK Revenue</w:t>
      </w:r>
    </w:p>
    <w:p>
      <w:pPr>
        <w:spacing w:after="120" w:line="269" w:lineRule="auto"/>
      </w:pPr>
      <w:r>
        <w:rPr>
          <w:rFonts w:ascii="Times New Roman" w:hAnsi="Times New Roman" w:eastAsia="Times New Roman" w:cs="Times New Roman"/>
          <w:i w:val="0"/>
          <w:color w:val="000000"/>
        </w:rPr>
        <w:t>The Welch t-test produced t = -47.4265 with the p-value reported as 0.0 by Python. The 95% confidence interval for the UK-minus-Non-UK mean difference was approximately -19.4185 to -17.8772, entirely below zero. This supports the conclusion that the two groups have different mean transaction revenue in the analysed sample.</w:t>
      </w:r>
    </w:p>
    <w:p>
      <w:pPr>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77840" cy="3553676"/>
            <wp:docPr id="9" name="Picture 9"/>
            <wp:cNvGraphicFramePr>
              <a:graphicFrameLocks noChangeAspect="1"/>
            </wp:cNvGraphicFramePr>
            <a:graphic>
              <a:graphicData uri="http://schemas.openxmlformats.org/drawingml/2006/picture">
                <pic:pic>
                  <pic:nvPicPr>
                    <pic:cNvPr id="0" name="image1.png"/>
                    <pic:cNvPicPr/>
                  </pic:nvPicPr>
                  <pic:blipFill>
                    <a:blip r:embed="rId19"/>
                    <a:stretch>
                      <a:fillRect/>
                    </a:stretch>
                  </pic:blipFill>
                  <pic:spPr>
                    <a:xfrm>
                      <a:off x="0" y="0"/>
                      <a:ext cx="5577840" cy="3553676"/>
                    </a:xfrm>
                    <a:prstGeom prst="rect"/>
                  </pic:spPr>
                </pic:pic>
              </a:graphicData>
            </a:graphic>
          </wp:inline>
        </w:drawing>
      </w:r>
    </w:p>
    <w:p>
      <w:pPr>
        <w:spacing w:after="120"/>
        <w:jc w:val="center"/>
      </w:pPr>
      <w:r>
        <w:rPr>
          <w:rFonts w:ascii="Times New Roman" w:hAnsi="Times New Roman" w:eastAsia="Times New Roman" w:cs="Times New Roman"/>
          <w:b/>
          <w:i/>
          <w:color w:val="000000"/>
          <w:sz w:val="18"/>
        </w:rPr>
        <w:t>Figure 9. UK versus Non-UK transaction revenue distribution using a log scale.</w:t>
      </w:r>
    </w:p>
    <w:p>
      <w:pPr>
        <w:pStyle w:val="Heading2"/>
      </w:pPr>
      <w:r>
        <w:rPr>
          <w:rFonts w:ascii="Times New Roman" w:hAnsi="Times New Roman" w:eastAsia="Times New Roman" w:cs="Times New Roman"/>
          <w:color w:val="000000"/>
        </w:rPr>
        <w:t>5.3 Test 2 – Country Differences</w:t>
      </w:r>
    </w:p>
    <w:p>
      <w:pPr>
        <w:spacing w:after="120" w:line="269" w:lineRule="auto"/>
      </w:pPr>
      <w:r>
        <w:rPr>
          <w:rFonts w:ascii="Times New Roman" w:hAnsi="Times New Roman" w:eastAsia="Times New Roman" w:cs="Times New Roman"/>
          <w:i w:val="0"/>
          <w:color w:val="000000"/>
        </w:rPr>
        <w:t>The one-way ANOVA compared the United Kingdom, EIRE, Netherlands, Germany and France using log(1 + Revenue) to reduce the influence of extreme values. The F-statistic was 9855.8207 with a p-value reported as 0.0. The correct interpretation is that the selected country means are not all equal; ANOVA alone does not identify which individual pairs differ. A post-hoc analysis would be required for that more detailed question.</w:t>
      </w:r>
    </w:p>
    <w:p>
      <w:pPr>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77840" cy="3324167"/>
            <wp:docPr id="10" name="Picture 10"/>
            <wp:cNvGraphicFramePr>
              <a:graphicFrameLocks noChangeAspect="1"/>
            </wp:cNvGraphicFramePr>
            <a:graphic>
              <a:graphicData uri="http://schemas.openxmlformats.org/drawingml/2006/picture">
                <pic:pic>
                  <pic:nvPicPr>
                    <pic:cNvPr id="0" name="image3.png"/>
                    <pic:cNvPicPr/>
                  </pic:nvPicPr>
                  <pic:blipFill>
                    <a:blip r:embed="rId20"/>
                    <a:stretch>
                      <a:fillRect/>
                    </a:stretch>
                  </pic:blipFill>
                  <pic:spPr>
                    <a:xfrm>
                      <a:off x="0" y="0"/>
                      <a:ext cx="5577840" cy="3324167"/>
                    </a:xfrm>
                    <a:prstGeom prst="rect"/>
                  </pic:spPr>
                </pic:pic>
              </a:graphicData>
            </a:graphic>
          </wp:inline>
        </w:drawing>
      </w:r>
    </w:p>
    <w:p>
      <w:pPr>
        <w:spacing w:after="120"/>
        <w:jc w:val="center"/>
      </w:pPr>
      <w:r>
        <w:rPr>
          <w:rFonts w:ascii="Times New Roman" w:hAnsi="Times New Roman" w:eastAsia="Times New Roman" w:cs="Times New Roman"/>
          <w:b/>
          <w:i/>
          <w:color w:val="000000"/>
          <w:sz w:val="18"/>
        </w:rPr>
        <w:t>Figure 10. Average log-transformed transaction revenue by selected country.</w:t>
      </w:r>
    </w:p>
    <w:p>
      <w:pPr>
        <w:pStyle w:val="Heading2"/>
      </w:pPr>
      <w:r>
        <w:rPr>
          <w:rFonts w:ascii="Times New Roman" w:hAnsi="Times New Roman" w:eastAsia="Times New Roman" w:cs="Times New Roman"/>
          <w:color w:val="000000"/>
        </w:rPr>
        <w:t>5.4 Test 3 – Country and Cancellation</w:t>
      </w:r>
    </w:p>
    <w:p>
      <w:pPr>
        <w:spacing w:after="120" w:line="269" w:lineRule="auto"/>
      </w:pPr>
      <w:r>
        <w:rPr>
          <w:rFonts w:ascii="Times New Roman" w:hAnsi="Times New Roman" w:eastAsia="Times New Roman" w:cs="Times New Roman"/>
          <w:i w:val="0"/>
          <w:color w:val="000000"/>
        </w:rPr>
        <w:t>The Chi-Square test produced χ² = 1444.0929 and p ≈ 1.8983 × 10⁻³¹¹. The null hypothesis of independence was rejected. The result provides strong statistical evidence of an association between country and cancellation status in the selected data. Importantly, this is an association, not evidence that country causes cancellations.</w:t>
      </w:r>
    </w:p>
    <w:p>
      <w:pPr>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77840" cy="3449608"/>
            <wp:docPr id="11" name="Picture 11"/>
            <wp:cNvGraphicFramePr>
              <a:graphicFrameLocks noChangeAspect="1"/>
            </wp:cNvGraphicFramePr>
            <a:graphic>
              <a:graphicData uri="http://schemas.openxmlformats.org/drawingml/2006/picture">
                <pic:pic>
                  <pic:nvPicPr>
                    <pic:cNvPr id="0" name="image4.png"/>
                    <pic:cNvPicPr/>
                  </pic:nvPicPr>
                  <pic:blipFill>
                    <a:blip r:embed="rId21"/>
                    <a:stretch>
                      <a:fillRect/>
                    </a:stretch>
                  </pic:blipFill>
                  <pic:spPr>
                    <a:xfrm>
                      <a:off x="0" y="0"/>
                      <a:ext cx="5577840" cy="3449608"/>
                    </a:xfrm>
                    <a:prstGeom prst="rect"/>
                  </pic:spPr>
                </pic:pic>
              </a:graphicData>
            </a:graphic>
          </wp:inline>
        </w:drawing>
      </w:r>
    </w:p>
    <w:p>
      <w:pPr>
        <w:spacing w:after="120"/>
        <w:jc w:val="center"/>
      </w:pPr>
      <w:r>
        <w:rPr>
          <w:rFonts w:ascii="Times New Roman" w:hAnsi="Times New Roman" w:eastAsia="Times New Roman" w:cs="Times New Roman"/>
          <w:b/>
          <w:i/>
          <w:color w:val="000000"/>
          <w:sz w:val="18"/>
        </w:rPr>
        <w:t>Figure 11. Cancellation status by country.</w:t>
      </w:r>
    </w:p>
    <w:p>
      <w:pPr>
        <w:pStyle w:val="Heading2"/>
      </w:pPr>
      <w:r>
        <w:rPr>
          <w:rFonts w:ascii="Times New Roman" w:hAnsi="Times New Roman" w:eastAsia="Times New Roman" w:cs="Times New Roman"/>
          <w:color w:val="000000"/>
        </w:rPr>
        <w:t>5.5 Statistical Interpretation and Limitations</w:t>
      </w:r>
    </w:p>
    <w:p>
      <w:pPr>
        <w:pStyle w:val="ListBullet"/>
        <w:spacing w:after="60"/>
      </w:pPr>
      <w:r>
        <w:rPr>
          <w:rFonts w:ascii="Times New Roman" w:hAnsi="Times New Roman" w:eastAsia="Times New Roman" w:cs="Times New Roman"/>
          <w:color w:val="000000"/>
        </w:rPr>
        <w:t>The very large dataset means even small differences can produce extremely small p-values; statistical significance should therefore be considered alongside practical importance.</w:t>
      </w:r>
    </w:p>
    <w:p>
      <w:pPr>
        <w:pStyle w:val="ListBullet"/>
        <w:spacing w:after="60"/>
      </w:pPr>
      <w:r>
        <w:rPr>
          <w:rFonts w:ascii="Times New Roman" w:hAnsi="Times New Roman" w:eastAsia="Times New Roman" w:cs="Times New Roman"/>
          <w:color w:val="000000"/>
        </w:rPr>
        <w:t>The ANOVA identifies that at least one group differs but requires post-hoc testing to identify the exact country pairs.</w:t>
      </w:r>
    </w:p>
    <w:p>
      <w:pPr>
        <w:pStyle w:val="ListBullet"/>
        <w:spacing w:after="60"/>
      </w:pPr>
      <w:r>
        <w:rPr>
          <w:rFonts w:ascii="Times New Roman" w:hAnsi="Times New Roman" w:eastAsia="Times New Roman" w:cs="Times New Roman"/>
          <w:color w:val="000000"/>
        </w:rPr>
        <w:t>The Chi-Square result establishes association, not causation.</w:t>
      </w:r>
    </w:p>
    <w:p>
      <w:pPr>
        <w:pStyle w:val="ListBullet"/>
        <w:spacing w:after="60"/>
      </w:pPr>
      <w:r>
        <w:rPr>
          <w:rFonts w:ascii="Times New Roman" w:hAnsi="Times New Roman" w:eastAsia="Times New Roman" w:cs="Times New Roman"/>
          <w:color w:val="000000"/>
        </w:rPr>
        <w:t>The conclusions are specific to the analysed dataset and should not automatically be generalised to every online retail business.</w:t>
      </w:r>
    </w:p>
    <w:p>
      <w:pPr>
        <w:pStyle w:val="ListBullet"/>
        <w:spacing w:after="60"/>
      </w:pPr>
      <w:r>
        <w:rPr>
          <w:rFonts w:ascii="Times New Roman" w:hAnsi="Times New Roman" w:eastAsia="Times New Roman" w:cs="Times New Roman"/>
          <w:color w:val="000000"/>
        </w:rPr>
        <w:t>The strong right-skew in transaction revenue justifies the use of a log transformation for the ANOVA analysis.</w:t>
      </w: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6. Week 4 – Machine Learning Model Development and Evaluation</w:t>
      </w:r>
    </w:p>
    <w:p>
      <w:pPr>
        <w:spacing w:after="120" w:line="269" w:lineRule="auto"/>
      </w:pPr>
      <w:r>
        <w:rPr>
          <w:rFonts w:ascii="Times New Roman" w:hAnsi="Times New Roman" w:eastAsia="Times New Roman" w:cs="Times New Roman"/>
          <w:i w:val="0"/>
          <w:color w:val="000000"/>
        </w:rPr>
        <w:t>Week 4 introduced a separate predictive modelling case using the Breast Cancer Wisconsin Diagnostic dataset from Scikit-learn. The dataset contains 569 observations, 30 numerical predictor variables and two target classes: Malignant and Benign. There were no missing values or duplicate rows, so preprocessing was based on actual data quality rather than forcing unnecessary cleaning operations.</w:t>
      </w:r>
    </w:p>
    <w:p>
      <w:pPr>
        <w:pStyle w:val="Heading2"/>
      </w:pPr>
      <w:r>
        <w:rPr>
          <w:rFonts w:ascii="Times New Roman" w:hAnsi="Times New Roman" w:eastAsia="Times New Roman" w:cs="Times New Roman"/>
          <w:color w:val="000000"/>
        </w:rPr>
        <w:t>6.1 Modelling Workflow</w:t>
      </w:r>
    </w:p>
    <w:p>
      <w:pPr>
        <w:pStyle w:val="ListNumber"/>
        <w:spacing w:after="60"/>
      </w:pPr>
      <w:r>
        <w:rPr>
          <w:rFonts w:ascii="Times New Roman" w:hAnsi="Times New Roman" w:eastAsia="Times New Roman" w:cs="Times New Roman"/>
          <w:color w:val="000000"/>
        </w:rPr>
        <w:t>Inspect the dataset and target distribution.</w:t>
      </w:r>
    </w:p>
    <w:p>
      <w:pPr>
        <w:pStyle w:val="ListNumber"/>
        <w:spacing w:after="60"/>
      </w:pPr>
      <w:r>
        <w:rPr>
          <w:rFonts w:ascii="Times New Roman" w:hAnsi="Times New Roman" w:eastAsia="Times New Roman" w:cs="Times New Roman"/>
          <w:color w:val="000000"/>
        </w:rPr>
        <w:t>Separate predictors from the target.</w:t>
      </w:r>
    </w:p>
    <w:p>
      <w:pPr>
        <w:pStyle w:val="ListNumber"/>
        <w:spacing w:after="60"/>
      </w:pPr>
      <w:r>
        <w:rPr>
          <w:rFonts w:ascii="Times New Roman" w:hAnsi="Times New Roman" w:eastAsia="Times New Roman" w:cs="Times New Roman"/>
          <w:color w:val="000000"/>
        </w:rPr>
        <w:t>Use an 80:20 stratified train-test split with random_state = 42.</w:t>
      </w:r>
    </w:p>
    <w:p>
      <w:pPr>
        <w:pStyle w:val="ListNumber"/>
        <w:spacing w:after="60"/>
      </w:pPr>
      <w:r>
        <w:rPr>
          <w:rFonts w:ascii="Times New Roman" w:hAnsi="Times New Roman" w:eastAsia="Times New Roman" w:cs="Times New Roman"/>
          <w:color w:val="000000"/>
        </w:rPr>
        <w:t>Standardise predictors for Logistic Regression using training data only.</w:t>
      </w:r>
    </w:p>
    <w:p>
      <w:pPr>
        <w:pStyle w:val="ListNumber"/>
        <w:spacing w:after="60"/>
      </w:pPr>
      <w:r>
        <w:rPr>
          <w:rFonts w:ascii="Times New Roman" w:hAnsi="Times New Roman" w:eastAsia="Times New Roman" w:cs="Times New Roman"/>
          <w:color w:val="000000"/>
        </w:rPr>
        <w:t>Train Logistic Regression as an interpretable baseline.</w:t>
      </w:r>
    </w:p>
    <w:p>
      <w:pPr>
        <w:pStyle w:val="ListNumber"/>
        <w:spacing w:after="60"/>
      </w:pPr>
      <w:r>
        <w:rPr>
          <w:rFonts w:ascii="Times New Roman" w:hAnsi="Times New Roman" w:eastAsia="Times New Roman" w:cs="Times New Roman"/>
          <w:color w:val="000000"/>
        </w:rPr>
        <w:t>Train a Decision Tree with max_depth = 5 to control complexity.</w:t>
      </w:r>
    </w:p>
    <w:p>
      <w:pPr>
        <w:pStyle w:val="ListNumber"/>
        <w:spacing w:after="60"/>
      </w:pPr>
      <w:r>
        <w:rPr>
          <w:rFonts w:ascii="Times New Roman" w:hAnsi="Times New Roman" w:eastAsia="Times New Roman" w:cs="Times New Roman"/>
          <w:color w:val="000000"/>
        </w:rPr>
        <w:t>Evaluate both models using Accuracy, Precision, Recall, F1-score and ROC-AUC.</w:t>
      </w:r>
    </w:p>
    <w:p>
      <w:pPr>
        <w:pStyle w:val="ListNumber"/>
        <w:spacing w:after="60"/>
      </w:pPr>
      <w:r>
        <w:rPr>
          <w:rFonts w:ascii="Times New Roman" w:hAnsi="Times New Roman" w:eastAsia="Times New Roman" w:cs="Times New Roman"/>
          <w:color w:val="000000"/>
        </w:rPr>
        <w:t>Use five-fold stratified cross-validation to examine stability.</w:t>
      </w:r>
    </w:p>
    <w:p>
      <w:pPr>
        <w:pStyle w:val="ListNumber"/>
        <w:spacing w:after="60"/>
      </w:pPr>
      <w:r>
        <w:rPr>
          <w:rFonts w:ascii="Times New Roman" w:hAnsi="Times New Roman" w:eastAsia="Times New Roman" w:cs="Times New Roman"/>
          <w:color w:val="000000"/>
        </w:rPr>
        <w:t>Inspect confusion matrices, ROC curves and Decision Tree feature importance.</w:t>
      </w:r>
    </w:p>
    <w:p>
      <w:pPr>
        <w:pStyle w:val="Heading2"/>
      </w:pPr>
      <w:r>
        <w:rPr>
          <w:rFonts w:ascii="Times New Roman" w:hAnsi="Times New Roman" w:eastAsia="Times New Roman" w:cs="Times New Roman"/>
          <w:color w:val="000000"/>
        </w:rPr>
        <w:t>6.2 Model Comparison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160"/>
            <w:shd w:fill="D9E2F3"/>
            <w:tcMar>
              <w:top w:w="80" w:type="dxa"/>
              <w:start w:w="100" w:type="dxa"/>
              <w:bottom w:w="80" w:type="dxa"/>
              <w:end w:w="100" w:type="dxa"/>
            </w:tcMar>
            <w:vAlign w:val="center"/>
          </w:tcPr>
          <w:p>
            <w:r>
              <w:rPr>
                <w:rFonts w:ascii="Times New Roman" w:hAnsi="Times New Roman" w:eastAsia="Times New Roman" w:cs="Times New Roman"/>
                <w:b/>
                <w:color w:val="000000"/>
                <w:sz w:val="17"/>
              </w:rPr>
              <w:t>Metric</w:t>
            </w:r>
          </w:p>
        </w:tc>
        <w:tc>
          <w:tcPr>
            <w:tcW w:type="dxa" w:w="2880"/>
            <w:shd w:fill="D9E2F3"/>
            <w:tcMar>
              <w:top w:w="80" w:type="dxa"/>
              <w:start w:w="100" w:type="dxa"/>
              <w:bottom w:w="80" w:type="dxa"/>
              <w:end w:w="100" w:type="dxa"/>
            </w:tcMar>
            <w:vAlign w:val="center"/>
          </w:tcPr>
          <w:p>
            <w:r>
              <w:rPr>
                <w:rFonts w:ascii="Times New Roman" w:hAnsi="Times New Roman" w:eastAsia="Times New Roman" w:cs="Times New Roman"/>
                <w:b/>
                <w:color w:val="000000"/>
                <w:sz w:val="17"/>
              </w:rPr>
              <w:t>Logistic Regression</w:t>
            </w:r>
          </w:p>
        </w:tc>
        <w:tc>
          <w:tcPr>
            <w:tcW w:type="dxa" w:w="2880"/>
            <w:shd w:fill="D9E2F3"/>
            <w:tcMar>
              <w:top w:w="80" w:type="dxa"/>
              <w:start w:w="100" w:type="dxa"/>
              <w:bottom w:w="80" w:type="dxa"/>
              <w:end w:w="100" w:type="dxa"/>
            </w:tcMar>
            <w:vAlign w:val="center"/>
          </w:tcPr>
          <w:p>
            <w:r>
              <w:rPr>
                <w:rFonts w:ascii="Times New Roman" w:hAnsi="Times New Roman" w:eastAsia="Times New Roman" w:cs="Times New Roman"/>
                <w:b/>
                <w:color w:val="000000"/>
                <w:sz w:val="17"/>
              </w:rPr>
              <w:t>Decision Tree</w:t>
            </w:r>
          </w:p>
        </w:tc>
        <w:tc>
          <w:tcPr>
            <w:tcW w:type="dxa" w:w="2160"/>
            <w:shd w:fill="D9E2F3"/>
            <w:tcMar>
              <w:top w:w="80" w:type="dxa"/>
              <w:start w:w="100" w:type="dxa"/>
              <w:bottom w:w="80" w:type="dxa"/>
              <w:end w:w="100" w:type="dxa"/>
            </w:tcMar>
            <w:vAlign w:val="center"/>
          </w:tcPr>
          <w:p>
            <w:r>
              <w:rPr>
                <w:rFonts w:ascii="Times New Roman" w:hAnsi="Times New Roman" w:eastAsia="Times New Roman" w:cs="Times New Roman"/>
                <w:b/>
                <w:color w:val="000000"/>
                <w:sz w:val="17"/>
              </w:rPr>
              <w:t>Preferred</w:t>
            </w:r>
          </w:p>
        </w:tc>
      </w:tr>
      <w:tr>
        <w:tc>
          <w:tcPr>
            <w:tcW w:type="dxa" w:w="2160"/>
            <w:tcMar>
              <w:top w:w="80" w:type="dxa"/>
              <w:start w:w="100" w:type="dxa"/>
              <w:bottom w:w="80" w:type="dxa"/>
              <w:end w:w="100" w:type="dxa"/>
            </w:tcMar>
            <w:vAlign w:val="top"/>
          </w:tcPr>
          <w:p>
            <w:r>
              <w:rPr>
                <w:rFonts w:ascii="Times New Roman" w:hAnsi="Times New Roman" w:eastAsia="Times New Roman" w:cs="Times New Roman"/>
                <w:color w:val="000000"/>
                <w:sz w:val="17"/>
              </w:rPr>
              <w:t>Accuracy</w:t>
            </w:r>
          </w:p>
        </w:tc>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7"/>
              </w:rPr>
              <w:t>0.9825 (98.25%)</w:t>
            </w:r>
          </w:p>
        </w:tc>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7"/>
              </w:rPr>
              <w:t>0.9211 (92.11%)</w:t>
            </w:r>
          </w:p>
        </w:tc>
        <w:tc>
          <w:tcPr>
            <w:tcW w:type="dxa" w:w="2160"/>
            <w:tcMar>
              <w:top w:w="80" w:type="dxa"/>
              <w:start w:w="100" w:type="dxa"/>
              <w:bottom w:w="80" w:type="dxa"/>
              <w:end w:w="100" w:type="dxa"/>
            </w:tcMar>
            <w:vAlign w:val="top"/>
          </w:tcPr>
          <w:p>
            <w:r>
              <w:rPr>
                <w:rFonts w:ascii="Times New Roman" w:hAnsi="Times New Roman" w:eastAsia="Times New Roman" w:cs="Times New Roman"/>
                <w:color w:val="000000"/>
                <w:sz w:val="17"/>
              </w:rPr>
              <w:t>Logistic Regression</w:t>
            </w:r>
          </w:p>
        </w:tc>
      </w:tr>
      <w:tr>
        <w:tc>
          <w:tcPr>
            <w:tcW w:type="dxa" w:w="2160"/>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Precision</w:t>
            </w:r>
          </w:p>
        </w:tc>
        <w:tc>
          <w:tcPr>
            <w:tcW w:type="dxa" w:w="2880"/>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0.9861 (98.61%)</w:t>
            </w:r>
          </w:p>
        </w:tc>
        <w:tc>
          <w:tcPr>
            <w:tcW w:type="dxa" w:w="2880"/>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0.9565 (95.65%)</w:t>
            </w:r>
          </w:p>
        </w:tc>
        <w:tc>
          <w:tcPr>
            <w:tcW w:type="dxa" w:w="2160"/>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Logistic Regression</w:t>
            </w:r>
          </w:p>
        </w:tc>
      </w:tr>
      <w:tr>
        <w:tc>
          <w:tcPr>
            <w:tcW w:type="dxa" w:w="2160"/>
            <w:tcMar>
              <w:top w:w="80" w:type="dxa"/>
              <w:start w:w="100" w:type="dxa"/>
              <w:bottom w:w="80" w:type="dxa"/>
              <w:end w:w="100" w:type="dxa"/>
            </w:tcMar>
            <w:vAlign w:val="top"/>
          </w:tcPr>
          <w:p>
            <w:r>
              <w:rPr>
                <w:rFonts w:ascii="Times New Roman" w:hAnsi="Times New Roman" w:eastAsia="Times New Roman" w:cs="Times New Roman"/>
                <w:color w:val="000000"/>
                <w:sz w:val="17"/>
              </w:rPr>
              <w:t>Recall</w:t>
            </w:r>
          </w:p>
        </w:tc>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7"/>
              </w:rPr>
              <w:t>0.9861 (98.61%)</w:t>
            </w:r>
          </w:p>
        </w:tc>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7"/>
              </w:rPr>
              <w:t>0.9167 (91.67%)</w:t>
            </w:r>
          </w:p>
        </w:tc>
        <w:tc>
          <w:tcPr>
            <w:tcW w:type="dxa" w:w="2160"/>
            <w:tcMar>
              <w:top w:w="80" w:type="dxa"/>
              <w:start w:w="100" w:type="dxa"/>
              <w:bottom w:w="80" w:type="dxa"/>
              <w:end w:w="100" w:type="dxa"/>
            </w:tcMar>
            <w:vAlign w:val="top"/>
          </w:tcPr>
          <w:p>
            <w:r>
              <w:rPr>
                <w:rFonts w:ascii="Times New Roman" w:hAnsi="Times New Roman" w:eastAsia="Times New Roman" w:cs="Times New Roman"/>
                <w:color w:val="000000"/>
                <w:sz w:val="17"/>
              </w:rPr>
              <w:t>Logistic Regression</w:t>
            </w:r>
          </w:p>
        </w:tc>
      </w:tr>
      <w:tr>
        <w:tc>
          <w:tcPr>
            <w:tcW w:type="dxa" w:w="2160"/>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F1-score</w:t>
            </w:r>
          </w:p>
        </w:tc>
        <w:tc>
          <w:tcPr>
            <w:tcW w:type="dxa" w:w="2880"/>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0.9861 (98.61%)</w:t>
            </w:r>
          </w:p>
        </w:tc>
        <w:tc>
          <w:tcPr>
            <w:tcW w:type="dxa" w:w="2880"/>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0.9362 (93.62%)</w:t>
            </w:r>
          </w:p>
        </w:tc>
        <w:tc>
          <w:tcPr>
            <w:tcW w:type="dxa" w:w="2160"/>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Logistic Regression</w:t>
            </w:r>
          </w:p>
        </w:tc>
      </w:tr>
      <w:tr>
        <w:tc>
          <w:tcPr>
            <w:tcW w:type="dxa" w:w="2160"/>
            <w:tcMar>
              <w:top w:w="80" w:type="dxa"/>
              <w:start w:w="100" w:type="dxa"/>
              <w:bottom w:w="80" w:type="dxa"/>
              <w:end w:w="100" w:type="dxa"/>
            </w:tcMar>
            <w:vAlign w:val="top"/>
          </w:tcPr>
          <w:p>
            <w:r>
              <w:rPr>
                <w:rFonts w:ascii="Times New Roman" w:hAnsi="Times New Roman" w:eastAsia="Times New Roman" w:cs="Times New Roman"/>
                <w:color w:val="000000"/>
                <w:sz w:val="17"/>
              </w:rPr>
              <w:t>ROC-AUC</w:t>
            </w:r>
          </w:p>
        </w:tc>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7"/>
              </w:rPr>
              <w:t>0.9954</w:t>
            </w:r>
          </w:p>
        </w:tc>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7"/>
              </w:rPr>
              <w:t>0.9163</w:t>
            </w:r>
          </w:p>
        </w:tc>
        <w:tc>
          <w:tcPr>
            <w:tcW w:type="dxa" w:w="2160"/>
            <w:tcMar>
              <w:top w:w="80" w:type="dxa"/>
              <w:start w:w="100" w:type="dxa"/>
              <w:bottom w:w="80" w:type="dxa"/>
              <w:end w:w="100" w:type="dxa"/>
            </w:tcMar>
            <w:vAlign w:val="top"/>
          </w:tcPr>
          <w:p>
            <w:r>
              <w:rPr>
                <w:rFonts w:ascii="Times New Roman" w:hAnsi="Times New Roman" w:eastAsia="Times New Roman" w:cs="Times New Roman"/>
                <w:color w:val="000000"/>
                <w:sz w:val="17"/>
              </w:rPr>
              <w:t>Logistic Regression</w:t>
            </w:r>
          </w:p>
        </w:tc>
      </w:tr>
    </w:tbl>
    <w:p>
      <w:pPr>
        <w:spacing w:after="40"/>
      </w:pPr>
    </w:p>
    <w:p>
      <w:pPr>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77840" cy="2765484"/>
            <wp:docPr id="12" name="Picture 12"/>
            <wp:cNvGraphicFramePr>
              <a:graphicFrameLocks noChangeAspect="1"/>
            </wp:cNvGraphicFramePr>
            <a:graphic>
              <a:graphicData uri="http://schemas.openxmlformats.org/drawingml/2006/picture">
                <pic:pic>
                  <pic:nvPicPr>
                    <pic:cNvPr id="0" name="image4.png"/>
                    <pic:cNvPicPr/>
                  </pic:nvPicPr>
                  <pic:blipFill>
                    <a:blip r:embed="rId22"/>
                    <a:stretch>
                      <a:fillRect/>
                    </a:stretch>
                  </pic:blipFill>
                  <pic:spPr>
                    <a:xfrm>
                      <a:off x="0" y="0"/>
                      <a:ext cx="5577840" cy="2765484"/>
                    </a:xfrm>
                    <a:prstGeom prst="rect"/>
                  </pic:spPr>
                </pic:pic>
              </a:graphicData>
            </a:graphic>
          </wp:inline>
        </w:drawing>
      </w:r>
    </w:p>
    <w:p>
      <w:pPr>
        <w:spacing w:after="120"/>
        <w:jc w:val="center"/>
      </w:pPr>
      <w:r>
        <w:rPr>
          <w:rFonts w:ascii="Times New Roman" w:hAnsi="Times New Roman" w:eastAsia="Times New Roman" w:cs="Times New Roman"/>
          <w:b/>
          <w:i/>
          <w:color w:val="000000"/>
          <w:sz w:val="18"/>
        </w:rPr>
        <w:t>Figure 12. Test-set performance comparison between the two machine-learning models.</w:t>
      </w:r>
    </w:p>
    <w:p>
      <w:pPr>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77840" cy="3697669"/>
            <wp:docPr id="13" name="Picture 13"/>
            <wp:cNvGraphicFramePr>
              <a:graphicFrameLocks noChangeAspect="1"/>
            </wp:cNvGraphicFramePr>
            <a:graphic>
              <a:graphicData uri="http://schemas.openxmlformats.org/drawingml/2006/picture">
                <pic:pic>
                  <pic:nvPicPr>
                    <pic:cNvPr id="0" name="image5.png"/>
                    <pic:cNvPicPr/>
                  </pic:nvPicPr>
                  <pic:blipFill>
                    <a:blip r:embed="rId23"/>
                    <a:stretch>
                      <a:fillRect/>
                    </a:stretch>
                  </pic:blipFill>
                  <pic:spPr>
                    <a:xfrm>
                      <a:off x="0" y="0"/>
                      <a:ext cx="5577840" cy="3697669"/>
                    </a:xfrm>
                    <a:prstGeom prst="rect"/>
                  </pic:spPr>
                </pic:pic>
              </a:graphicData>
            </a:graphic>
          </wp:inline>
        </w:drawing>
      </w:r>
    </w:p>
    <w:p>
      <w:pPr>
        <w:spacing w:after="120"/>
        <w:jc w:val="center"/>
      </w:pPr>
      <w:r>
        <w:rPr>
          <w:rFonts w:ascii="Times New Roman" w:hAnsi="Times New Roman" w:eastAsia="Times New Roman" w:cs="Times New Roman"/>
          <w:b/>
          <w:i/>
          <w:color w:val="000000"/>
          <w:sz w:val="18"/>
        </w:rPr>
        <w:t>Figure 13. ROC curve comparison.</w:t>
      </w:r>
    </w:p>
    <w:p>
      <w:pPr>
        <w:spacing w:after="120" w:line="269" w:lineRule="auto"/>
      </w:pPr>
      <w:r>
        <w:rPr>
          <w:rFonts w:ascii="Times New Roman" w:hAnsi="Times New Roman" w:eastAsia="Times New Roman" w:cs="Times New Roman"/>
          <w:i w:val="0"/>
          <w:color w:val="000000"/>
        </w:rPr>
        <w:t>Logistic Regression was stronger across every reported test metric. Its ROC-AUC of 0.9954 indicates very strong class separation in this experiment. The Decision Tree remained useful as a contrasting non-linear model, but its performance was consistently lower.</w:t>
      </w:r>
    </w:p>
    <w:p>
      <w:pPr>
        <w:pStyle w:val="Heading2"/>
      </w:pPr>
      <w:r>
        <w:rPr>
          <w:rFonts w:ascii="Times New Roman" w:hAnsi="Times New Roman" w:eastAsia="Times New Roman" w:cs="Times New Roman"/>
          <w:color w:val="000000"/>
        </w:rPr>
        <w:t>6.3 Error Analysis and Generalisation</w:t>
      </w:r>
    </w:p>
    <w:p>
      <w:pPr>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77840" cy="4250609"/>
            <wp:docPr id="14" name="Picture 14"/>
            <wp:cNvGraphicFramePr>
              <a:graphicFrameLocks noChangeAspect="1"/>
            </wp:cNvGraphicFramePr>
            <a:graphic>
              <a:graphicData uri="http://schemas.openxmlformats.org/drawingml/2006/picture">
                <pic:pic>
                  <pic:nvPicPr>
                    <pic:cNvPr id="0" name="image6.png"/>
                    <pic:cNvPicPr/>
                  </pic:nvPicPr>
                  <pic:blipFill>
                    <a:blip r:embed="rId24"/>
                    <a:stretch>
                      <a:fillRect/>
                    </a:stretch>
                  </pic:blipFill>
                  <pic:spPr>
                    <a:xfrm>
                      <a:off x="0" y="0"/>
                      <a:ext cx="5577840" cy="4250609"/>
                    </a:xfrm>
                    <a:prstGeom prst="rect"/>
                  </pic:spPr>
                </pic:pic>
              </a:graphicData>
            </a:graphic>
          </wp:inline>
        </w:drawing>
      </w:r>
    </w:p>
    <w:p>
      <w:pPr>
        <w:spacing w:after="120"/>
        <w:jc w:val="center"/>
      </w:pPr>
      <w:r>
        <w:rPr>
          <w:rFonts w:ascii="Times New Roman" w:hAnsi="Times New Roman" w:eastAsia="Times New Roman" w:cs="Times New Roman"/>
          <w:b/>
          <w:i/>
          <w:color w:val="000000"/>
          <w:sz w:val="18"/>
        </w:rPr>
        <w:t>Figure 14. Logistic Regression confusion matrix.</w:t>
      </w:r>
    </w:p>
    <w:p>
      <w:pPr>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77840" cy="4250609"/>
            <wp:docPr id="15" name="Picture 15"/>
            <wp:cNvGraphicFramePr>
              <a:graphicFrameLocks noChangeAspect="1"/>
            </wp:cNvGraphicFramePr>
            <a:graphic>
              <a:graphicData uri="http://schemas.openxmlformats.org/drawingml/2006/picture">
                <pic:pic>
                  <pic:nvPicPr>
                    <pic:cNvPr id="0" name="image7.png"/>
                    <pic:cNvPicPr/>
                  </pic:nvPicPr>
                  <pic:blipFill>
                    <a:blip r:embed="rId25"/>
                    <a:stretch>
                      <a:fillRect/>
                    </a:stretch>
                  </pic:blipFill>
                  <pic:spPr>
                    <a:xfrm>
                      <a:off x="0" y="0"/>
                      <a:ext cx="5577840" cy="4250609"/>
                    </a:xfrm>
                    <a:prstGeom prst="rect"/>
                  </pic:spPr>
                </pic:pic>
              </a:graphicData>
            </a:graphic>
          </wp:inline>
        </w:drawing>
      </w:r>
    </w:p>
    <w:p>
      <w:pPr>
        <w:spacing w:after="120"/>
        <w:jc w:val="center"/>
      </w:pPr>
      <w:r>
        <w:rPr>
          <w:rFonts w:ascii="Times New Roman" w:hAnsi="Times New Roman" w:eastAsia="Times New Roman" w:cs="Times New Roman"/>
          <w:b/>
          <w:i/>
          <w:color w:val="000000"/>
          <w:sz w:val="18"/>
        </w:rPr>
        <w:t>Figure 15. Decision Tree confusion matrix.</w:t>
      </w:r>
    </w:p>
    <w:p>
      <w:pPr>
        <w:spacing w:after="120" w:line="269" w:lineRule="auto"/>
      </w:pPr>
      <w:r>
        <w:rPr>
          <w:rFonts w:ascii="Times New Roman" w:hAnsi="Times New Roman" w:eastAsia="Times New Roman" w:cs="Times New Roman"/>
          <w:i w:val="0"/>
          <w:color w:val="000000"/>
        </w:rPr>
        <w:t>The Logistic Regression confusion matrix contains 41 true negatives, 1 false positive, 1 false negative and 71 true positives. The Decision Tree contains 39 true negatives, 3 false positives, 6 false negatives and 66 true positives. The error pattern therefore shows that Logistic Regression made only two test-set errors in this experiment, compared with nine for the Decision Tree.</w:t>
      </w:r>
    </w:p>
    <w:p>
      <w:pPr>
        <w:spacing w:after="120" w:line="269" w:lineRule="auto"/>
      </w:pPr>
      <w:r>
        <w:rPr>
          <w:rFonts w:ascii="Times New Roman" w:hAnsi="Times New Roman" w:eastAsia="Times New Roman" w:cs="Times New Roman"/>
          <w:i w:val="0"/>
          <w:color w:val="000000"/>
        </w:rPr>
        <w:t>The training-versus-test accuracy gap was approximately 0.0066 for Logistic Regression and 0.0724 for the Decision Tree. Together with five-fold stratified cross-validation, this indicates that Logistic Regression generalised more consistently in this experiment. The Week 4 analysis reported mean cross-validation accuracy of approximately 97.80% for Logistic Regression and 92.31% for the Decision Tree.</w:t>
      </w:r>
    </w:p>
    <w:p>
      <w:pPr>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77840" cy="3324167"/>
            <wp:docPr id="16" name="Picture 16"/>
            <wp:cNvGraphicFramePr>
              <a:graphicFrameLocks noChangeAspect="1"/>
            </wp:cNvGraphicFramePr>
            <a:graphic>
              <a:graphicData uri="http://schemas.openxmlformats.org/drawingml/2006/picture">
                <pic:pic>
                  <pic:nvPicPr>
                    <pic:cNvPr id="0" name="image8.png"/>
                    <pic:cNvPicPr/>
                  </pic:nvPicPr>
                  <pic:blipFill>
                    <a:blip r:embed="rId26"/>
                    <a:stretch>
                      <a:fillRect/>
                    </a:stretch>
                  </pic:blipFill>
                  <pic:spPr>
                    <a:xfrm>
                      <a:off x="0" y="0"/>
                      <a:ext cx="5577840" cy="3324167"/>
                    </a:xfrm>
                    <a:prstGeom prst="rect"/>
                  </pic:spPr>
                </pic:pic>
              </a:graphicData>
            </a:graphic>
          </wp:inline>
        </w:drawing>
      </w:r>
    </w:p>
    <w:p>
      <w:pPr>
        <w:spacing w:after="120"/>
        <w:jc w:val="center"/>
      </w:pPr>
      <w:r>
        <w:rPr>
          <w:rFonts w:ascii="Times New Roman" w:hAnsi="Times New Roman" w:eastAsia="Times New Roman" w:cs="Times New Roman"/>
          <w:b/>
          <w:i/>
          <w:color w:val="000000"/>
          <w:sz w:val="18"/>
        </w:rPr>
        <w:t>Figure 16. Decision Tree feature-importance ranking.</w:t>
      </w:r>
    </w:p>
    <w:p>
      <w:pPr>
        <w:spacing w:after="120" w:line="269" w:lineRule="auto"/>
      </w:pPr>
      <w:r>
        <w:rPr>
          <w:rFonts w:ascii="Times New Roman" w:hAnsi="Times New Roman" w:eastAsia="Times New Roman" w:cs="Times New Roman"/>
          <w:i w:val="0"/>
          <w:color w:val="000000"/>
        </w:rPr>
        <w:t>The Decision Tree feature-importance chart shows that worst radius was the dominant feature in that model, followed by other measurements such as worst concave points and texture-related variables. Feature importance is useful for interpretation, but it should not be treated as proof that an individual measurement causes the target outcome.</w:t>
      </w:r>
    </w:p>
    <w:tbl>
      <w:tblPr>
        <w:tblW w:type="auto" w:w="0"/>
        <w:jc w:val="center"/>
        <w:tblLook w:firstColumn="1" w:firstRow="1" w:lastColumn="0" w:lastRow="0" w:noHBand="0" w:noVBand="1" w:val="04A0"/>
      </w:tblPr>
      <w:tblGrid>
        <w:gridCol w:w="10080"/>
      </w:tblGrid>
      <w:tr>
        <w:tc>
          <w:tcPr>
            <w:tcW w:type="dxa" w:w="10080"/>
            <w:shd w:fill="F2F2F2"/>
            <w:tcMar>
              <w:top w:w="120" w:type="dxa"/>
              <w:start w:w="140" w:type="dxa"/>
              <w:bottom w:w="120" w:type="dxa"/>
              <w:end w:w="140" w:type="dxa"/>
            </w:tcMar>
          </w:tcPr>
          <w:p>
            <w:r>
              <w:rPr>
                <w:rFonts w:ascii="Times New Roman" w:hAnsi="Times New Roman" w:eastAsia="Times New Roman" w:cs="Times New Roman"/>
                <w:b/>
                <w:color w:val="000000"/>
              </w:rPr>
              <w:t>Important scope statement</w:t>
            </w:r>
            <w:r>
              <w:rPr>
                <w:rFonts w:ascii="Times New Roman" w:hAnsi="Times New Roman" w:eastAsia="Times New Roman" w:cs="Times New Roman"/>
                <w:color w:val="000000"/>
              </w:rPr>
              <w:br/>
              <w:t>The Week 4 model is an academic machine-learning exercise. Its performance should not be interpreted as evidence that the model is ready for clinical diagnosis or real-world medical deployment.</w:t>
            </w:r>
          </w:p>
        </w:tc>
      </w:tr>
    </w:tbl>
    <w:p>
      <w:pPr>
        <w:spacing w:after="40"/>
      </w:pP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7. Integrated Key Findings Across the Internship</w:t>
      </w:r>
    </w:p>
    <w:p>
      <w:pPr>
        <w:spacing w:after="120" w:line="269" w:lineRule="auto"/>
      </w:pPr>
      <w:r>
        <w:rPr>
          <w:rFonts w:ascii="Times New Roman" w:hAnsi="Times New Roman" w:eastAsia="Times New Roman" w:cs="Times New Roman"/>
          <w:i w:val="0"/>
          <w:color w:val="000000"/>
        </w:rPr>
        <w:t>The strongest value of the Week 5 synthesis is not any single chart or model. It is the progression from observation to evidence and then to decision support. The following findings combine the weekly work without pretending that the retail and medical datasets are the same problem.</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shd w:fill="D9E2F3"/>
            <w:tcMar>
              <w:top w:w="80" w:type="dxa"/>
              <w:start w:w="100" w:type="dxa"/>
              <w:bottom w:w="80" w:type="dxa"/>
              <w:end w:w="100" w:type="dxa"/>
            </w:tcMar>
            <w:vAlign w:val="center"/>
          </w:tcPr>
          <w:p>
            <w:r>
              <w:rPr>
                <w:rFonts w:ascii="Times New Roman" w:hAnsi="Times New Roman" w:eastAsia="Times New Roman" w:cs="Times New Roman"/>
                <w:b/>
                <w:color w:val="000000"/>
                <w:sz w:val="16"/>
              </w:rPr>
              <w:t>Integrated finding</w:t>
            </w:r>
          </w:p>
        </w:tc>
        <w:tc>
          <w:tcPr>
            <w:tcW w:type="dxa" w:w="4320"/>
            <w:shd w:fill="D9E2F3"/>
            <w:tcMar>
              <w:top w:w="80" w:type="dxa"/>
              <w:start w:w="100" w:type="dxa"/>
              <w:bottom w:w="80" w:type="dxa"/>
              <w:end w:w="100" w:type="dxa"/>
            </w:tcMar>
            <w:vAlign w:val="center"/>
          </w:tcPr>
          <w:p>
            <w:r>
              <w:rPr>
                <w:rFonts w:ascii="Times New Roman" w:hAnsi="Times New Roman" w:eastAsia="Times New Roman" w:cs="Times New Roman"/>
                <w:b/>
                <w:color w:val="000000"/>
                <w:sz w:val="16"/>
              </w:rPr>
              <w:t>Evidence from weekly work</w:t>
            </w:r>
          </w:p>
        </w:tc>
        <w:tc>
          <w:tcPr>
            <w:tcW w:type="dxa" w:w="3312"/>
            <w:shd w:fill="D9E2F3"/>
            <w:tcMar>
              <w:top w:w="80" w:type="dxa"/>
              <w:start w:w="100" w:type="dxa"/>
              <w:bottom w:w="80" w:type="dxa"/>
              <w:end w:w="100" w:type="dxa"/>
            </w:tcMar>
            <w:vAlign w:val="center"/>
          </w:tcPr>
          <w:p>
            <w:r>
              <w:rPr>
                <w:rFonts w:ascii="Times New Roman" w:hAnsi="Times New Roman" w:eastAsia="Times New Roman" w:cs="Times New Roman"/>
                <w:b/>
                <w:color w:val="000000"/>
                <w:sz w:val="16"/>
              </w:rPr>
              <w:t>Decision relevance</w:t>
            </w:r>
          </w:p>
        </w:tc>
      </w:tr>
      <w:tr>
        <w:tc>
          <w:tcPr>
            <w:tcW w:type="dxa" w:w="2592"/>
            <w:tcMar>
              <w:top w:w="80" w:type="dxa"/>
              <w:start w:w="100" w:type="dxa"/>
              <w:bottom w:w="80" w:type="dxa"/>
              <w:end w:w="100" w:type="dxa"/>
            </w:tcMar>
            <w:vAlign w:val="top"/>
          </w:tcPr>
          <w:p>
            <w:r>
              <w:rPr>
                <w:rFonts w:ascii="Times New Roman" w:hAnsi="Times New Roman" w:eastAsia="Times New Roman" w:cs="Times New Roman"/>
                <w:color w:val="000000"/>
                <w:sz w:val="16"/>
              </w:rPr>
              <w:t>Revenue is geographically concentrated</w:t>
            </w:r>
          </w:p>
        </w:tc>
        <w:tc>
          <w:tcPr>
            <w:tcW w:type="dxa" w:w="4320"/>
            <w:tcMar>
              <w:top w:w="80" w:type="dxa"/>
              <w:start w:w="100" w:type="dxa"/>
              <w:bottom w:w="80" w:type="dxa"/>
              <w:end w:w="100" w:type="dxa"/>
            </w:tcMar>
            <w:vAlign w:val="top"/>
          </w:tcPr>
          <w:p>
            <w:r>
              <w:rPr>
                <w:rFonts w:ascii="Times New Roman" w:hAnsi="Times New Roman" w:eastAsia="Times New Roman" w:cs="Times New Roman"/>
                <w:color w:val="000000"/>
                <w:sz w:val="16"/>
              </w:rPr>
              <w:t>UK contributed ~£17.87m of positive-sales revenue in Week 2.</w:t>
            </w:r>
          </w:p>
        </w:tc>
        <w:tc>
          <w:tcPr>
            <w:tcW w:type="dxa" w:w="3312"/>
            <w:tcMar>
              <w:top w:w="80" w:type="dxa"/>
              <w:start w:w="100" w:type="dxa"/>
              <w:bottom w:w="80" w:type="dxa"/>
              <w:end w:w="100" w:type="dxa"/>
            </w:tcMar>
            <w:vAlign w:val="top"/>
          </w:tcPr>
          <w:p>
            <w:r>
              <w:rPr>
                <w:rFonts w:ascii="Times New Roman" w:hAnsi="Times New Roman" w:eastAsia="Times New Roman" w:cs="Times New Roman"/>
                <w:color w:val="000000"/>
                <w:sz w:val="16"/>
              </w:rPr>
              <w:t>Regional strategy should distinguish the core market from smaller international markets.</w:t>
            </w:r>
          </w:p>
        </w:tc>
      </w:tr>
      <w:tr>
        <w:tc>
          <w:tcPr>
            <w:tcW w:type="dxa" w:w="2592"/>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Revenue varies over time</w:t>
            </w:r>
          </w:p>
        </w:tc>
        <w:tc>
          <w:tcPr>
            <w:tcW w:type="dxa" w:w="4320"/>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Monthly revenue ranged from ~£0.52m to ~£1.51m in the analysed period.</w:t>
            </w:r>
          </w:p>
        </w:tc>
        <w:tc>
          <w:tcPr>
            <w:tcW w:type="dxa" w:w="3312"/>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Planning should consider seasonal/periodic demand rather than using one average month.</w:t>
            </w:r>
          </w:p>
        </w:tc>
      </w:tr>
      <w:tr>
        <w:tc>
          <w:tcPr>
            <w:tcW w:type="dxa" w:w="2592"/>
            <w:tcMar>
              <w:top w:w="80" w:type="dxa"/>
              <w:start w:w="100" w:type="dxa"/>
              <w:bottom w:w="80" w:type="dxa"/>
              <w:end w:w="100" w:type="dxa"/>
            </w:tcMar>
            <w:vAlign w:val="top"/>
          </w:tcPr>
          <w:p>
            <w:r>
              <w:rPr>
                <w:rFonts w:ascii="Times New Roman" w:hAnsi="Times New Roman" w:eastAsia="Times New Roman" w:cs="Times New Roman"/>
                <w:color w:val="000000"/>
                <w:sz w:val="16"/>
              </w:rPr>
              <w:t>Customer value is uneven</w:t>
            </w:r>
          </w:p>
        </w:tc>
        <w:tc>
          <w:tcPr>
            <w:tcW w:type="dxa" w:w="4320"/>
            <w:tcMar>
              <w:top w:w="80" w:type="dxa"/>
              <w:start w:w="100" w:type="dxa"/>
              <w:bottom w:w="80" w:type="dxa"/>
              <w:end w:w="100" w:type="dxa"/>
            </w:tcMar>
            <w:vAlign w:val="top"/>
          </w:tcPr>
          <w:p>
            <w:r>
              <w:rPr>
                <w:rFonts w:ascii="Times New Roman" w:hAnsi="Times New Roman" w:eastAsia="Times New Roman" w:cs="Times New Roman"/>
                <w:color w:val="000000"/>
                <w:sz w:val="16"/>
              </w:rPr>
              <w:t>RFM scatter showed a smaller high-value group and a large lower-value group.</w:t>
            </w:r>
          </w:p>
        </w:tc>
        <w:tc>
          <w:tcPr>
            <w:tcW w:type="dxa" w:w="3312"/>
            <w:tcMar>
              <w:top w:w="80" w:type="dxa"/>
              <w:start w:w="100" w:type="dxa"/>
              <w:bottom w:w="80" w:type="dxa"/>
              <w:end w:w="100" w:type="dxa"/>
            </w:tcMar>
            <w:vAlign w:val="top"/>
          </w:tcPr>
          <w:p>
            <w:r>
              <w:rPr>
                <w:rFonts w:ascii="Times New Roman" w:hAnsi="Times New Roman" w:eastAsia="Times New Roman" w:cs="Times New Roman"/>
                <w:color w:val="000000"/>
                <w:sz w:val="16"/>
              </w:rPr>
              <w:t>Retention and engagement can be prioritised using customer value segments.</w:t>
            </w:r>
          </w:p>
        </w:tc>
      </w:tr>
      <w:tr>
        <w:tc>
          <w:tcPr>
            <w:tcW w:type="dxa" w:w="2592"/>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Country differences are statistically supported</w:t>
            </w:r>
          </w:p>
        </w:tc>
        <w:tc>
          <w:tcPr>
            <w:tcW w:type="dxa" w:w="4320"/>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Welch t-test and ANOVA both rejected their null hypotheses.</w:t>
            </w:r>
          </w:p>
        </w:tc>
        <w:tc>
          <w:tcPr>
            <w:tcW w:type="dxa" w:w="3312"/>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Regional performance deserves deeper segmentation and follow-up analysis.</w:t>
            </w:r>
          </w:p>
        </w:tc>
      </w:tr>
      <w:tr>
        <w:tc>
          <w:tcPr>
            <w:tcW w:type="dxa" w:w="2592"/>
            <w:tcMar>
              <w:top w:w="80" w:type="dxa"/>
              <w:start w:w="100" w:type="dxa"/>
              <w:bottom w:w="80" w:type="dxa"/>
              <w:end w:w="100" w:type="dxa"/>
            </w:tcMar>
            <w:vAlign w:val="top"/>
          </w:tcPr>
          <w:p>
            <w:r>
              <w:rPr>
                <w:rFonts w:ascii="Times New Roman" w:hAnsi="Times New Roman" w:eastAsia="Times New Roman" w:cs="Times New Roman"/>
                <w:color w:val="000000"/>
                <w:sz w:val="16"/>
              </w:rPr>
              <w:t>Cancellation is associated with country</w:t>
            </w:r>
          </w:p>
        </w:tc>
        <w:tc>
          <w:tcPr>
            <w:tcW w:type="dxa" w:w="4320"/>
            <w:tcMar>
              <w:top w:w="80" w:type="dxa"/>
              <w:start w:w="100" w:type="dxa"/>
              <w:bottom w:w="80" w:type="dxa"/>
              <w:end w:w="100" w:type="dxa"/>
            </w:tcMar>
            <w:vAlign w:val="top"/>
          </w:tcPr>
          <w:p>
            <w:r>
              <w:rPr>
                <w:rFonts w:ascii="Times New Roman" w:hAnsi="Times New Roman" w:eastAsia="Times New Roman" w:cs="Times New Roman"/>
                <w:color w:val="000000"/>
                <w:sz w:val="16"/>
              </w:rPr>
              <w:t>Chi-Square rejected independence with p ≈ 1.8983e-311.</w:t>
            </w:r>
          </w:p>
        </w:tc>
        <w:tc>
          <w:tcPr>
            <w:tcW w:type="dxa" w:w="3312"/>
            <w:tcMar>
              <w:top w:w="80" w:type="dxa"/>
              <w:start w:w="100" w:type="dxa"/>
              <w:bottom w:w="80" w:type="dxa"/>
              <w:end w:w="100" w:type="dxa"/>
            </w:tcMar>
            <w:vAlign w:val="top"/>
          </w:tcPr>
          <w:p>
            <w:r>
              <w:rPr>
                <w:rFonts w:ascii="Times New Roman" w:hAnsi="Times New Roman" w:eastAsia="Times New Roman" w:cs="Times New Roman"/>
                <w:color w:val="000000"/>
                <w:sz w:val="16"/>
              </w:rPr>
              <w:t>Operations teams should investigate market-specific cancellation drivers.</w:t>
            </w:r>
          </w:p>
        </w:tc>
      </w:tr>
      <w:tr>
        <w:tc>
          <w:tcPr>
            <w:tcW w:type="dxa" w:w="2592"/>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Extreme transaction values matter</w:t>
            </w:r>
          </w:p>
        </w:tc>
        <w:tc>
          <w:tcPr>
            <w:tcW w:type="dxa" w:w="4320"/>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Median transaction revenue ~£9.96 versus maximum £168,469.60.</w:t>
            </w:r>
          </w:p>
        </w:tc>
        <w:tc>
          <w:tcPr>
            <w:tcW w:type="dxa" w:w="3312"/>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Robust summaries and log-scale visualisation are important for planning and modelling.</w:t>
            </w:r>
          </w:p>
        </w:tc>
      </w:tr>
      <w:tr>
        <w:tc>
          <w:tcPr>
            <w:tcW w:type="dxa" w:w="2592"/>
            <w:tcMar>
              <w:top w:w="80" w:type="dxa"/>
              <w:start w:w="100" w:type="dxa"/>
              <w:bottom w:w="80" w:type="dxa"/>
              <w:end w:w="100" w:type="dxa"/>
            </w:tcMar>
            <w:vAlign w:val="top"/>
          </w:tcPr>
          <w:p>
            <w:r>
              <w:rPr>
                <w:rFonts w:ascii="Times New Roman" w:hAnsi="Times New Roman" w:eastAsia="Times New Roman" w:cs="Times New Roman"/>
                <w:color w:val="000000"/>
                <w:sz w:val="16"/>
              </w:rPr>
              <w:t>Logistic Regression generalised strongly in Week 4</w:t>
            </w:r>
          </w:p>
        </w:tc>
        <w:tc>
          <w:tcPr>
            <w:tcW w:type="dxa" w:w="4320"/>
            <w:tcMar>
              <w:top w:w="80" w:type="dxa"/>
              <w:start w:w="100" w:type="dxa"/>
              <w:bottom w:w="80" w:type="dxa"/>
              <w:end w:w="100" w:type="dxa"/>
            </w:tcMar>
            <w:vAlign w:val="top"/>
          </w:tcPr>
          <w:p>
            <w:r>
              <w:rPr>
                <w:rFonts w:ascii="Times New Roman" w:hAnsi="Times New Roman" w:eastAsia="Times New Roman" w:cs="Times New Roman"/>
                <w:color w:val="000000"/>
                <w:sz w:val="16"/>
              </w:rPr>
              <w:t>98.25% test accuracy, 0.9954 ROC-AUC and ~97.80% mean CV accuracy.</w:t>
            </w:r>
          </w:p>
        </w:tc>
        <w:tc>
          <w:tcPr>
            <w:tcW w:type="dxa" w:w="3312"/>
            <w:tcMar>
              <w:top w:w="80" w:type="dxa"/>
              <w:start w:w="100" w:type="dxa"/>
              <w:bottom w:w="80" w:type="dxa"/>
              <w:end w:w="100" w:type="dxa"/>
            </w:tcMar>
            <w:vAlign w:val="top"/>
          </w:tcPr>
          <w:p>
            <w:r>
              <w:rPr>
                <w:rFonts w:ascii="Times New Roman" w:hAnsi="Times New Roman" w:eastAsia="Times New Roman" w:cs="Times New Roman"/>
                <w:color w:val="000000"/>
                <w:sz w:val="16"/>
              </w:rPr>
              <w:t>A simple, interpretable baseline can outperform a more flexible tree model when the data structure supports it.</w:t>
            </w:r>
          </w:p>
        </w:tc>
      </w:tr>
    </w:tbl>
    <w:p>
      <w:pPr>
        <w:spacing w:after="40"/>
      </w:pPr>
    </w:p>
    <w:p>
      <w:pPr>
        <w:pStyle w:val="Heading2"/>
      </w:pPr>
      <w:r>
        <w:rPr>
          <w:rFonts w:ascii="Times New Roman" w:hAnsi="Times New Roman" w:eastAsia="Times New Roman" w:cs="Times New Roman"/>
          <w:color w:val="000000"/>
        </w:rPr>
        <w:t>7.1 From Observation to Evidence</w:t>
      </w:r>
    </w:p>
    <w:p>
      <w:pPr>
        <w:spacing w:after="120" w:line="269" w:lineRule="auto"/>
      </w:pPr>
      <w:r>
        <w:rPr>
          <w:rFonts w:ascii="Times New Roman" w:hAnsi="Times New Roman" w:eastAsia="Times New Roman" w:cs="Times New Roman"/>
          <w:i w:val="0"/>
          <w:color w:val="000000"/>
        </w:rPr>
        <w:t>A useful pattern emerges across the internship. Week 1 identifies patterns through data preparation and EDA. Week 2 communicates those patterns visually. Week 3 asks whether selected differences are statistically supported. Week 4 demonstrates how a different dataset can be converted into a predictive classification workflow. This progression reflects a practical data-science mindset: do not jump directly to modelling; first understand the data, then validate and communicate the evidence.</w:t>
      </w: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8. Strategic Recommendations</w:t>
      </w:r>
    </w:p>
    <w:p>
      <w:pPr>
        <w:spacing w:after="120" w:line="269" w:lineRule="auto"/>
      </w:pPr>
      <w:r>
        <w:rPr>
          <w:rFonts w:ascii="Times New Roman" w:hAnsi="Times New Roman" w:eastAsia="Times New Roman" w:cs="Times New Roman"/>
          <w:i w:val="0"/>
          <w:color w:val="000000"/>
        </w:rPr>
        <w:t>The recommendations below are deliberately tied to evidence from the previous weeks. They are framed as decision-support actions rather than unsupported claims about causality.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232"/>
            <w:shd w:fill="D9E2F3"/>
            <w:tcMar>
              <w:top w:w="80" w:type="dxa"/>
              <w:start w:w="100" w:type="dxa"/>
              <w:bottom w:w="80" w:type="dxa"/>
              <w:end w:w="100" w:type="dxa"/>
            </w:tcMar>
            <w:vAlign w:val="center"/>
          </w:tcPr>
          <w:p>
            <w:r>
              <w:rPr>
                <w:rFonts w:ascii="Times New Roman" w:hAnsi="Times New Roman" w:eastAsia="Times New Roman" w:cs="Times New Roman"/>
                <w:b/>
                <w:color w:val="000000"/>
                <w:sz w:val="15"/>
              </w:rPr>
              <w:t>Recommendation</w:t>
            </w:r>
          </w:p>
        </w:tc>
        <w:tc>
          <w:tcPr>
            <w:tcW w:type="dxa" w:w="3168"/>
            <w:shd w:fill="D9E2F3"/>
            <w:tcMar>
              <w:top w:w="80" w:type="dxa"/>
              <w:start w:w="100" w:type="dxa"/>
              <w:bottom w:w="80" w:type="dxa"/>
              <w:end w:w="100" w:type="dxa"/>
            </w:tcMar>
            <w:vAlign w:val="center"/>
          </w:tcPr>
          <w:p>
            <w:r>
              <w:rPr>
                <w:rFonts w:ascii="Times New Roman" w:hAnsi="Times New Roman" w:eastAsia="Times New Roman" w:cs="Times New Roman"/>
                <w:b/>
                <w:color w:val="000000"/>
                <w:sz w:val="15"/>
              </w:rPr>
              <w:t>Evidence</w:t>
            </w:r>
          </w:p>
        </w:tc>
        <w:tc>
          <w:tcPr>
            <w:tcW w:type="dxa" w:w="3672"/>
            <w:shd w:fill="D9E2F3"/>
            <w:tcMar>
              <w:top w:w="80" w:type="dxa"/>
              <w:start w:w="100" w:type="dxa"/>
              <w:bottom w:w="80" w:type="dxa"/>
              <w:end w:w="100" w:type="dxa"/>
            </w:tcMar>
            <w:vAlign w:val="center"/>
          </w:tcPr>
          <w:p>
            <w:r>
              <w:rPr>
                <w:rFonts w:ascii="Times New Roman" w:hAnsi="Times New Roman" w:eastAsia="Times New Roman" w:cs="Times New Roman"/>
                <w:b/>
                <w:color w:val="000000"/>
                <w:sz w:val="15"/>
              </w:rPr>
              <w:t>Action</w:t>
            </w:r>
          </w:p>
        </w:tc>
        <w:tc>
          <w:tcPr>
            <w:tcW w:type="dxa" w:w="1800"/>
            <w:shd w:fill="D9E2F3"/>
            <w:tcMar>
              <w:top w:w="80" w:type="dxa"/>
              <w:start w:w="100" w:type="dxa"/>
              <w:bottom w:w="80" w:type="dxa"/>
              <w:end w:w="100" w:type="dxa"/>
            </w:tcMar>
            <w:vAlign w:val="center"/>
          </w:tcPr>
          <w:p>
            <w:r>
              <w:rPr>
                <w:rFonts w:ascii="Times New Roman" w:hAnsi="Times New Roman" w:eastAsia="Times New Roman" w:cs="Times New Roman"/>
                <w:b/>
                <w:color w:val="000000"/>
                <w:sz w:val="15"/>
              </w:rPr>
              <w:t>Suggested KPI</w:t>
            </w:r>
          </w:p>
        </w:tc>
      </w:tr>
      <w:tr>
        <w:tc>
          <w:tcPr>
            <w:tcW w:type="dxa" w:w="2232"/>
            <w:tcMar>
              <w:top w:w="80" w:type="dxa"/>
              <w:start w:w="100" w:type="dxa"/>
              <w:bottom w:w="80" w:type="dxa"/>
              <w:end w:w="100" w:type="dxa"/>
            </w:tcMar>
            <w:vAlign w:val="top"/>
          </w:tcPr>
          <w:p>
            <w:r>
              <w:rPr>
                <w:rFonts w:ascii="Times New Roman" w:hAnsi="Times New Roman" w:eastAsia="Times New Roman" w:cs="Times New Roman"/>
                <w:color w:val="000000"/>
                <w:sz w:val="15"/>
              </w:rPr>
              <w:t>1. Build a high-value customer retention strategy</w:t>
            </w:r>
          </w:p>
        </w:tc>
        <w:tc>
          <w:tcPr>
            <w:tcW w:type="dxa" w:w="3168"/>
            <w:tcMar>
              <w:top w:w="80" w:type="dxa"/>
              <w:start w:w="100" w:type="dxa"/>
              <w:bottom w:w="80" w:type="dxa"/>
              <w:end w:w="100" w:type="dxa"/>
            </w:tcMar>
            <w:vAlign w:val="top"/>
          </w:tcPr>
          <w:p>
            <w:r>
              <w:rPr>
                <w:rFonts w:ascii="Times New Roman" w:hAnsi="Times New Roman" w:eastAsia="Times New Roman" w:cs="Times New Roman"/>
                <w:color w:val="000000"/>
                <w:sz w:val="15"/>
              </w:rPr>
              <w:t>RFM analysis shows substantial differences in purchase frequency and monetary value.</w:t>
            </w:r>
          </w:p>
        </w:tc>
        <w:tc>
          <w:tcPr>
            <w:tcW w:type="dxa" w:w="3672"/>
            <w:tcMar>
              <w:top w:w="80" w:type="dxa"/>
              <w:start w:w="100" w:type="dxa"/>
              <w:bottom w:w="80" w:type="dxa"/>
              <w:end w:w="100" w:type="dxa"/>
            </w:tcMar>
            <w:vAlign w:val="top"/>
          </w:tcPr>
          <w:p>
            <w:r>
              <w:rPr>
                <w:rFonts w:ascii="Times New Roman" w:hAnsi="Times New Roman" w:eastAsia="Times New Roman" w:cs="Times New Roman"/>
                <w:color w:val="000000"/>
                <w:sz w:val="15"/>
              </w:rPr>
              <w:t>Create customer segments based on Recency, Frequency and Monetary value; prioritise retention offers and engagement for high-value or at-risk customers.</w:t>
            </w:r>
          </w:p>
        </w:tc>
        <w:tc>
          <w:tcPr>
            <w:tcW w:type="dxa" w:w="1800"/>
            <w:tcMar>
              <w:top w:w="80" w:type="dxa"/>
              <w:start w:w="100" w:type="dxa"/>
              <w:bottom w:w="80" w:type="dxa"/>
              <w:end w:w="100" w:type="dxa"/>
            </w:tcMar>
            <w:vAlign w:val="top"/>
          </w:tcPr>
          <w:p>
            <w:r>
              <w:rPr>
                <w:rFonts w:ascii="Times New Roman" w:hAnsi="Times New Roman" w:eastAsia="Times New Roman" w:cs="Times New Roman"/>
                <w:color w:val="000000"/>
                <w:sz w:val="15"/>
              </w:rPr>
              <w:t>Retention rate; repeat purchase rate; customer lifetime value.</w:t>
            </w:r>
          </w:p>
        </w:tc>
      </w:tr>
      <w:tr>
        <w:tc>
          <w:tcPr>
            <w:tcW w:type="dxa" w:w="2232"/>
            <w:tcMar>
              <w:top w:w="80" w:type="dxa"/>
              <w:start w:w="100" w:type="dxa"/>
              <w:bottom w:w="80" w:type="dxa"/>
              <w:end w:w="100" w:type="dxa"/>
            </w:tcMar>
            <w:vAlign w:val="top"/>
            <w:shd w:fill="F7F7F7"/>
          </w:tcPr>
          <w:p>
            <w:r>
              <w:rPr>
                <w:rFonts w:ascii="Times New Roman" w:hAnsi="Times New Roman" w:eastAsia="Times New Roman" w:cs="Times New Roman"/>
                <w:color w:val="000000"/>
                <w:sz w:val="15"/>
              </w:rPr>
              <w:t>2. Develop country-specific performance playbooks</w:t>
            </w:r>
          </w:p>
        </w:tc>
        <w:tc>
          <w:tcPr>
            <w:tcW w:type="dxa" w:w="3168"/>
            <w:tcMar>
              <w:top w:w="80" w:type="dxa"/>
              <w:start w:w="100" w:type="dxa"/>
              <w:bottom w:w="80" w:type="dxa"/>
              <w:end w:w="100" w:type="dxa"/>
            </w:tcMar>
            <w:vAlign w:val="top"/>
            <w:shd w:fill="F7F7F7"/>
          </w:tcPr>
          <w:p>
            <w:r>
              <w:rPr>
                <w:rFonts w:ascii="Times New Roman" w:hAnsi="Times New Roman" w:eastAsia="Times New Roman" w:cs="Times New Roman"/>
                <w:color w:val="000000"/>
                <w:sz w:val="15"/>
              </w:rPr>
              <w:t>The UK contributes the majority of revenue, and Week 3 found significant differences among selected country groups.</w:t>
            </w:r>
          </w:p>
        </w:tc>
        <w:tc>
          <w:tcPr>
            <w:tcW w:type="dxa" w:w="3672"/>
            <w:tcMar>
              <w:top w:w="80" w:type="dxa"/>
              <w:start w:w="100" w:type="dxa"/>
              <w:bottom w:w="80" w:type="dxa"/>
              <w:end w:w="100" w:type="dxa"/>
            </w:tcMar>
            <w:vAlign w:val="top"/>
            <w:shd w:fill="F7F7F7"/>
          </w:tcPr>
          <w:p>
            <w:r>
              <w:rPr>
                <w:rFonts w:ascii="Times New Roman" w:hAnsi="Times New Roman" w:eastAsia="Times New Roman" w:cs="Times New Roman"/>
                <w:color w:val="000000"/>
                <w:sz w:val="15"/>
              </w:rPr>
              <w:t>Review product mix, order size, frequency, service levels and cancellation patterns by market rather than using one international strategy.</w:t>
            </w:r>
          </w:p>
        </w:tc>
        <w:tc>
          <w:tcPr>
            <w:tcW w:type="dxa" w:w="1800"/>
            <w:tcMar>
              <w:top w:w="80" w:type="dxa"/>
              <w:start w:w="100" w:type="dxa"/>
              <w:bottom w:w="80" w:type="dxa"/>
              <w:end w:w="100" w:type="dxa"/>
            </w:tcMar>
            <w:vAlign w:val="top"/>
            <w:shd w:fill="F7F7F7"/>
          </w:tcPr>
          <w:p>
            <w:r>
              <w:rPr>
                <w:rFonts w:ascii="Times New Roman" w:hAnsi="Times New Roman" w:eastAsia="Times New Roman" w:cs="Times New Roman"/>
                <w:color w:val="000000"/>
                <w:sz w:val="15"/>
              </w:rPr>
              <w:t>Revenue per market; order value; repeat rate; cancellation rate.</w:t>
            </w:r>
          </w:p>
        </w:tc>
      </w:tr>
      <w:tr>
        <w:tc>
          <w:tcPr>
            <w:tcW w:type="dxa" w:w="2232"/>
            <w:tcMar>
              <w:top w:w="80" w:type="dxa"/>
              <w:start w:w="100" w:type="dxa"/>
              <w:bottom w:w="80" w:type="dxa"/>
              <w:end w:w="100" w:type="dxa"/>
            </w:tcMar>
            <w:vAlign w:val="top"/>
          </w:tcPr>
          <w:p>
            <w:r>
              <w:rPr>
                <w:rFonts w:ascii="Times New Roman" w:hAnsi="Times New Roman" w:eastAsia="Times New Roman" w:cs="Times New Roman"/>
                <w:color w:val="000000"/>
                <w:sz w:val="15"/>
              </w:rPr>
              <w:t>3. Investigate cancellation drivers by market</w:t>
            </w:r>
          </w:p>
        </w:tc>
        <w:tc>
          <w:tcPr>
            <w:tcW w:type="dxa" w:w="3168"/>
            <w:tcMar>
              <w:top w:w="80" w:type="dxa"/>
              <w:start w:w="100" w:type="dxa"/>
              <w:bottom w:w="80" w:type="dxa"/>
              <w:end w:w="100" w:type="dxa"/>
            </w:tcMar>
            <w:vAlign w:val="top"/>
          </w:tcPr>
          <w:p>
            <w:r>
              <w:rPr>
                <w:rFonts w:ascii="Times New Roman" w:hAnsi="Times New Roman" w:eastAsia="Times New Roman" w:cs="Times New Roman"/>
                <w:color w:val="000000"/>
                <w:sz w:val="15"/>
              </w:rPr>
              <w:t>Chi-Square found a strong association between country and cancellation status, but did not establish the cause.</w:t>
            </w:r>
          </w:p>
        </w:tc>
        <w:tc>
          <w:tcPr>
            <w:tcW w:type="dxa" w:w="3672"/>
            <w:tcMar>
              <w:top w:w="80" w:type="dxa"/>
              <w:start w:w="100" w:type="dxa"/>
              <w:bottom w:w="80" w:type="dxa"/>
              <w:end w:w="100" w:type="dxa"/>
            </w:tcMar>
            <w:vAlign w:val="top"/>
          </w:tcPr>
          <w:p>
            <w:r>
              <w:rPr>
                <w:rFonts w:ascii="Times New Roman" w:hAnsi="Times New Roman" w:eastAsia="Times New Roman" w:cs="Times New Roman"/>
                <w:color w:val="000000"/>
                <w:sz w:val="15"/>
              </w:rPr>
              <w:t>Conduct follow-up analysis using delivery time, stock availability, product category, order value and customer history.</w:t>
            </w:r>
          </w:p>
        </w:tc>
        <w:tc>
          <w:tcPr>
            <w:tcW w:type="dxa" w:w="1800"/>
            <w:tcMar>
              <w:top w:w="80" w:type="dxa"/>
              <w:start w:w="100" w:type="dxa"/>
              <w:bottom w:w="80" w:type="dxa"/>
              <w:end w:w="100" w:type="dxa"/>
            </w:tcMar>
            <w:vAlign w:val="top"/>
          </w:tcPr>
          <w:p>
            <w:r>
              <w:rPr>
                <w:rFonts w:ascii="Times New Roman" w:hAnsi="Times New Roman" w:eastAsia="Times New Roman" w:cs="Times New Roman"/>
                <w:color w:val="000000"/>
                <w:sz w:val="15"/>
              </w:rPr>
              <w:t>Cancellation rate; reason mix; fulfilment delay; stock-out rate.</w:t>
            </w:r>
          </w:p>
        </w:tc>
      </w:tr>
      <w:tr>
        <w:tc>
          <w:tcPr>
            <w:tcW w:type="dxa" w:w="2232"/>
            <w:tcMar>
              <w:top w:w="80" w:type="dxa"/>
              <w:start w:w="100" w:type="dxa"/>
              <w:bottom w:w="80" w:type="dxa"/>
              <w:end w:w="100" w:type="dxa"/>
            </w:tcMar>
            <w:vAlign w:val="top"/>
            <w:shd w:fill="F7F7F7"/>
          </w:tcPr>
          <w:p>
            <w:r>
              <w:rPr>
                <w:rFonts w:ascii="Times New Roman" w:hAnsi="Times New Roman" w:eastAsia="Times New Roman" w:cs="Times New Roman"/>
                <w:color w:val="000000"/>
                <w:sz w:val="15"/>
              </w:rPr>
              <w:t>4. Use revenue and activity patterns for operational planning</w:t>
            </w:r>
          </w:p>
        </w:tc>
        <w:tc>
          <w:tcPr>
            <w:tcW w:type="dxa" w:w="3168"/>
            <w:tcMar>
              <w:top w:w="80" w:type="dxa"/>
              <w:start w:w="100" w:type="dxa"/>
              <w:bottom w:w="80" w:type="dxa"/>
              <w:end w:w="100" w:type="dxa"/>
            </w:tcMar>
            <w:vAlign w:val="top"/>
            <w:shd w:fill="F7F7F7"/>
          </w:tcPr>
          <w:p>
            <w:r>
              <w:rPr>
                <w:rFonts w:ascii="Times New Roman" w:hAnsi="Times New Roman" w:eastAsia="Times New Roman" w:cs="Times New Roman"/>
                <w:color w:val="000000"/>
                <w:sz w:val="15"/>
              </w:rPr>
              <w:t>Revenue varies by month and transaction activity is concentrated during particular day/hour periods.</w:t>
            </w:r>
          </w:p>
        </w:tc>
        <w:tc>
          <w:tcPr>
            <w:tcW w:type="dxa" w:w="3672"/>
            <w:tcMar>
              <w:top w:w="80" w:type="dxa"/>
              <w:start w:w="100" w:type="dxa"/>
              <w:bottom w:w="80" w:type="dxa"/>
              <w:end w:w="100" w:type="dxa"/>
            </w:tcMar>
            <w:vAlign w:val="top"/>
            <w:shd w:fill="F7F7F7"/>
          </w:tcPr>
          <w:p>
            <w:r>
              <w:rPr>
                <w:rFonts w:ascii="Times New Roman" w:hAnsi="Times New Roman" w:eastAsia="Times New Roman" w:cs="Times New Roman"/>
                <w:color w:val="000000"/>
                <w:sz w:val="15"/>
              </w:rPr>
              <w:t>Use historical patterns to support staffing, customer-service coverage, inventory planning and promotion timing.</w:t>
            </w:r>
          </w:p>
        </w:tc>
        <w:tc>
          <w:tcPr>
            <w:tcW w:type="dxa" w:w="1800"/>
            <w:tcMar>
              <w:top w:w="80" w:type="dxa"/>
              <w:start w:w="100" w:type="dxa"/>
              <w:bottom w:w="80" w:type="dxa"/>
              <w:end w:w="100" w:type="dxa"/>
            </w:tcMar>
            <w:vAlign w:val="top"/>
            <w:shd w:fill="F7F7F7"/>
          </w:tcPr>
          <w:p>
            <w:r>
              <w:rPr>
                <w:rFonts w:ascii="Times New Roman" w:hAnsi="Times New Roman" w:eastAsia="Times New Roman" w:cs="Times New Roman"/>
                <w:color w:val="000000"/>
                <w:sz w:val="15"/>
              </w:rPr>
              <w:t>Peak-period service level; inventory availability; revenue per active period.</w:t>
            </w:r>
          </w:p>
        </w:tc>
      </w:tr>
      <w:tr>
        <w:tc>
          <w:tcPr>
            <w:tcW w:type="dxa" w:w="2232"/>
            <w:tcMar>
              <w:top w:w="80" w:type="dxa"/>
              <w:start w:w="100" w:type="dxa"/>
              <w:bottom w:w="80" w:type="dxa"/>
              <w:end w:w="100" w:type="dxa"/>
            </w:tcMar>
            <w:vAlign w:val="top"/>
          </w:tcPr>
          <w:p>
            <w:r>
              <w:rPr>
                <w:rFonts w:ascii="Times New Roman" w:hAnsi="Times New Roman" w:eastAsia="Times New Roman" w:cs="Times New Roman"/>
                <w:color w:val="000000"/>
                <w:sz w:val="15"/>
              </w:rPr>
              <w:t>5. Monitor high-revenue products separately</w:t>
            </w:r>
          </w:p>
        </w:tc>
        <w:tc>
          <w:tcPr>
            <w:tcW w:type="dxa" w:w="3168"/>
            <w:tcMar>
              <w:top w:w="80" w:type="dxa"/>
              <w:start w:w="100" w:type="dxa"/>
              <w:bottom w:w="80" w:type="dxa"/>
              <w:end w:w="100" w:type="dxa"/>
            </w:tcMar>
            <w:vAlign w:val="top"/>
          </w:tcPr>
          <w:p>
            <w:r>
              <w:rPr>
                <w:rFonts w:ascii="Times New Roman" w:hAnsi="Times New Roman" w:eastAsia="Times New Roman" w:cs="Times New Roman"/>
                <w:color w:val="000000"/>
                <w:sz w:val="15"/>
              </w:rPr>
              <w:t>A small set of products contributes substantial revenue; REGENCY CAKESTAND 3 TIER leads the product analysis.</w:t>
            </w:r>
          </w:p>
        </w:tc>
        <w:tc>
          <w:tcPr>
            <w:tcW w:type="dxa" w:w="3672"/>
            <w:tcMar>
              <w:top w:w="80" w:type="dxa"/>
              <w:start w:w="100" w:type="dxa"/>
              <w:bottom w:w="80" w:type="dxa"/>
              <w:end w:w="100" w:type="dxa"/>
            </w:tcMar>
            <w:vAlign w:val="top"/>
          </w:tcPr>
          <w:p>
            <w:r>
              <w:rPr>
                <w:rFonts w:ascii="Times New Roman" w:hAnsi="Times New Roman" w:eastAsia="Times New Roman" w:cs="Times New Roman"/>
                <w:color w:val="000000"/>
                <w:sz w:val="15"/>
              </w:rPr>
              <w:t>Create a high-revenue product watchlist covering availability, sales volume, margin where available, and cancellation/return behaviour.</w:t>
            </w:r>
          </w:p>
        </w:tc>
        <w:tc>
          <w:tcPr>
            <w:tcW w:type="dxa" w:w="1800"/>
            <w:tcMar>
              <w:top w:w="80" w:type="dxa"/>
              <w:start w:w="100" w:type="dxa"/>
              <w:bottom w:w="80" w:type="dxa"/>
              <w:end w:w="100" w:type="dxa"/>
            </w:tcMar>
            <w:vAlign w:val="top"/>
          </w:tcPr>
          <w:p>
            <w:r>
              <w:rPr>
                <w:rFonts w:ascii="Times New Roman" w:hAnsi="Times New Roman" w:eastAsia="Times New Roman" w:cs="Times New Roman"/>
                <w:color w:val="000000"/>
                <w:sz w:val="15"/>
              </w:rPr>
              <w:t>Stock-out frequency; product revenue; units sold; return/cancellation rate.</w:t>
            </w:r>
          </w:p>
        </w:tc>
      </w:tr>
      <w:tr>
        <w:tc>
          <w:tcPr>
            <w:tcW w:type="dxa" w:w="2232"/>
            <w:tcMar>
              <w:top w:w="80" w:type="dxa"/>
              <w:start w:w="100" w:type="dxa"/>
              <w:bottom w:w="80" w:type="dxa"/>
              <w:end w:w="100" w:type="dxa"/>
            </w:tcMar>
            <w:vAlign w:val="top"/>
            <w:shd w:fill="F7F7F7"/>
          </w:tcPr>
          <w:p>
            <w:r>
              <w:rPr>
                <w:rFonts w:ascii="Times New Roman" w:hAnsi="Times New Roman" w:eastAsia="Times New Roman" w:cs="Times New Roman"/>
                <w:color w:val="000000"/>
                <w:sz w:val="15"/>
              </w:rPr>
              <w:t>6. Standardise decision-ready dashboards</w:t>
            </w:r>
          </w:p>
        </w:tc>
        <w:tc>
          <w:tcPr>
            <w:tcW w:type="dxa" w:w="3168"/>
            <w:tcMar>
              <w:top w:w="80" w:type="dxa"/>
              <w:start w:w="100" w:type="dxa"/>
              <w:bottom w:w="80" w:type="dxa"/>
              <w:end w:w="100" w:type="dxa"/>
            </w:tcMar>
            <w:vAlign w:val="top"/>
            <w:shd w:fill="F7F7F7"/>
          </w:tcPr>
          <w:p>
            <w:r>
              <w:rPr>
                <w:rFonts w:ascii="Times New Roman" w:hAnsi="Times New Roman" w:eastAsia="Times New Roman" w:cs="Times New Roman"/>
                <w:color w:val="000000"/>
                <w:sz w:val="15"/>
              </w:rPr>
              <w:t>Week 2 demonstrated that time, country, product, customer and activity views reveal different parts of performance.</w:t>
            </w:r>
          </w:p>
        </w:tc>
        <w:tc>
          <w:tcPr>
            <w:tcW w:type="dxa" w:w="3672"/>
            <w:tcMar>
              <w:top w:w="80" w:type="dxa"/>
              <w:start w:w="100" w:type="dxa"/>
              <w:bottom w:w="80" w:type="dxa"/>
              <w:end w:w="100" w:type="dxa"/>
            </w:tcMar>
            <w:vAlign w:val="top"/>
            <w:shd w:fill="F7F7F7"/>
          </w:tcPr>
          <w:p>
            <w:r>
              <w:rPr>
                <w:rFonts w:ascii="Times New Roman" w:hAnsi="Times New Roman" w:eastAsia="Times New Roman" w:cs="Times New Roman"/>
                <w:color w:val="000000"/>
                <w:sz w:val="15"/>
              </w:rPr>
              <w:t>Combine recurring indicators into an interactive dashboard with filters for time, country, product and customer segment.</w:t>
            </w:r>
          </w:p>
        </w:tc>
        <w:tc>
          <w:tcPr>
            <w:tcW w:type="dxa" w:w="1800"/>
            <w:tcMar>
              <w:top w:w="80" w:type="dxa"/>
              <w:start w:w="100" w:type="dxa"/>
              <w:bottom w:w="80" w:type="dxa"/>
              <w:end w:w="100" w:type="dxa"/>
            </w:tcMar>
            <w:vAlign w:val="top"/>
            <w:shd w:fill="F7F7F7"/>
          </w:tcPr>
          <w:p>
            <w:r>
              <w:rPr>
                <w:rFonts w:ascii="Times New Roman" w:hAnsi="Times New Roman" w:eastAsia="Times New Roman" w:cs="Times New Roman"/>
                <w:color w:val="000000"/>
                <w:sz w:val="15"/>
              </w:rPr>
              <w:t>Dashboard adoption; reporting time saved; KPI coverage.</w:t>
            </w:r>
          </w:p>
        </w:tc>
      </w:tr>
      <w:tr>
        <w:tc>
          <w:tcPr>
            <w:tcW w:type="dxa" w:w="2232"/>
            <w:tcMar>
              <w:top w:w="80" w:type="dxa"/>
              <w:start w:w="100" w:type="dxa"/>
              <w:bottom w:w="80" w:type="dxa"/>
              <w:end w:w="100" w:type="dxa"/>
            </w:tcMar>
            <w:vAlign w:val="top"/>
          </w:tcPr>
          <w:p>
            <w:r>
              <w:rPr>
                <w:rFonts w:ascii="Times New Roman" w:hAnsi="Times New Roman" w:eastAsia="Times New Roman" w:cs="Times New Roman"/>
                <w:color w:val="000000"/>
                <w:sz w:val="15"/>
              </w:rPr>
              <w:t>7. Validate machine-learning models before real deployment</w:t>
            </w:r>
          </w:p>
        </w:tc>
        <w:tc>
          <w:tcPr>
            <w:tcW w:type="dxa" w:w="3168"/>
            <w:tcMar>
              <w:top w:w="80" w:type="dxa"/>
              <w:start w:w="100" w:type="dxa"/>
              <w:bottom w:w="80" w:type="dxa"/>
              <w:end w:w="100" w:type="dxa"/>
            </w:tcMar>
            <w:vAlign w:val="top"/>
          </w:tcPr>
          <w:p>
            <w:r>
              <w:rPr>
                <w:rFonts w:ascii="Times New Roman" w:hAnsi="Times New Roman" w:eastAsia="Times New Roman" w:cs="Times New Roman"/>
                <w:color w:val="000000"/>
                <w:sz w:val="15"/>
              </w:rPr>
              <w:t>Week 4 Logistic Regression performed strongly, but the result comes from one academic dataset and controlled experiment.</w:t>
            </w:r>
          </w:p>
        </w:tc>
        <w:tc>
          <w:tcPr>
            <w:tcW w:type="dxa" w:w="3672"/>
            <w:tcMar>
              <w:top w:w="80" w:type="dxa"/>
              <w:start w:w="100" w:type="dxa"/>
              <w:bottom w:w="80" w:type="dxa"/>
              <w:end w:w="100" w:type="dxa"/>
            </w:tcMar>
            <w:vAlign w:val="top"/>
          </w:tcPr>
          <w:p>
            <w:r>
              <w:rPr>
                <w:rFonts w:ascii="Times New Roman" w:hAnsi="Times New Roman" w:eastAsia="Times New Roman" w:cs="Times New Roman"/>
                <w:color w:val="000000"/>
                <w:sz w:val="15"/>
              </w:rPr>
              <w:t>Use external validation, broader data, hyperparameter tuning, calibration, model monitoring and domain review before production use.</w:t>
            </w:r>
          </w:p>
        </w:tc>
        <w:tc>
          <w:tcPr>
            <w:tcW w:type="dxa" w:w="1800"/>
            <w:tcMar>
              <w:top w:w="80" w:type="dxa"/>
              <w:start w:w="100" w:type="dxa"/>
              <w:bottom w:w="80" w:type="dxa"/>
              <w:end w:w="100" w:type="dxa"/>
            </w:tcMar>
            <w:vAlign w:val="top"/>
          </w:tcPr>
          <w:p>
            <w:r>
              <w:rPr>
                <w:rFonts w:ascii="Times New Roman" w:hAnsi="Times New Roman" w:eastAsia="Times New Roman" w:cs="Times New Roman"/>
                <w:color w:val="000000"/>
                <w:sz w:val="15"/>
              </w:rPr>
              <w:t>External validation performance; calibration; error rate; model drift.</w:t>
            </w:r>
          </w:p>
        </w:tc>
      </w:tr>
    </w:tbl>
    <w:p>
      <w:pPr>
        <w:spacing w:after="40"/>
      </w:pPr>
    </w:p>
    <w:tbl>
      <w:tblPr>
        <w:tblW w:type="auto" w:w="0"/>
        <w:jc w:val="center"/>
        <w:tblLook w:firstColumn="1" w:firstRow="1" w:lastColumn="0" w:lastRow="0" w:noHBand="0" w:noVBand="1" w:val="04A0"/>
      </w:tblPr>
      <w:tblGrid>
        <w:gridCol w:w="10080"/>
      </w:tblGrid>
      <w:tr>
        <w:tc>
          <w:tcPr>
            <w:tcW w:type="dxa" w:w="10080"/>
            <w:shd w:fill="F2F2F2"/>
            <w:tcMar>
              <w:top w:w="120" w:type="dxa"/>
              <w:start w:w="140" w:type="dxa"/>
              <w:bottom w:w="120" w:type="dxa"/>
              <w:end w:w="140" w:type="dxa"/>
            </w:tcMar>
          </w:tcPr>
          <w:p>
            <w:r>
              <w:rPr>
                <w:rFonts w:ascii="Times New Roman" w:hAnsi="Times New Roman" w:eastAsia="Times New Roman" w:cs="Times New Roman"/>
                <w:b/>
                <w:color w:val="000000"/>
              </w:rPr>
              <w:t>Strategic principle</w:t>
            </w:r>
            <w:r>
              <w:rPr>
                <w:rFonts w:ascii="Times New Roman" w:hAnsi="Times New Roman" w:eastAsia="Times New Roman" w:cs="Times New Roman"/>
                <w:color w:val="000000"/>
              </w:rPr>
              <w:br/>
              <w:t>Dashboards explain what is happening; statistical tests help establish whether selected differences are supported by evidence; predictive models estimate outcomes under a defined modelling problem. The strongest decision process uses all three appropriately.</w:t>
            </w:r>
          </w:p>
        </w:tc>
      </w:tr>
    </w:tbl>
    <w:p>
      <w:pPr>
        <w:spacing w:after="40"/>
      </w:pP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9. Business and Research Impact</w:t>
      </w:r>
    </w:p>
    <w:p>
      <w:pPr>
        <w:pStyle w:val="Heading2"/>
      </w:pPr>
      <w:r>
        <w:rPr>
          <w:rFonts w:ascii="Times New Roman" w:hAnsi="Times New Roman" w:eastAsia="Times New Roman" w:cs="Times New Roman"/>
          <w:color w:val="000000"/>
        </w:rPr>
        <w:t>9.1 Business Impact</w:t>
      </w:r>
    </w:p>
    <w:p>
      <w:pPr>
        <w:pStyle w:val="ListBullet"/>
        <w:spacing w:after="60"/>
      </w:pPr>
      <w:r>
        <w:rPr>
          <w:rFonts w:ascii="Times New Roman" w:hAnsi="Times New Roman" w:eastAsia="Times New Roman" w:cs="Times New Roman"/>
          <w:color w:val="000000"/>
        </w:rPr>
        <w:t>Customer analytics can support targeted retention instead of treating all customers identically.</w:t>
      </w:r>
    </w:p>
    <w:p>
      <w:pPr>
        <w:pStyle w:val="ListBullet"/>
        <w:spacing w:after="60"/>
      </w:pPr>
      <w:r>
        <w:rPr>
          <w:rFonts w:ascii="Times New Roman" w:hAnsi="Times New Roman" w:eastAsia="Times New Roman" w:cs="Times New Roman"/>
          <w:color w:val="000000"/>
        </w:rPr>
        <w:t>Country-level analysis can help organisations prioritise markets and investigate differences in order behaviour.</w:t>
      </w:r>
    </w:p>
    <w:p>
      <w:pPr>
        <w:pStyle w:val="ListBullet"/>
        <w:spacing w:after="60"/>
      </w:pPr>
      <w:r>
        <w:rPr>
          <w:rFonts w:ascii="Times New Roman" w:hAnsi="Times New Roman" w:eastAsia="Times New Roman" w:cs="Times New Roman"/>
          <w:color w:val="000000"/>
        </w:rPr>
        <w:t>Cancellation analysis can guide operational investigation into fulfilment, availability and customer-experience issues.</w:t>
      </w:r>
    </w:p>
    <w:p>
      <w:pPr>
        <w:pStyle w:val="ListBullet"/>
        <w:spacing w:after="60"/>
      </w:pPr>
      <w:r>
        <w:rPr>
          <w:rFonts w:ascii="Times New Roman" w:hAnsi="Times New Roman" w:eastAsia="Times New Roman" w:cs="Times New Roman"/>
          <w:color w:val="000000"/>
        </w:rPr>
        <w:t>Time-based revenue and activity patterns can improve planning for staffing, inventory and promotions.</w:t>
      </w:r>
    </w:p>
    <w:p>
      <w:pPr>
        <w:pStyle w:val="ListBullet"/>
        <w:spacing w:after="60"/>
      </w:pPr>
      <w:r>
        <w:rPr>
          <w:rFonts w:ascii="Times New Roman" w:hAnsi="Times New Roman" w:eastAsia="Times New Roman" w:cs="Times New Roman"/>
          <w:color w:val="000000"/>
        </w:rPr>
        <w:t>A decision-ready dashboard can reduce the time required to repeatedly interpret raw transaction data.</w:t>
      </w:r>
    </w:p>
    <w:p>
      <w:pPr>
        <w:pStyle w:val="Heading2"/>
      </w:pPr>
      <w:r>
        <w:rPr>
          <w:rFonts w:ascii="Times New Roman" w:hAnsi="Times New Roman" w:eastAsia="Times New Roman" w:cs="Times New Roman"/>
          <w:color w:val="000000"/>
        </w:rPr>
        <w:t>9.2 Research and Analytical Impact</w:t>
      </w:r>
    </w:p>
    <w:p>
      <w:pPr>
        <w:pStyle w:val="ListBullet"/>
        <w:spacing w:after="60"/>
      </w:pPr>
      <w:r>
        <w:rPr>
          <w:rFonts w:ascii="Times New Roman" w:hAnsi="Times New Roman" w:eastAsia="Times New Roman" w:cs="Times New Roman"/>
          <w:color w:val="000000"/>
        </w:rPr>
        <w:t>The project demonstrates how exploratory findings can be followed by formal statistical validation.</w:t>
      </w:r>
    </w:p>
    <w:p>
      <w:pPr>
        <w:pStyle w:val="ListBullet"/>
        <w:spacing w:after="60"/>
      </w:pPr>
      <w:r>
        <w:rPr>
          <w:rFonts w:ascii="Times New Roman" w:hAnsi="Times New Roman" w:eastAsia="Times New Roman" w:cs="Times New Roman"/>
          <w:color w:val="000000"/>
        </w:rPr>
        <w:t>The use of log transformation illustrates how skewed transaction data can require thoughtful statistical preparation.</w:t>
      </w:r>
    </w:p>
    <w:p>
      <w:pPr>
        <w:pStyle w:val="ListBullet"/>
        <w:spacing w:after="60"/>
      </w:pPr>
      <w:r>
        <w:rPr>
          <w:rFonts w:ascii="Times New Roman" w:hAnsi="Times New Roman" w:eastAsia="Times New Roman" w:cs="Times New Roman"/>
          <w:color w:val="000000"/>
        </w:rPr>
        <w:t>The Week 4 modelling study demonstrates that model selection should consider multiple metrics and generalisation rather than accuracy alone.</w:t>
      </w:r>
    </w:p>
    <w:p>
      <w:pPr>
        <w:pStyle w:val="ListBullet"/>
        <w:spacing w:after="60"/>
      </w:pPr>
      <w:r>
        <w:rPr>
          <w:rFonts w:ascii="Times New Roman" w:hAnsi="Times New Roman" w:eastAsia="Times New Roman" w:cs="Times New Roman"/>
          <w:color w:val="000000"/>
        </w:rPr>
        <w:t>The project highlights the importance of separating association from causation and test performance from deployment readiness.</w:t>
      </w:r>
    </w:p>
    <w:p>
      <w:pPr>
        <w:pStyle w:val="Heading2"/>
      </w:pPr>
      <w:r>
        <w:rPr>
          <w:rFonts w:ascii="Times New Roman" w:hAnsi="Times New Roman" w:eastAsia="Times New Roman" w:cs="Times New Roman"/>
          <w:color w:val="000000"/>
        </w:rPr>
        <w:t>9.3 Stakeholder Value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D9E2F3"/>
            <w:tcMar>
              <w:top w:w="80" w:type="dxa"/>
              <w:start w:w="100" w:type="dxa"/>
              <w:bottom w:w="80" w:type="dxa"/>
              <w:end w:w="100" w:type="dxa"/>
            </w:tcMar>
            <w:vAlign w:val="center"/>
          </w:tcPr>
          <w:p>
            <w:r>
              <w:rPr>
                <w:rFonts w:ascii="Times New Roman" w:hAnsi="Times New Roman" w:eastAsia="Times New Roman" w:cs="Times New Roman"/>
                <w:b/>
                <w:color w:val="000000"/>
                <w:sz w:val="17"/>
              </w:rPr>
              <w:t>Stakeholder</w:t>
            </w:r>
          </w:p>
        </w:tc>
        <w:tc>
          <w:tcPr>
            <w:tcW w:type="dxa" w:w="3600"/>
            <w:shd w:fill="D9E2F3"/>
            <w:tcMar>
              <w:top w:w="80" w:type="dxa"/>
              <w:start w:w="100" w:type="dxa"/>
              <w:bottom w:w="80" w:type="dxa"/>
              <w:end w:w="100" w:type="dxa"/>
            </w:tcMar>
            <w:vAlign w:val="center"/>
          </w:tcPr>
          <w:p>
            <w:r>
              <w:rPr>
                <w:rFonts w:ascii="Times New Roman" w:hAnsi="Times New Roman" w:eastAsia="Times New Roman" w:cs="Times New Roman"/>
                <w:b/>
                <w:color w:val="000000"/>
                <w:sz w:val="17"/>
              </w:rPr>
              <w:t>Useful insight</w:t>
            </w:r>
          </w:p>
        </w:tc>
        <w:tc>
          <w:tcPr>
            <w:tcW w:type="dxa" w:w="4320"/>
            <w:shd w:fill="D9E2F3"/>
            <w:tcMar>
              <w:top w:w="80" w:type="dxa"/>
              <w:start w:w="100" w:type="dxa"/>
              <w:bottom w:w="80" w:type="dxa"/>
              <w:end w:w="100" w:type="dxa"/>
            </w:tcMar>
            <w:vAlign w:val="center"/>
          </w:tcPr>
          <w:p>
            <w:r>
              <w:rPr>
                <w:rFonts w:ascii="Times New Roman" w:hAnsi="Times New Roman" w:eastAsia="Times New Roman" w:cs="Times New Roman"/>
                <w:b/>
                <w:color w:val="000000"/>
                <w:sz w:val="17"/>
              </w:rPr>
              <w:t>Potential decision</w:t>
            </w:r>
          </w:p>
        </w:tc>
      </w:tr>
      <w:tr>
        <w:tc>
          <w:tcPr>
            <w:tcW w:type="dxa" w:w="2016"/>
            <w:tcMar>
              <w:top w:w="80" w:type="dxa"/>
              <w:start w:w="100" w:type="dxa"/>
              <w:bottom w:w="80" w:type="dxa"/>
              <w:end w:w="100" w:type="dxa"/>
            </w:tcMar>
            <w:vAlign w:val="top"/>
          </w:tcPr>
          <w:p>
            <w:r>
              <w:rPr>
                <w:rFonts w:ascii="Times New Roman" w:hAnsi="Times New Roman" w:eastAsia="Times New Roman" w:cs="Times New Roman"/>
                <w:color w:val="000000"/>
                <w:sz w:val="17"/>
              </w:rPr>
              <w:t>Business / Management</w:t>
            </w:r>
          </w:p>
        </w:tc>
        <w:tc>
          <w:tcPr>
            <w:tcW w:type="dxa" w:w="3600"/>
            <w:tcMar>
              <w:top w:w="80" w:type="dxa"/>
              <w:start w:w="100" w:type="dxa"/>
              <w:bottom w:w="80" w:type="dxa"/>
              <w:end w:w="100" w:type="dxa"/>
            </w:tcMar>
            <w:vAlign w:val="top"/>
          </w:tcPr>
          <w:p>
            <w:r>
              <w:rPr>
                <w:rFonts w:ascii="Times New Roman" w:hAnsi="Times New Roman" w:eastAsia="Times New Roman" w:cs="Times New Roman"/>
                <w:color w:val="000000"/>
                <w:sz w:val="17"/>
              </w:rPr>
              <w:t>Revenue concentration and trends</w:t>
            </w:r>
          </w:p>
        </w:tc>
        <w:tc>
          <w:tcPr>
            <w:tcW w:type="dxa" w:w="4320"/>
            <w:tcMar>
              <w:top w:w="80" w:type="dxa"/>
              <w:start w:w="100" w:type="dxa"/>
              <w:bottom w:w="80" w:type="dxa"/>
              <w:end w:w="100" w:type="dxa"/>
            </w:tcMar>
            <w:vAlign w:val="top"/>
          </w:tcPr>
          <w:p>
            <w:r>
              <w:rPr>
                <w:rFonts w:ascii="Times New Roman" w:hAnsi="Times New Roman" w:eastAsia="Times New Roman" w:cs="Times New Roman"/>
                <w:color w:val="000000"/>
                <w:sz w:val="17"/>
              </w:rPr>
              <w:t>Market, inventory and growth priorities</w:t>
            </w:r>
          </w:p>
        </w:tc>
      </w:tr>
      <w:tr>
        <w:tc>
          <w:tcPr>
            <w:tcW w:type="dxa" w:w="2016"/>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Marketing</w:t>
            </w:r>
          </w:p>
        </w:tc>
        <w:tc>
          <w:tcPr>
            <w:tcW w:type="dxa" w:w="3600"/>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Customer-value differences</w:t>
            </w:r>
          </w:p>
        </w:tc>
        <w:tc>
          <w:tcPr>
            <w:tcW w:type="dxa" w:w="4320"/>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Targeted retention and engagement</w:t>
            </w:r>
          </w:p>
        </w:tc>
      </w:tr>
      <w:tr>
        <w:tc>
          <w:tcPr>
            <w:tcW w:type="dxa" w:w="2016"/>
            <w:tcMar>
              <w:top w:w="80" w:type="dxa"/>
              <w:start w:w="100" w:type="dxa"/>
              <w:bottom w:w="80" w:type="dxa"/>
              <w:end w:w="100" w:type="dxa"/>
            </w:tcMar>
            <w:vAlign w:val="top"/>
          </w:tcPr>
          <w:p>
            <w:r>
              <w:rPr>
                <w:rFonts w:ascii="Times New Roman" w:hAnsi="Times New Roman" w:eastAsia="Times New Roman" w:cs="Times New Roman"/>
                <w:color w:val="000000"/>
                <w:sz w:val="17"/>
              </w:rPr>
              <w:t>Operations</w:t>
            </w:r>
          </w:p>
        </w:tc>
        <w:tc>
          <w:tcPr>
            <w:tcW w:type="dxa" w:w="3600"/>
            <w:tcMar>
              <w:top w:w="80" w:type="dxa"/>
              <w:start w:w="100" w:type="dxa"/>
              <w:bottom w:w="80" w:type="dxa"/>
              <w:end w:w="100" w:type="dxa"/>
            </w:tcMar>
            <w:vAlign w:val="top"/>
          </w:tcPr>
          <w:p>
            <w:r>
              <w:rPr>
                <w:rFonts w:ascii="Times New Roman" w:hAnsi="Times New Roman" w:eastAsia="Times New Roman" w:cs="Times New Roman"/>
                <w:color w:val="000000"/>
                <w:sz w:val="17"/>
              </w:rPr>
              <w:t>Activity and cancellation patterns</w:t>
            </w:r>
          </w:p>
        </w:tc>
        <w:tc>
          <w:tcPr>
            <w:tcW w:type="dxa" w:w="4320"/>
            <w:tcMar>
              <w:top w:w="80" w:type="dxa"/>
              <w:start w:w="100" w:type="dxa"/>
              <w:bottom w:w="80" w:type="dxa"/>
              <w:end w:w="100" w:type="dxa"/>
            </w:tcMar>
            <w:vAlign w:val="top"/>
          </w:tcPr>
          <w:p>
            <w:r>
              <w:rPr>
                <w:rFonts w:ascii="Times New Roman" w:hAnsi="Times New Roman" w:eastAsia="Times New Roman" w:cs="Times New Roman"/>
                <w:color w:val="000000"/>
                <w:sz w:val="17"/>
              </w:rPr>
              <w:t>Staffing and fulfilment investigation</w:t>
            </w:r>
          </w:p>
        </w:tc>
      </w:tr>
      <w:tr>
        <w:tc>
          <w:tcPr>
            <w:tcW w:type="dxa" w:w="2016"/>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Product / Merchandising</w:t>
            </w:r>
          </w:p>
        </w:tc>
        <w:tc>
          <w:tcPr>
            <w:tcW w:type="dxa" w:w="3600"/>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High-revenue product concentration</w:t>
            </w:r>
          </w:p>
        </w:tc>
        <w:tc>
          <w:tcPr>
            <w:tcW w:type="dxa" w:w="4320"/>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Availability and product planning</w:t>
            </w:r>
          </w:p>
        </w:tc>
      </w:tr>
      <w:tr>
        <w:tc>
          <w:tcPr>
            <w:tcW w:type="dxa" w:w="2016"/>
            <w:tcMar>
              <w:top w:w="80" w:type="dxa"/>
              <w:start w:w="100" w:type="dxa"/>
              <w:bottom w:w="80" w:type="dxa"/>
              <w:end w:w="100" w:type="dxa"/>
            </w:tcMar>
            <w:vAlign w:val="top"/>
          </w:tcPr>
          <w:p>
            <w:r>
              <w:rPr>
                <w:rFonts w:ascii="Times New Roman" w:hAnsi="Times New Roman" w:eastAsia="Times New Roman" w:cs="Times New Roman"/>
                <w:color w:val="000000"/>
                <w:sz w:val="17"/>
              </w:rPr>
              <w:t>Data / Analytics Team</w:t>
            </w:r>
          </w:p>
        </w:tc>
        <w:tc>
          <w:tcPr>
            <w:tcW w:type="dxa" w:w="3600"/>
            <w:tcMar>
              <w:top w:w="80" w:type="dxa"/>
              <w:start w:w="100" w:type="dxa"/>
              <w:bottom w:w="80" w:type="dxa"/>
              <w:end w:w="100" w:type="dxa"/>
            </w:tcMar>
            <w:vAlign w:val="top"/>
          </w:tcPr>
          <w:p>
            <w:r>
              <w:rPr>
                <w:rFonts w:ascii="Times New Roman" w:hAnsi="Times New Roman" w:eastAsia="Times New Roman" w:cs="Times New Roman"/>
                <w:color w:val="000000"/>
                <w:sz w:val="17"/>
              </w:rPr>
              <w:t>Validated statistical and ML workflows</w:t>
            </w:r>
          </w:p>
        </w:tc>
        <w:tc>
          <w:tcPr>
            <w:tcW w:type="dxa" w:w="4320"/>
            <w:tcMar>
              <w:top w:w="80" w:type="dxa"/>
              <w:start w:w="100" w:type="dxa"/>
              <w:bottom w:w="80" w:type="dxa"/>
              <w:end w:w="100" w:type="dxa"/>
            </w:tcMar>
            <w:vAlign w:val="top"/>
          </w:tcPr>
          <w:p>
            <w:r>
              <w:rPr>
                <w:rFonts w:ascii="Times New Roman" w:hAnsi="Times New Roman" w:eastAsia="Times New Roman" w:cs="Times New Roman"/>
                <w:color w:val="000000"/>
                <w:sz w:val="17"/>
              </w:rPr>
              <w:t>Reusable analytical pipelines</w:t>
            </w:r>
          </w:p>
        </w:tc>
      </w:tr>
      <w:tr>
        <w:tc>
          <w:tcPr>
            <w:tcW w:type="dxa" w:w="2016"/>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Research / Technical Team</w:t>
            </w:r>
          </w:p>
        </w:tc>
        <w:tc>
          <w:tcPr>
            <w:tcW w:type="dxa" w:w="3600"/>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Model comparison and limitations</w:t>
            </w:r>
          </w:p>
        </w:tc>
        <w:tc>
          <w:tcPr>
            <w:tcW w:type="dxa" w:w="4320"/>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Further validation and experimentation</w:t>
            </w:r>
          </w:p>
        </w:tc>
      </w:tr>
    </w:tbl>
    <w:p>
      <w:pPr>
        <w:spacing w:after="40"/>
      </w:pP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10. Limitations and Risk Considerations</w:t>
      </w:r>
    </w:p>
    <w:p>
      <w:pPr>
        <w:pStyle w:val="Heading2"/>
      </w:pPr>
      <w:r>
        <w:rPr>
          <w:rFonts w:ascii="Times New Roman" w:hAnsi="Times New Roman" w:eastAsia="Times New Roman" w:cs="Times New Roman"/>
          <w:color w:val="000000"/>
        </w:rPr>
        <w:t>10.1 Retail Analytics Limitations</w:t>
      </w:r>
    </w:p>
    <w:p>
      <w:pPr>
        <w:pStyle w:val="ListBullet"/>
        <w:spacing w:after="60"/>
      </w:pPr>
      <w:r>
        <w:rPr>
          <w:rFonts w:ascii="Times New Roman" w:hAnsi="Times New Roman" w:eastAsia="Times New Roman" w:cs="Times New Roman"/>
          <w:color w:val="000000"/>
        </w:rPr>
        <w:t>The Online Retail II analysis is based on the supplied historical dataset and therefore describes the recorded period rather than current market conditions.</w:t>
      </w:r>
    </w:p>
    <w:p>
      <w:pPr>
        <w:pStyle w:val="ListBullet"/>
        <w:spacing w:after="60"/>
      </w:pPr>
      <w:r>
        <w:rPr>
          <w:rFonts w:ascii="Times New Roman" w:hAnsi="Times New Roman" w:eastAsia="Times New Roman" w:cs="Times New Roman"/>
          <w:color w:val="000000"/>
        </w:rPr>
        <w:t>A substantial number of Customer ID values are missing, limiting customer-level analysis to identified customers.</w:t>
      </w:r>
    </w:p>
    <w:p>
      <w:pPr>
        <w:pStyle w:val="ListBullet"/>
        <w:spacing w:after="60"/>
      </w:pPr>
      <w:r>
        <w:rPr>
          <w:rFonts w:ascii="Times New Roman" w:hAnsi="Times New Roman" w:eastAsia="Times New Roman" w:cs="Times New Roman"/>
          <w:color w:val="000000"/>
        </w:rPr>
        <w:t>Transaction revenue is strongly right-skewed and contains extreme values, which can affect averages and statistical tests.</w:t>
      </w:r>
    </w:p>
    <w:p>
      <w:pPr>
        <w:pStyle w:val="ListBullet"/>
        <w:spacing w:after="60"/>
      </w:pPr>
      <w:r>
        <w:rPr>
          <w:rFonts w:ascii="Times New Roman" w:hAnsi="Times New Roman" w:eastAsia="Times New Roman" w:cs="Times New Roman"/>
          <w:color w:val="000000"/>
        </w:rPr>
        <w:t>The selected-country ANOVA intentionally covers five countries; conclusions should not be extended automatically to every country.</w:t>
      </w:r>
    </w:p>
    <w:p>
      <w:pPr>
        <w:pStyle w:val="ListBullet"/>
        <w:spacing w:after="60"/>
      </w:pPr>
      <w:r>
        <w:rPr>
          <w:rFonts w:ascii="Times New Roman" w:hAnsi="Times New Roman" w:eastAsia="Times New Roman" w:cs="Times New Roman"/>
          <w:color w:val="000000"/>
        </w:rPr>
        <w:t>Statistical significance may be amplified by the very large sample size and should be interpreted alongside practical business importance.</w:t>
      </w:r>
    </w:p>
    <w:p>
      <w:pPr>
        <w:pStyle w:val="ListBullet"/>
        <w:spacing w:after="60"/>
      </w:pPr>
      <w:r>
        <w:rPr>
          <w:rFonts w:ascii="Times New Roman" w:hAnsi="Times New Roman" w:eastAsia="Times New Roman" w:cs="Times New Roman"/>
          <w:color w:val="000000"/>
        </w:rPr>
        <w:t>The Chi-Square test identifies association between country and cancellation status but does not establish causation.</w:t>
      </w:r>
    </w:p>
    <w:p>
      <w:pPr>
        <w:pStyle w:val="Heading2"/>
      </w:pPr>
      <w:r>
        <w:rPr>
          <w:rFonts w:ascii="Times New Roman" w:hAnsi="Times New Roman" w:eastAsia="Times New Roman" w:cs="Times New Roman"/>
          <w:color w:val="000000"/>
        </w:rPr>
        <w:t>10.2 Machine-Learning Limitations</w:t>
      </w:r>
    </w:p>
    <w:p>
      <w:pPr>
        <w:pStyle w:val="ListBullet"/>
        <w:spacing w:after="60"/>
      </w:pPr>
      <w:r>
        <w:rPr>
          <w:rFonts w:ascii="Times New Roman" w:hAnsi="Times New Roman" w:eastAsia="Times New Roman" w:cs="Times New Roman"/>
          <w:color w:val="000000"/>
        </w:rPr>
        <w:t>The Week 4 model was evaluated on a single held-out split supported by five-fold cross-validation; broader external validation would strengthen the evidence.</w:t>
      </w:r>
    </w:p>
    <w:p>
      <w:pPr>
        <w:pStyle w:val="ListBullet"/>
        <w:spacing w:after="60"/>
      </w:pPr>
      <w:r>
        <w:rPr>
          <w:rFonts w:ascii="Times New Roman" w:hAnsi="Times New Roman" w:eastAsia="Times New Roman" w:cs="Times New Roman"/>
          <w:color w:val="000000"/>
        </w:rPr>
        <w:t>The Breast Cancer Wisconsin Diagnostic dataset is an academic benchmark and does not represent the full complexity of a clinical environment.</w:t>
      </w:r>
    </w:p>
    <w:p>
      <w:pPr>
        <w:pStyle w:val="ListBullet"/>
        <w:spacing w:after="60"/>
      </w:pPr>
      <w:r>
        <w:rPr>
          <w:rFonts w:ascii="Times New Roman" w:hAnsi="Times New Roman" w:eastAsia="Times New Roman" w:cs="Times New Roman"/>
          <w:color w:val="000000"/>
        </w:rPr>
        <w:t>High test performance does not guarantee safe or reliable performance on a different population or measurement process.</w:t>
      </w:r>
    </w:p>
    <w:p>
      <w:pPr>
        <w:pStyle w:val="ListBullet"/>
        <w:spacing w:after="60"/>
      </w:pPr>
      <w:r>
        <w:rPr>
          <w:rFonts w:ascii="Times New Roman" w:hAnsi="Times New Roman" w:eastAsia="Times New Roman" w:cs="Times New Roman"/>
          <w:color w:val="000000"/>
        </w:rPr>
        <w:t>The Decision Tree was intentionally limited to max_depth = 5; other hyperparameter choices could change its performance.</w:t>
      </w:r>
    </w:p>
    <w:p>
      <w:pPr>
        <w:pStyle w:val="ListBullet"/>
        <w:spacing w:after="60"/>
      </w:pPr>
      <w:r>
        <w:rPr>
          <w:rFonts w:ascii="Times New Roman" w:hAnsi="Times New Roman" w:eastAsia="Times New Roman" w:cs="Times New Roman"/>
          <w:color w:val="000000"/>
        </w:rPr>
        <w:t>Additional models, feature-selection strategies and calibration analysis could provide a broader comparison.</w:t>
      </w:r>
    </w:p>
    <w:p>
      <w:pPr>
        <w:pStyle w:val="ListBullet"/>
        <w:spacing w:after="60"/>
      </w:pPr>
      <w:r>
        <w:rPr>
          <w:rFonts w:ascii="Times New Roman" w:hAnsi="Times New Roman" w:eastAsia="Times New Roman" w:cs="Times New Roman"/>
          <w:color w:val="000000"/>
        </w:rPr>
        <w:t>No production monitoring, data-drift analysis or clinical validation was performed.</w:t>
      </w:r>
    </w:p>
    <w:p>
      <w:pPr>
        <w:pStyle w:val="Heading2"/>
      </w:pPr>
      <w:r>
        <w:rPr>
          <w:rFonts w:ascii="Times New Roman" w:hAnsi="Times New Roman" w:eastAsia="Times New Roman" w:cs="Times New Roman"/>
          <w:color w:val="000000"/>
        </w:rPr>
        <w:t>10.3 Reporting Risk</w:t>
      </w:r>
    </w:p>
    <w:p>
      <w:pPr>
        <w:spacing w:after="120" w:line="269" w:lineRule="auto"/>
      </w:pPr>
      <w:r>
        <w:rPr>
          <w:rFonts w:ascii="Times New Roman" w:hAnsi="Times New Roman" w:eastAsia="Times New Roman" w:cs="Times New Roman"/>
          <w:i w:val="0"/>
          <w:color w:val="000000"/>
        </w:rPr>
        <w:t>A final report should avoid presenting every statistically significant result as a business opportunity. The recommended next step is often further investigation rather than immediate intervention. This distinction is especially important when the available evidence identifies a relationship but does not explain its underlying mechanism.</w:t>
      </w: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11. Future Improvement Roadmap</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152"/>
            <w:shd w:fill="D9E2F3"/>
            <w:tcMar>
              <w:top w:w="80" w:type="dxa"/>
              <w:start w:w="100" w:type="dxa"/>
              <w:bottom w:w="80" w:type="dxa"/>
              <w:end w:w="100" w:type="dxa"/>
            </w:tcMar>
            <w:vAlign w:val="center"/>
          </w:tcPr>
          <w:p>
            <w:r>
              <w:rPr>
                <w:rFonts w:ascii="Times New Roman" w:hAnsi="Times New Roman" w:eastAsia="Times New Roman" w:cs="Times New Roman"/>
                <w:b/>
                <w:color w:val="000000"/>
                <w:sz w:val="16"/>
              </w:rPr>
              <w:t>Priority</w:t>
            </w:r>
          </w:p>
        </w:tc>
        <w:tc>
          <w:tcPr>
            <w:tcW w:type="dxa" w:w="2880"/>
            <w:shd w:fill="D9E2F3"/>
            <w:tcMar>
              <w:top w:w="80" w:type="dxa"/>
              <w:start w:w="100" w:type="dxa"/>
              <w:bottom w:w="80" w:type="dxa"/>
              <w:end w:w="100" w:type="dxa"/>
            </w:tcMar>
            <w:vAlign w:val="center"/>
          </w:tcPr>
          <w:p>
            <w:r>
              <w:rPr>
                <w:rFonts w:ascii="Times New Roman" w:hAnsi="Times New Roman" w:eastAsia="Times New Roman" w:cs="Times New Roman"/>
                <w:b/>
                <w:color w:val="000000"/>
                <w:sz w:val="16"/>
              </w:rPr>
              <w:t>Improvement</w:t>
            </w:r>
          </w:p>
        </w:tc>
        <w:tc>
          <w:tcPr>
            <w:tcW w:type="dxa" w:w="3744"/>
            <w:shd w:fill="D9E2F3"/>
            <w:tcMar>
              <w:top w:w="80" w:type="dxa"/>
              <w:start w:w="100" w:type="dxa"/>
              <w:bottom w:w="80" w:type="dxa"/>
              <w:end w:w="100" w:type="dxa"/>
            </w:tcMar>
            <w:vAlign w:val="center"/>
          </w:tcPr>
          <w:p>
            <w:r>
              <w:rPr>
                <w:rFonts w:ascii="Times New Roman" w:hAnsi="Times New Roman" w:eastAsia="Times New Roman" w:cs="Times New Roman"/>
                <w:b/>
                <w:color w:val="000000"/>
                <w:sz w:val="16"/>
              </w:rPr>
              <w:t>Why it matters</w:t>
            </w:r>
          </w:p>
        </w:tc>
        <w:tc>
          <w:tcPr>
            <w:tcW w:type="dxa" w:w="2880"/>
            <w:shd w:fill="D9E2F3"/>
            <w:tcMar>
              <w:top w:w="80" w:type="dxa"/>
              <w:start w:w="100" w:type="dxa"/>
              <w:bottom w:w="80" w:type="dxa"/>
              <w:end w:w="100" w:type="dxa"/>
            </w:tcMar>
            <w:vAlign w:val="center"/>
          </w:tcPr>
          <w:p>
            <w:r>
              <w:rPr>
                <w:rFonts w:ascii="Times New Roman" w:hAnsi="Times New Roman" w:eastAsia="Times New Roman" w:cs="Times New Roman"/>
                <w:b/>
                <w:color w:val="000000"/>
                <w:sz w:val="16"/>
              </w:rPr>
              <w:t>Expected benefit</w:t>
            </w:r>
          </w:p>
        </w:tc>
      </w:tr>
      <w:tr>
        <w:tc>
          <w:tcPr>
            <w:tcW w:type="dxa" w:w="1152"/>
            <w:tcMar>
              <w:top w:w="80" w:type="dxa"/>
              <w:start w:w="100" w:type="dxa"/>
              <w:bottom w:w="80" w:type="dxa"/>
              <w:end w:w="100" w:type="dxa"/>
            </w:tcMar>
            <w:vAlign w:val="top"/>
          </w:tcPr>
          <w:p>
            <w:r>
              <w:rPr>
                <w:rFonts w:ascii="Times New Roman" w:hAnsi="Times New Roman" w:eastAsia="Times New Roman" w:cs="Times New Roman"/>
                <w:color w:val="000000"/>
                <w:sz w:val="16"/>
              </w:rPr>
              <w:t>High</w:t>
            </w:r>
          </w:p>
        </w:tc>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6"/>
              </w:rPr>
              <w:t>Post-hoc tests after ANOVA</w:t>
            </w:r>
          </w:p>
        </w:tc>
        <w:tc>
          <w:tcPr>
            <w:tcW w:type="dxa" w:w="3744"/>
            <w:tcMar>
              <w:top w:w="80" w:type="dxa"/>
              <w:start w:w="100" w:type="dxa"/>
              <w:bottom w:w="80" w:type="dxa"/>
              <w:end w:w="100" w:type="dxa"/>
            </w:tcMar>
            <w:vAlign w:val="top"/>
          </w:tcPr>
          <w:p>
            <w:r>
              <w:rPr>
                <w:rFonts w:ascii="Times New Roman" w:hAnsi="Times New Roman" w:eastAsia="Times New Roman" w:cs="Times New Roman"/>
                <w:color w:val="000000"/>
                <w:sz w:val="16"/>
              </w:rPr>
              <w:t>Identify which country pairs differ</w:t>
            </w:r>
          </w:p>
        </w:tc>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6"/>
              </w:rPr>
              <w:t>More precise regional decisions</w:t>
            </w:r>
          </w:p>
        </w:tc>
      </w:tr>
      <w:tr>
        <w:tc>
          <w:tcPr>
            <w:tcW w:type="dxa" w:w="1152"/>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High</w:t>
            </w:r>
          </w:p>
        </w:tc>
        <w:tc>
          <w:tcPr>
            <w:tcW w:type="dxa" w:w="2880"/>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Cancellation-driver analysis</w:t>
            </w:r>
          </w:p>
        </w:tc>
        <w:tc>
          <w:tcPr>
            <w:tcW w:type="dxa" w:w="3744"/>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Association alone does not explain causes</w:t>
            </w:r>
          </w:p>
        </w:tc>
        <w:tc>
          <w:tcPr>
            <w:tcW w:type="dxa" w:w="2880"/>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Operational root-cause insight</w:t>
            </w:r>
          </w:p>
        </w:tc>
      </w:tr>
      <w:tr>
        <w:tc>
          <w:tcPr>
            <w:tcW w:type="dxa" w:w="1152"/>
            <w:tcMar>
              <w:top w:w="80" w:type="dxa"/>
              <w:start w:w="100" w:type="dxa"/>
              <w:bottom w:w="80" w:type="dxa"/>
              <w:end w:w="100" w:type="dxa"/>
            </w:tcMar>
            <w:vAlign w:val="top"/>
          </w:tcPr>
          <w:p>
            <w:r>
              <w:rPr>
                <w:rFonts w:ascii="Times New Roman" w:hAnsi="Times New Roman" w:eastAsia="Times New Roman" w:cs="Times New Roman"/>
                <w:color w:val="000000"/>
                <w:sz w:val="16"/>
              </w:rPr>
              <w:t>High</w:t>
            </w:r>
          </w:p>
        </w:tc>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6"/>
              </w:rPr>
              <w:t>Customer segmentation</w:t>
            </w:r>
          </w:p>
        </w:tc>
        <w:tc>
          <w:tcPr>
            <w:tcW w:type="dxa" w:w="3744"/>
            <w:tcMar>
              <w:top w:w="80" w:type="dxa"/>
              <w:start w:w="100" w:type="dxa"/>
              <w:bottom w:w="80" w:type="dxa"/>
              <w:end w:w="100" w:type="dxa"/>
            </w:tcMar>
            <w:vAlign w:val="top"/>
          </w:tcPr>
          <w:p>
            <w:r>
              <w:rPr>
                <w:rFonts w:ascii="Times New Roman" w:hAnsi="Times New Roman" w:eastAsia="Times New Roman" w:cs="Times New Roman"/>
                <w:color w:val="000000"/>
                <w:sz w:val="16"/>
              </w:rPr>
              <w:t>RFM values are uneven</w:t>
            </w:r>
          </w:p>
        </w:tc>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6"/>
              </w:rPr>
              <w:t>More targeted retention</w:t>
            </w:r>
          </w:p>
        </w:tc>
      </w:tr>
      <w:tr>
        <w:tc>
          <w:tcPr>
            <w:tcW w:type="dxa" w:w="1152"/>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High</w:t>
            </w:r>
          </w:p>
        </w:tc>
        <w:tc>
          <w:tcPr>
            <w:tcW w:type="dxa" w:w="2880"/>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External validation of ML</w:t>
            </w:r>
          </w:p>
        </w:tc>
        <w:tc>
          <w:tcPr>
            <w:tcW w:type="dxa" w:w="3744"/>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Test generalisation beyond the benchmark dataset</w:t>
            </w:r>
          </w:p>
        </w:tc>
        <w:tc>
          <w:tcPr>
            <w:tcW w:type="dxa" w:w="2880"/>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More reliable deployment evidence</w:t>
            </w:r>
          </w:p>
        </w:tc>
      </w:tr>
      <w:tr>
        <w:tc>
          <w:tcPr>
            <w:tcW w:type="dxa" w:w="1152"/>
            <w:tcMar>
              <w:top w:w="80" w:type="dxa"/>
              <w:start w:w="100" w:type="dxa"/>
              <w:bottom w:w="80" w:type="dxa"/>
              <w:end w:w="100" w:type="dxa"/>
            </w:tcMar>
            <w:vAlign w:val="top"/>
          </w:tcPr>
          <w:p>
            <w:r>
              <w:rPr>
                <w:rFonts w:ascii="Times New Roman" w:hAnsi="Times New Roman" w:eastAsia="Times New Roman" w:cs="Times New Roman"/>
                <w:color w:val="000000"/>
                <w:sz w:val="16"/>
              </w:rPr>
              <w:t>Medium</w:t>
            </w:r>
          </w:p>
        </w:tc>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6"/>
              </w:rPr>
              <w:t>Interactive Power BI dashboard</w:t>
            </w:r>
          </w:p>
        </w:tc>
        <w:tc>
          <w:tcPr>
            <w:tcW w:type="dxa" w:w="3744"/>
            <w:tcMar>
              <w:top w:w="80" w:type="dxa"/>
              <w:start w:w="100" w:type="dxa"/>
              <w:bottom w:w="80" w:type="dxa"/>
              <w:end w:w="100" w:type="dxa"/>
            </w:tcMar>
            <w:vAlign w:val="top"/>
          </w:tcPr>
          <w:p>
            <w:r>
              <w:rPr>
                <w:rFonts w:ascii="Times New Roman" w:hAnsi="Times New Roman" w:eastAsia="Times New Roman" w:cs="Times New Roman"/>
                <w:color w:val="000000"/>
                <w:sz w:val="16"/>
              </w:rPr>
              <w:t>Make recurring analysis accessible</w:t>
            </w:r>
          </w:p>
        </w:tc>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6"/>
              </w:rPr>
              <w:t>Faster stakeholder decisions</w:t>
            </w:r>
          </w:p>
        </w:tc>
      </w:tr>
      <w:tr>
        <w:tc>
          <w:tcPr>
            <w:tcW w:type="dxa" w:w="1152"/>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Medium</w:t>
            </w:r>
          </w:p>
        </w:tc>
        <w:tc>
          <w:tcPr>
            <w:tcW w:type="dxa" w:w="2880"/>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Time-series forecasting</w:t>
            </w:r>
          </w:p>
        </w:tc>
        <w:tc>
          <w:tcPr>
            <w:tcW w:type="dxa" w:w="3744"/>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Use historical revenue trends</w:t>
            </w:r>
          </w:p>
        </w:tc>
        <w:tc>
          <w:tcPr>
            <w:tcW w:type="dxa" w:w="2880"/>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Forward-looking planning</w:t>
            </w:r>
          </w:p>
        </w:tc>
      </w:tr>
      <w:tr>
        <w:tc>
          <w:tcPr>
            <w:tcW w:type="dxa" w:w="1152"/>
            <w:tcMar>
              <w:top w:w="80" w:type="dxa"/>
              <w:start w:w="100" w:type="dxa"/>
              <w:bottom w:w="80" w:type="dxa"/>
              <w:end w:w="100" w:type="dxa"/>
            </w:tcMar>
            <w:vAlign w:val="top"/>
          </w:tcPr>
          <w:p>
            <w:r>
              <w:rPr>
                <w:rFonts w:ascii="Times New Roman" w:hAnsi="Times New Roman" w:eastAsia="Times New Roman" w:cs="Times New Roman"/>
                <w:color w:val="000000"/>
                <w:sz w:val="16"/>
              </w:rPr>
              <w:t>Medium</w:t>
            </w:r>
          </w:p>
        </w:tc>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6"/>
              </w:rPr>
              <w:t>Additional ML models</w:t>
            </w:r>
          </w:p>
        </w:tc>
        <w:tc>
          <w:tcPr>
            <w:tcW w:type="dxa" w:w="3744"/>
            <w:tcMar>
              <w:top w:w="80" w:type="dxa"/>
              <w:start w:w="100" w:type="dxa"/>
              <w:bottom w:w="80" w:type="dxa"/>
              <w:end w:w="100" w:type="dxa"/>
            </w:tcMar>
            <w:vAlign w:val="top"/>
          </w:tcPr>
          <w:p>
            <w:r>
              <w:rPr>
                <w:rFonts w:ascii="Times New Roman" w:hAnsi="Times New Roman" w:eastAsia="Times New Roman" w:cs="Times New Roman"/>
                <w:color w:val="000000"/>
                <w:sz w:val="16"/>
              </w:rPr>
              <w:t>Compare alternative algorithms</w:t>
            </w:r>
          </w:p>
        </w:tc>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6"/>
              </w:rPr>
              <w:t>More robust model selection</w:t>
            </w:r>
          </w:p>
        </w:tc>
      </w:tr>
      <w:tr>
        <w:tc>
          <w:tcPr>
            <w:tcW w:type="dxa" w:w="1152"/>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Medium</w:t>
            </w:r>
          </w:p>
        </w:tc>
        <w:tc>
          <w:tcPr>
            <w:tcW w:type="dxa" w:w="2880"/>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Hyperparameter optimisation</w:t>
            </w:r>
          </w:p>
        </w:tc>
        <w:tc>
          <w:tcPr>
            <w:tcW w:type="dxa" w:w="3744"/>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Reduce dependence on default settings</w:t>
            </w:r>
          </w:p>
        </w:tc>
        <w:tc>
          <w:tcPr>
            <w:tcW w:type="dxa" w:w="2880"/>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Potential performance improvement</w:t>
            </w:r>
          </w:p>
        </w:tc>
      </w:tr>
      <w:tr>
        <w:tc>
          <w:tcPr>
            <w:tcW w:type="dxa" w:w="1152"/>
            <w:tcMar>
              <w:top w:w="80" w:type="dxa"/>
              <w:start w:w="100" w:type="dxa"/>
              <w:bottom w:w="80" w:type="dxa"/>
              <w:end w:w="100" w:type="dxa"/>
            </w:tcMar>
            <w:vAlign w:val="top"/>
          </w:tcPr>
          <w:p>
            <w:r>
              <w:rPr>
                <w:rFonts w:ascii="Times New Roman" w:hAnsi="Times New Roman" w:eastAsia="Times New Roman" w:cs="Times New Roman"/>
                <w:color w:val="000000"/>
                <w:sz w:val="16"/>
              </w:rPr>
              <w:t>Medium</w:t>
            </w:r>
          </w:p>
        </w:tc>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6"/>
              </w:rPr>
              <w:t>Explainable AI and calibration</w:t>
            </w:r>
          </w:p>
        </w:tc>
        <w:tc>
          <w:tcPr>
            <w:tcW w:type="dxa" w:w="3744"/>
            <w:tcMar>
              <w:top w:w="80" w:type="dxa"/>
              <w:start w:w="100" w:type="dxa"/>
              <w:bottom w:w="80" w:type="dxa"/>
              <w:end w:w="100" w:type="dxa"/>
            </w:tcMar>
            <w:vAlign w:val="top"/>
          </w:tcPr>
          <w:p>
            <w:r>
              <w:rPr>
                <w:rFonts w:ascii="Times New Roman" w:hAnsi="Times New Roman" w:eastAsia="Times New Roman" w:cs="Times New Roman"/>
                <w:color w:val="000000"/>
                <w:sz w:val="16"/>
              </w:rPr>
              <w:t>Improve model transparency and probability interpretation</w:t>
            </w:r>
          </w:p>
        </w:tc>
        <w:tc>
          <w:tcPr>
            <w:tcW w:type="dxa" w:w="2880"/>
            <w:tcMar>
              <w:top w:w="80" w:type="dxa"/>
              <w:start w:w="100" w:type="dxa"/>
              <w:bottom w:w="80" w:type="dxa"/>
              <w:end w:w="100" w:type="dxa"/>
            </w:tcMar>
            <w:vAlign w:val="top"/>
          </w:tcPr>
          <w:p>
            <w:r>
              <w:rPr>
                <w:rFonts w:ascii="Times New Roman" w:hAnsi="Times New Roman" w:eastAsia="Times New Roman" w:cs="Times New Roman"/>
                <w:color w:val="000000"/>
                <w:sz w:val="16"/>
              </w:rPr>
              <w:t>Safer decision support</w:t>
            </w:r>
          </w:p>
        </w:tc>
      </w:tr>
      <w:tr>
        <w:tc>
          <w:tcPr>
            <w:tcW w:type="dxa" w:w="1152"/>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Low</w:t>
            </w:r>
          </w:p>
        </w:tc>
        <w:tc>
          <w:tcPr>
            <w:tcW w:type="dxa" w:w="2880"/>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Automated reporting pipeline</w:t>
            </w:r>
          </w:p>
        </w:tc>
        <w:tc>
          <w:tcPr>
            <w:tcW w:type="dxa" w:w="3744"/>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Reduce repetitive manual work</w:t>
            </w:r>
          </w:p>
        </w:tc>
        <w:tc>
          <w:tcPr>
            <w:tcW w:type="dxa" w:w="2880"/>
            <w:tcMar>
              <w:top w:w="80" w:type="dxa"/>
              <w:start w:w="100" w:type="dxa"/>
              <w:bottom w:w="80" w:type="dxa"/>
              <w:end w:w="100" w:type="dxa"/>
            </w:tcMar>
            <w:vAlign w:val="top"/>
            <w:shd w:fill="F7F7F7"/>
          </w:tcPr>
          <w:p>
            <w:r>
              <w:rPr>
                <w:rFonts w:ascii="Times New Roman" w:hAnsi="Times New Roman" w:eastAsia="Times New Roman" w:cs="Times New Roman"/>
                <w:color w:val="000000"/>
                <w:sz w:val="16"/>
              </w:rPr>
              <w:t>Scalable recurring analytics</w:t>
            </w:r>
          </w:p>
        </w:tc>
      </w:tr>
    </w:tbl>
    <w:p>
      <w:pPr>
        <w:spacing w:after="40"/>
      </w:pPr>
    </w:p>
    <w:p>
      <w:pPr>
        <w:pStyle w:val="Heading2"/>
      </w:pPr>
      <w:r>
        <w:rPr>
          <w:rFonts w:ascii="Times New Roman" w:hAnsi="Times New Roman" w:eastAsia="Times New Roman" w:cs="Times New Roman"/>
          <w:color w:val="000000"/>
        </w:rPr>
        <w:t>11.1 Suggested Next-Phase Architecture</w:t>
      </w:r>
    </w:p>
    <w:p>
      <w:pPr>
        <w:pStyle w:val="ListNumber"/>
        <w:spacing w:after="60"/>
      </w:pPr>
      <w:r>
        <w:rPr>
          <w:rFonts w:ascii="Times New Roman" w:hAnsi="Times New Roman" w:eastAsia="Times New Roman" w:cs="Times New Roman"/>
          <w:color w:val="000000"/>
        </w:rPr>
        <w:t>Create a cleaned and documented analytical data layer.</w:t>
      </w:r>
    </w:p>
    <w:p>
      <w:pPr>
        <w:pStyle w:val="ListNumber"/>
        <w:spacing w:after="60"/>
      </w:pPr>
      <w:r>
        <w:rPr>
          <w:rFonts w:ascii="Times New Roman" w:hAnsi="Times New Roman" w:eastAsia="Times New Roman" w:cs="Times New Roman"/>
          <w:color w:val="000000"/>
        </w:rPr>
        <w:t>Automate recurring revenue, customer, product and cancellation KPIs.</w:t>
      </w:r>
    </w:p>
    <w:p>
      <w:pPr>
        <w:pStyle w:val="ListNumber"/>
        <w:spacing w:after="60"/>
      </w:pPr>
      <w:r>
        <w:rPr>
          <w:rFonts w:ascii="Times New Roman" w:hAnsi="Times New Roman" w:eastAsia="Times New Roman" w:cs="Times New Roman"/>
          <w:color w:val="000000"/>
        </w:rPr>
        <w:t>Publish an interactive dashboard for stakeholders.</w:t>
      </w:r>
    </w:p>
    <w:p>
      <w:pPr>
        <w:pStyle w:val="ListNumber"/>
        <w:spacing w:after="60"/>
      </w:pPr>
      <w:r>
        <w:rPr>
          <w:rFonts w:ascii="Times New Roman" w:hAnsi="Times New Roman" w:eastAsia="Times New Roman" w:cs="Times New Roman"/>
          <w:color w:val="000000"/>
        </w:rPr>
        <w:t>Add statistical monitoring for material changes in key KPIs.</w:t>
      </w:r>
    </w:p>
    <w:p>
      <w:pPr>
        <w:pStyle w:val="ListNumber"/>
        <w:spacing w:after="60"/>
      </w:pPr>
      <w:r>
        <w:rPr>
          <w:rFonts w:ascii="Times New Roman" w:hAnsi="Times New Roman" w:eastAsia="Times New Roman" w:cs="Times New Roman"/>
          <w:color w:val="000000"/>
        </w:rPr>
        <w:t>Develop predictive models only where a clearly defined decision problem exists.</w:t>
      </w:r>
    </w:p>
    <w:p>
      <w:pPr>
        <w:pStyle w:val="ListNumber"/>
        <w:spacing w:after="60"/>
      </w:pPr>
      <w:r>
        <w:rPr>
          <w:rFonts w:ascii="Times New Roman" w:hAnsi="Times New Roman" w:eastAsia="Times New Roman" w:cs="Times New Roman"/>
          <w:color w:val="000000"/>
        </w:rPr>
        <w:t>Validate models on new data and monitor drift after deployment.</w:t>
      </w:r>
    </w:p>
    <w:p>
      <w:pPr>
        <w:pStyle w:val="ListNumber"/>
        <w:spacing w:after="60"/>
      </w:pPr>
      <w:r>
        <w:rPr>
          <w:rFonts w:ascii="Times New Roman" w:hAnsi="Times New Roman" w:eastAsia="Times New Roman" w:cs="Times New Roman"/>
          <w:color w:val="000000"/>
        </w:rPr>
        <w:t>Create a feedback loop so business outcomes can be used to improve future models.</w:t>
      </w: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12. Technical Implementation and Code Highlights</w:t>
      </w:r>
    </w:p>
    <w:p>
      <w:pPr>
        <w:spacing w:after="120" w:line="269" w:lineRule="auto"/>
      </w:pPr>
      <w:r>
        <w:rPr>
          <w:rFonts w:ascii="Times New Roman" w:hAnsi="Times New Roman" w:eastAsia="Times New Roman" w:cs="Times New Roman"/>
          <w:i w:val="0"/>
          <w:color w:val="000000"/>
        </w:rPr>
        <w:t>The following excerpts are representative examples taken from the supplied notebooks. They are included to document the technical workflow rather than reproduce every line of the weekly notebooks.</w:t>
      </w:r>
    </w:p>
    <w:p>
      <w:pPr>
        <w:pStyle w:val="Heading2"/>
      </w:pPr>
      <w:r>
        <w:rPr>
          <w:rFonts w:ascii="Times New Roman" w:hAnsi="Times New Roman" w:eastAsia="Times New Roman" w:cs="Times New Roman"/>
          <w:color w:val="000000"/>
        </w:rPr>
        <w:t>12.1 Week 2 – Revenue and Visualization</w:t>
      </w:r>
    </w:p>
    <w:p>
      <w:pPr>
        <w:spacing w:after="140"/>
        <w:ind w:left="360" w:right="360"/>
        <w:shd w:fill="F2F2F2"/>
      </w:pPr>
      <w:r>
        <w:rPr>
          <w:rFonts w:ascii="Times New Roman" w:hAnsi="Times New Roman" w:eastAsia="Times New Roman" w:cs="Times New Roman"/>
          <w:color w:val="000000"/>
          <w:sz w:val="17"/>
        </w:rPr>
        <w:t>df["Revenue"] = df["Quantity"] * df["Price"]</w:t>
        <w:br/>
        <w:br/>
        <w:t>monthly_revenue = (</w:t>
        <w:br/>
        <w:t xml:space="preserve">    sales_df.groupby("Month")["Revenue"]</w:t>
        <w:br/>
        <w:t xml:space="preserve">    .sum()</w:t>
        <w:br/>
        <w:t xml:space="preserve">    .reset_index()</w:t>
        <w:br/>
        <w:t>)</w:t>
        <w:br/>
        <w:br/>
        <w:t>plt.figure(figsize=(14, 6))</w:t>
        <w:br/>
        <w:t>plt.plot(monthly_revenue["Month"],</w:t>
        <w:br/>
        <w:t xml:space="preserve">         monthly_revenue["Revenue"],</w:t>
        <w:br/>
        <w:t xml:space="preserve">         marker="o")</w:t>
        <w:br/>
        <w:t>plt.title("Monthly Revenue Trend")</w:t>
        <w:br/>
        <w:t>plt.tight_layout()</w:t>
        <w:br/>
        <w:t>plt.show()</w:t>
      </w:r>
    </w:p>
    <w:p>
      <w:pPr>
        <w:pStyle w:val="Heading2"/>
      </w:pPr>
      <w:r>
        <w:rPr>
          <w:rFonts w:ascii="Times New Roman" w:hAnsi="Times New Roman" w:eastAsia="Times New Roman" w:cs="Times New Roman"/>
          <w:color w:val="000000"/>
        </w:rPr>
        <w:t>12.2 Week 3 – Statistical Testing</w:t>
      </w:r>
    </w:p>
    <w:p>
      <w:pPr>
        <w:spacing w:after="140"/>
        <w:ind w:left="360" w:right="360"/>
        <w:shd w:fill="F2F2F2"/>
      </w:pPr>
      <w:r>
        <w:rPr>
          <w:rFonts w:ascii="Times New Roman" w:hAnsi="Times New Roman" w:eastAsia="Times New Roman" w:cs="Times New Roman"/>
          <w:color w:val="000000"/>
          <w:sz w:val="17"/>
        </w:rPr>
        <w:t>t_stat, p_value = stats.ttest_ind(</w:t>
        <w:br/>
        <w:t xml:space="preserve">    uk_revenue,</w:t>
        <w:br/>
        <w:t xml:space="preserve">    non_uk_revenue,</w:t>
        <w:br/>
        <w:t xml:space="preserve">    equal_var=False</w:t>
        <w:br/>
        <w:t>)</w:t>
        <w:br/>
        <w:br/>
        <w:t>f_stat, anova_p_value = stats.f_oneway(</w:t>
        <w:br/>
        <w:t xml:space="preserve">    uk, eire, netherlands, germany, france</w:t>
        <w:br/>
        <w:t>)</w:t>
        <w:br/>
        <w:br/>
        <w:t>chi2_stat, chi2_p_value, degrees_of_freedom, expected = (</w:t>
        <w:br/>
        <w:t xml:space="preserve">    stats.chi2_contingency(contingency_table)</w:t>
        <w:br/>
        <w:t>)</w:t>
      </w:r>
    </w:p>
    <w:p>
      <w:pPr>
        <w:pStyle w:val="Heading2"/>
      </w:pPr>
      <w:r>
        <w:rPr>
          <w:rFonts w:ascii="Times New Roman" w:hAnsi="Times New Roman" w:eastAsia="Times New Roman" w:cs="Times New Roman"/>
          <w:color w:val="000000"/>
        </w:rPr>
        <w:t>12.3 Week 4 – Train/Test Split and Models</w:t>
      </w:r>
    </w:p>
    <w:p>
      <w:pPr>
        <w:spacing w:after="140"/>
        <w:ind w:left="360" w:right="360"/>
        <w:shd w:fill="F2F2F2"/>
      </w:pPr>
      <w:r>
        <w:rPr>
          <w:rFonts w:ascii="Times New Roman" w:hAnsi="Times New Roman" w:eastAsia="Times New Roman" w:cs="Times New Roman"/>
          <w:color w:val="000000"/>
          <w:sz w:val="17"/>
        </w:rPr>
        <w:t>X_train, X_test, y_train, y_test = train_test_split(</w:t>
        <w:br/>
        <w:t xml:space="preserve">    X, y,</w:t>
        <w:br/>
        <w:t xml:space="preserve">    test_size=0.20,</w:t>
        <w:br/>
        <w:t xml:space="preserve">    random_state=42,</w:t>
        <w:br/>
        <w:t xml:space="preserve">    stratify=y</w:t>
        <w:br/>
        <w:t>)</w:t>
        <w:br/>
        <w:br/>
        <w:t>logistic_model = LogisticRegression(</w:t>
        <w:br/>
        <w:t xml:space="preserve">    max_iter=5000,</w:t>
        <w:br/>
        <w:t xml:space="preserve">    random_state=42</w:t>
        <w:br/>
        <w:t>)</w:t>
        <w:br/>
        <w:br/>
        <w:t>decision_tree_model = DecisionTreeClassifier(</w:t>
        <w:br/>
        <w:t xml:space="preserve">    random_state=42,</w:t>
        <w:br/>
        <w:t xml:space="preserve">    max_depth=5</w:t>
        <w:br/>
        <w:t>)</w:t>
      </w:r>
    </w:p>
    <w:p>
      <w:pPr>
        <w:pStyle w:val="Heading2"/>
      </w:pPr>
      <w:r>
        <w:rPr>
          <w:rFonts w:ascii="Times New Roman" w:hAnsi="Times New Roman" w:eastAsia="Times New Roman" w:cs="Times New Roman"/>
          <w:color w:val="000000"/>
        </w:rPr>
        <w:t>12.4 Evaluation Approach</w:t>
      </w:r>
    </w:p>
    <w:p>
      <w:pPr>
        <w:spacing w:after="140"/>
        <w:ind w:left="360" w:right="360"/>
        <w:shd w:fill="F2F2F2"/>
      </w:pPr>
      <w:r>
        <w:rPr>
          <w:rFonts w:ascii="Times New Roman" w:hAnsi="Times New Roman" w:eastAsia="Times New Roman" w:cs="Times New Roman"/>
          <w:color w:val="000000"/>
          <w:sz w:val="17"/>
        </w:rPr>
        <w:t>metrics = {</w:t>
        <w:br/>
        <w:t xml:space="preserve">    "Accuracy": accuracy_score(y_test, y_pred),</w:t>
        <w:br/>
        <w:t xml:space="preserve">    "Precision": precision_score(y_test, y_pred),</w:t>
        <w:br/>
        <w:t xml:space="preserve">    "Recall": recall_score(y_test, y_pred),</w:t>
        <w:br/>
        <w:t xml:space="preserve">    "F1": f1_score(y_test, y_pred),</w:t>
        <w:br/>
        <w:t xml:space="preserve">    "ROC-AUC": roc_auc_score(y_test, y_prob)</w:t>
        <w:br/>
        <w:t>}</w:t>
      </w:r>
    </w:p>
    <w:p>
      <w:pPr>
        <w:spacing w:after="120" w:line="269" w:lineRule="auto"/>
      </w:pPr>
      <w:r>
        <w:rPr>
          <w:rFonts w:ascii="Times New Roman" w:hAnsi="Times New Roman" w:eastAsia="Times New Roman" w:cs="Times New Roman"/>
          <w:i w:val="0"/>
          <w:color w:val="000000"/>
        </w:rPr>
        <w:t>These excerpts demonstrate the progression from business feature creation, to statistical inference, to predictive modelling and multi-metric evaluation. The complete code remains in the supplied notebooks.</w:t>
      </w: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13. Conclusion</w:t>
      </w:r>
    </w:p>
    <w:p>
      <w:pPr>
        <w:spacing w:after="120" w:line="269" w:lineRule="auto"/>
      </w:pPr>
      <w:r>
        <w:rPr>
          <w:rFonts w:ascii="Times New Roman" w:hAnsi="Times New Roman" w:eastAsia="Times New Roman" w:cs="Times New Roman"/>
          <w:i w:val="0"/>
          <w:color w:val="000000"/>
        </w:rPr>
        <w:t>The final Week 5 project demonstrates an end-to-end data science workflow rather than a collection of disconnected technical exercises. The internship began with the practical problem of preparing large, imperfect transaction data. It then moved into visual storytelling, where charts were used to turn millions of transaction lines into understandable business patterns. Statistical hypothesis testing added a stronger evidence layer by evaluating whether selected differences and associations were statistically supported. Finally, machine learning demonstrated how a clearly defined prediction problem can be addressed through preprocessing, model comparison, evaluation, cross-validation and error analysis.</w:t>
      </w:r>
    </w:p>
    <w:p>
      <w:pPr>
        <w:spacing w:after="120" w:line="269" w:lineRule="auto"/>
      </w:pPr>
      <w:r>
        <w:rPr>
          <w:rFonts w:ascii="Times New Roman" w:hAnsi="Times New Roman" w:eastAsia="Times New Roman" w:cs="Times New Roman"/>
          <w:i w:val="0"/>
          <w:color w:val="000000"/>
        </w:rPr>
        <w:t>The retail analysis produced several decision-relevant findings: revenue was strongly concentrated in the United Kingdom; revenue changed substantially over time; customer value was uneven; high-revenue products formed a meaningful concentration; transaction revenue contained extreme values; country groups differed statistically in the analysed sample; and country was associated with cancellation status. These findings support targeted customer strategies, market-specific investigation, operational monitoring and dashboard-based decision support.</w:t>
      </w:r>
    </w:p>
    <w:p>
      <w:pPr>
        <w:spacing w:after="120" w:line="269" w:lineRule="auto"/>
      </w:pPr>
      <w:r>
        <w:rPr>
          <w:rFonts w:ascii="Times New Roman" w:hAnsi="Times New Roman" w:eastAsia="Times New Roman" w:cs="Times New Roman"/>
          <w:i w:val="0"/>
          <w:color w:val="000000"/>
        </w:rPr>
        <w:t>The machine-learning study provided a complementary demonstration of predictive modelling. Logistic Regression achieved 98.25% test accuracy and a ROC-AUC of 0.9954, outperforming the controlled-depth Decision Tree and showing a smaller train-test gap. However, the report deliberately avoids treating this academic result as deployment-ready evidence. External validation, domain review, monitoring and further modelling work would be required before any real-world use.</w:t>
      </w:r>
    </w:p>
    <w:p>
      <w:pPr>
        <w:spacing w:after="120" w:line="269" w:lineRule="auto"/>
      </w:pPr>
      <w:r>
        <w:rPr>
          <w:rFonts w:ascii="Times New Roman" w:hAnsi="Times New Roman" w:eastAsia="Times New Roman" w:cs="Times New Roman"/>
          <w:i w:val="0"/>
          <w:color w:val="000000"/>
        </w:rPr>
        <w:t>Overall, the project demonstrates the core principle of data science: strong results come not only from algorithms, but from careful data preparation, appropriate analytical methods, clear communication, critical interpretation and responsible translation of evidence into decisions. This final report therefore brings together the technical, analytical and strategic skills developed throughout the internship.</w:t>
      </w:r>
    </w:p>
    <w:tbl>
      <w:tblPr>
        <w:tblW w:type="auto" w:w="0"/>
        <w:jc w:val="center"/>
        <w:tblLook w:firstColumn="1" w:firstRow="1" w:lastColumn="0" w:lastRow="0" w:noHBand="0" w:noVBand="1" w:val="04A0"/>
      </w:tblPr>
      <w:tblGrid>
        <w:gridCol w:w="10080"/>
      </w:tblGrid>
      <w:tr>
        <w:tc>
          <w:tcPr>
            <w:tcW w:type="dxa" w:w="10080"/>
            <w:shd w:fill="F2F2F2"/>
            <w:tcMar>
              <w:top w:w="120" w:type="dxa"/>
              <w:start w:w="140" w:type="dxa"/>
              <w:bottom w:w="120" w:type="dxa"/>
              <w:end w:w="140" w:type="dxa"/>
            </w:tcMar>
          </w:tcPr>
          <w:p>
            <w:r>
              <w:rPr>
                <w:rFonts w:ascii="Times New Roman" w:hAnsi="Times New Roman" w:eastAsia="Times New Roman" w:cs="Times New Roman"/>
                <w:b/>
                <w:color w:val="000000"/>
              </w:rPr>
              <w:t>Overall workflow</w:t>
            </w:r>
            <w:r>
              <w:rPr>
                <w:rFonts w:ascii="Times New Roman" w:hAnsi="Times New Roman" w:eastAsia="Times New Roman" w:cs="Times New Roman"/>
                <w:color w:val="000000"/>
              </w:rPr>
              <w:br/>
              <w:t>DATA → CLEAN → EXPLORE → VISUALISE → TEST → MODEL → EVALUATE → RECOMMEND → IMPROVE</w:t>
            </w:r>
          </w:p>
        </w:tc>
      </w:tr>
    </w:tbl>
    <w:p>
      <w:pPr>
        <w:spacing w:after="40"/>
      </w:pP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14. References and Source Files</w:t>
      </w:r>
    </w:p>
    <w:p>
      <w:pPr>
        <w:spacing w:after="120" w:line="269" w:lineRule="auto"/>
      </w:pPr>
      <w:r>
        <w:rPr>
          <w:rFonts w:ascii="Times New Roman" w:hAnsi="Times New Roman" w:eastAsia="Times New Roman" w:cs="Times New Roman"/>
          <w:i w:val="0"/>
          <w:color w:val="000000"/>
        </w:rPr>
        <w:t>The Week 5 report is grounded primarily in the seven files supplied for the internship. The source materials below were reviewed as the basis for the synthesis.</w:t>
      </w:r>
    </w:p>
    <w:p>
      <w:pPr>
        <w:pStyle w:val="ListNumber"/>
        <w:spacing w:after="60"/>
      </w:pPr>
      <w:r>
        <w:rPr>
          <w:rFonts w:ascii="Times New Roman" w:hAnsi="Times New Roman" w:eastAsia="Times New Roman" w:cs="Times New Roman"/>
          <w:color w:val="000000"/>
        </w:rPr>
        <w:t>Week 1 – Data Acquisition, Cleaning, and Exploratory Data Analysis report, Online Retail II dataset.</w:t>
      </w:r>
    </w:p>
    <w:p>
      <w:pPr>
        <w:pStyle w:val="ListNumber"/>
        <w:spacing w:after="60"/>
      </w:pPr>
      <w:r>
        <w:rPr>
          <w:rFonts w:ascii="Times New Roman" w:hAnsi="Times New Roman" w:eastAsia="Times New Roman" w:cs="Times New Roman"/>
          <w:color w:val="000000"/>
        </w:rPr>
        <w:t>Week 2 – Advanced Data Visualization and Storytelling report, Online Retail II dataset.</w:t>
      </w:r>
    </w:p>
    <w:p>
      <w:pPr>
        <w:pStyle w:val="ListNumber"/>
        <w:spacing w:after="60"/>
      </w:pPr>
      <w:r>
        <w:rPr>
          <w:rFonts w:ascii="Times New Roman" w:hAnsi="Times New Roman" w:eastAsia="Times New Roman" w:cs="Times New Roman"/>
          <w:color w:val="000000"/>
        </w:rPr>
        <w:t>Week 2 – Advanced Data Visualization and Storytelling Python notebook.</w:t>
      </w:r>
    </w:p>
    <w:p>
      <w:pPr>
        <w:pStyle w:val="ListNumber"/>
        <w:spacing w:after="60"/>
      </w:pPr>
      <w:r>
        <w:rPr>
          <w:rFonts w:ascii="Times New Roman" w:hAnsi="Times New Roman" w:eastAsia="Times New Roman" w:cs="Times New Roman"/>
          <w:color w:val="000000"/>
        </w:rPr>
        <w:t>Week 3 – Statistical Analysis and Hypothesis Testing report, Online Retail II dataset.</w:t>
      </w:r>
    </w:p>
    <w:p>
      <w:pPr>
        <w:pStyle w:val="ListNumber"/>
        <w:spacing w:after="60"/>
      </w:pPr>
      <w:r>
        <w:rPr>
          <w:rFonts w:ascii="Times New Roman" w:hAnsi="Times New Roman" w:eastAsia="Times New Roman" w:cs="Times New Roman"/>
          <w:color w:val="000000"/>
        </w:rPr>
        <w:t>Week 3 – Statistical Analysis and Hypothesis Testing Python notebook.</w:t>
      </w:r>
    </w:p>
    <w:p>
      <w:pPr>
        <w:pStyle w:val="ListNumber"/>
        <w:spacing w:after="60"/>
      </w:pPr>
      <w:r>
        <w:rPr>
          <w:rFonts w:ascii="Times New Roman" w:hAnsi="Times New Roman" w:eastAsia="Times New Roman" w:cs="Times New Roman"/>
          <w:color w:val="000000"/>
        </w:rPr>
        <w:t>Week 4 – Machine Learning Model Development and Evaluation professional report, Breast Cancer Wisconsin Diagnostic dataset.</w:t>
      </w:r>
    </w:p>
    <w:p>
      <w:pPr>
        <w:pStyle w:val="ListNumber"/>
        <w:spacing w:after="60"/>
      </w:pPr>
      <w:r>
        <w:rPr>
          <w:rFonts w:ascii="Times New Roman" w:hAnsi="Times New Roman" w:eastAsia="Times New Roman" w:cs="Times New Roman"/>
          <w:color w:val="000000"/>
        </w:rPr>
        <w:t>Week 4 – Machine Learning Model Development and Evaluation Python notebook.</w:t>
      </w:r>
    </w:p>
    <w:p>
      <w:pPr>
        <w:pStyle w:val="Heading2"/>
      </w:pPr>
      <w:r>
        <w:rPr>
          <w:rFonts w:ascii="Times New Roman" w:hAnsi="Times New Roman" w:eastAsia="Times New Roman" w:cs="Times New Roman"/>
          <w:color w:val="000000"/>
        </w:rPr>
        <w:t>14.1 Main Technical Libraries Used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D9E2F3"/>
            <w:tcMar>
              <w:top w:w="80" w:type="dxa"/>
              <w:start w:w="100" w:type="dxa"/>
              <w:bottom w:w="80" w:type="dxa"/>
              <w:end w:w="100" w:type="dxa"/>
            </w:tcMar>
            <w:vAlign w:val="center"/>
          </w:tcPr>
          <w:p>
            <w:r>
              <w:rPr>
                <w:rFonts w:ascii="Times New Roman" w:hAnsi="Times New Roman" w:eastAsia="Times New Roman" w:cs="Times New Roman"/>
                <w:b/>
                <w:color w:val="000000"/>
                <w:sz w:val="17"/>
              </w:rPr>
              <w:t>Library / Tool</w:t>
            </w:r>
          </w:p>
        </w:tc>
        <w:tc>
          <w:tcPr>
            <w:tcW w:type="dxa" w:w="7488"/>
            <w:shd w:fill="D9E2F3"/>
            <w:tcMar>
              <w:top w:w="80" w:type="dxa"/>
              <w:start w:w="100" w:type="dxa"/>
              <w:bottom w:w="80" w:type="dxa"/>
              <w:end w:w="100" w:type="dxa"/>
            </w:tcMar>
            <w:vAlign w:val="center"/>
          </w:tcPr>
          <w:p>
            <w:r>
              <w:rPr>
                <w:rFonts w:ascii="Times New Roman" w:hAnsi="Times New Roman" w:eastAsia="Times New Roman" w:cs="Times New Roman"/>
                <w:b/>
                <w:color w:val="000000"/>
                <w:sz w:val="17"/>
              </w:rPr>
              <w:t>Use in the project</w:t>
            </w:r>
          </w:p>
        </w:tc>
      </w:tr>
      <w:tr>
        <w:tc>
          <w:tcPr>
            <w:tcW w:type="dxa" w:w="2448"/>
            <w:tcMar>
              <w:top w:w="80" w:type="dxa"/>
              <w:start w:w="100" w:type="dxa"/>
              <w:bottom w:w="80" w:type="dxa"/>
              <w:end w:w="100" w:type="dxa"/>
            </w:tcMar>
            <w:vAlign w:val="top"/>
          </w:tcPr>
          <w:p>
            <w:r>
              <w:rPr>
                <w:rFonts w:ascii="Times New Roman" w:hAnsi="Times New Roman" w:eastAsia="Times New Roman" w:cs="Times New Roman"/>
                <w:color w:val="000000"/>
                <w:sz w:val="17"/>
              </w:rPr>
              <w:t>Python</w:t>
            </w:r>
          </w:p>
        </w:tc>
        <w:tc>
          <w:tcPr>
            <w:tcW w:type="dxa" w:w="7488"/>
            <w:tcMar>
              <w:top w:w="80" w:type="dxa"/>
              <w:start w:w="100" w:type="dxa"/>
              <w:bottom w:w="80" w:type="dxa"/>
              <w:end w:w="100" w:type="dxa"/>
            </w:tcMar>
            <w:vAlign w:val="top"/>
          </w:tcPr>
          <w:p>
            <w:r>
              <w:rPr>
                <w:rFonts w:ascii="Times New Roman" w:hAnsi="Times New Roman" w:eastAsia="Times New Roman" w:cs="Times New Roman"/>
                <w:color w:val="000000"/>
                <w:sz w:val="17"/>
              </w:rPr>
              <w:t>Primary programming environment</w:t>
            </w:r>
          </w:p>
        </w:tc>
      </w:tr>
      <w:tr>
        <w:tc>
          <w:tcPr>
            <w:tcW w:type="dxa" w:w="2448"/>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Pandas</w:t>
            </w:r>
          </w:p>
        </w:tc>
        <w:tc>
          <w:tcPr>
            <w:tcW w:type="dxa" w:w="7488"/>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Data loading, cleaning, grouping and summaries</w:t>
            </w:r>
          </w:p>
        </w:tc>
      </w:tr>
      <w:tr>
        <w:tc>
          <w:tcPr>
            <w:tcW w:type="dxa" w:w="2448"/>
            <w:tcMar>
              <w:top w:w="80" w:type="dxa"/>
              <w:start w:w="100" w:type="dxa"/>
              <w:bottom w:w="80" w:type="dxa"/>
              <w:end w:w="100" w:type="dxa"/>
            </w:tcMar>
            <w:vAlign w:val="top"/>
          </w:tcPr>
          <w:p>
            <w:r>
              <w:rPr>
                <w:rFonts w:ascii="Times New Roman" w:hAnsi="Times New Roman" w:eastAsia="Times New Roman" w:cs="Times New Roman"/>
                <w:color w:val="000000"/>
                <w:sz w:val="17"/>
              </w:rPr>
              <w:t>NumPy</w:t>
            </w:r>
          </w:p>
        </w:tc>
        <w:tc>
          <w:tcPr>
            <w:tcW w:type="dxa" w:w="7488"/>
            <w:tcMar>
              <w:top w:w="80" w:type="dxa"/>
              <w:start w:w="100" w:type="dxa"/>
              <w:bottom w:w="80" w:type="dxa"/>
              <w:end w:w="100" w:type="dxa"/>
            </w:tcMar>
            <w:vAlign w:val="top"/>
          </w:tcPr>
          <w:p>
            <w:r>
              <w:rPr>
                <w:rFonts w:ascii="Times New Roman" w:hAnsi="Times New Roman" w:eastAsia="Times New Roman" w:cs="Times New Roman"/>
                <w:color w:val="000000"/>
                <w:sz w:val="17"/>
              </w:rPr>
              <w:t>Numerical operations and transformations</w:t>
            </w:r>
          </w:p>
        </w:tc>
      </w:tr>
      <w:tr>
        <w:tc>
          <w:tcPr>
            <w:tcW w:type="dxa" w:w="2448"/>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Matplotlib</w:t>
            </w:r>
          </w:p>
        </w:tc>
        <w:tc>
          <w:tcPr>
            <w:tcW w:type="dxa" w:w="7488"/>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Core charts and visual communication</w:t>
            </w:r>
          </w:p>
        </w:tc>
      </w:tr>
      <w:tr>
        <w:tc>
          <w:tcPr>
            <w:tcW w:type="dxa" w:w="2448"/>
            <w:tcMar>
              <w:top w:w="80" w:type="dxa"/>
              <w:start w:w="100" w:type="dxa"/>
              <w:bottom w:w="80" w:type="dxa"/>
              <w:end w:w="100" w:type="dxa"/>
            </w:tcMar>
            <w:vAlign w:val="top"/>
          </w:tcPr>
          <w:p>
            <w:r>
              <w:rPr>
                <w:rFonts w:ascii="Times New Roman" w:hAnsi="Times New Roman" w:eastAsia="Times New Roman" w:cs="Times New Roman"/>
                <w:color w:val="000000"/>
                <w:sz w:val="17"/>
              </w:rPr>
              <w:t>Seaborn</w:t>
            </w:r>
          </w:p>
        </w:tc>
        <w:tc>
          <w:tcPr>
            <w:tcW w:type="dxa" w:w="7488"/>
            <w:tcMar>
              <w:top w:w="80" w:type="dxa"/>
              <w:start w:w="100" w:type="dxa"/>
              <w:bottom w:w="80" w:type="dxa"/>
              <w:end w:w="100" w:type="dxa"/>
            </w:tcMar>
            <w:vAlign w:val="top"/>
          </w:tcPr>
          <w:p>
            <w:r>
              <w:rPr>
                <w:rFonts w:ascii="Times New Roman" w:hAnsi="Times New Roman" w:eastAsia="Times New Roman" w:cs="Times New Roman"/>
                <w:color w:val="000000"/>
                <w:sz w:val="17"/>
              </w:rPr>
              <w:t>Statistical and categorical visualizations</w:t>
            </w:r>
          </w:p>
        </w:tc>
      </w:tr>
      <w:tr>
        <w:tc>
          <w:tcPr>
            <w:tcW w:type="dxa" w:w="2448"/>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SciPy</w:t>
            </w:r>
          </w:p>
        </w:tc>
        <w:tc>
          <w:tcPr>
            <w:tcW w:type="dxa" w:w="7488"/>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Welch t-test, ANOVA and Chi-Square testing</w:t>
            </w:r>
          </w:p>
        </w:tc>
      </w:tr>
      <w:tr>
        <w:tc>
          <w:tcPr>
            <w:tcW w:type="dxa" w:w="2448"/>
            <w:tcMar>
              <w:top w:w="80" w:type="dxa"/>
              <w:start w:w="100" w:type="dxa"/>
              <w:bottom w:w="80" w:type="dxa"/>
              <w:end w:w="100" w:type="dxa"/>
            </w:tcMar>
            <w:vAlign w:val="top"/>
          </w:tcPr>
          <w:p>
            <w:r>
              <w:rPr>
                <w:rFonts w:ascii="Times New Roman" w:hAnsi="Times New Roman" w:eastAsia="Times New Roman" w:cs="Times New Roman"/>
                <w:color w:val="000000"/>
                <w:sz w:val="17"/>
              </w:rPr>
              <w:t>Scikit-learn</w:t>
            </w:r>
          </w:p>
        </w:tc>
        <w:tc>
          <w:tcPr>
            <w:tcW w:type="dxa" w:w="7488"/>
            <w:tcMar>
              <w:top w:w="80" w:type="dxa"/>
              <w:start w:w="100" w:type="dxa"/>
              <w:bottom w:w="80" w:type="dxa"/>
              <w:end w:w="100" w:type="dxa"/>
            </w:tcMar>
            <w:vAlign w:val="top"/>
          </w:tcPr>
          <w:p>
            <w:r>
              <w:rPr>
                <w:rFonts w:ascii="Times New Roman" w:hAnsi="Times New Roman" w:eastAsia="Times New Roman" w:cs="Times New Roman"/>
                <w:color w:val="000000"/>
                <w:sz w:val="17"/>
              </w:rPr>
              <w:t>Dataset access, preprocessing, models, cross-validation and evaluation</w:t>
            </w:r>
          </w:p>
        </w:tc>
      </w:tr>
      <w:tr>
        <w:tc>
          <w:tcPr>
            <w:tcW w:type="dxa" w:w="2448"/>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python-docx</w:t>
            </w:r>
          </w:p>
        </w:tc>
        <w:tc>
          <w:tcPr>
            <w:tcW w:type="dxa" w:w="7488"/>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Professional report preparation</w:t>
            </w:r>
          </w:p>
        </w:tc>
      </w:tr>
    </w:tbl>
    <w:p>
      <w:pPr>
        <w:spacing w:after="40"/>
      </w:pPr>
    </w:p>
    <w:p>
      <w:pPr>
        <w:spacing w:after="120" w:line="269" w:lineRule="auto"/>
      </w:pPr>
      <w:r>
        <w:rPr>
          <w:rFonts w:ascii="Times New Roman" w:hAnsi="Times New Roman" w:eastAsia="Times New Roman" w:cs="Times New Roman"/>
          <w:i w:val="0"/>
          <w:color w:val="000000"/>
        </w:rPr>
        <w:t>External documentation and dataset references are retained in the individual weekly reports. This final report intentionally uses the supplied internship files as its primary evidence base.</w:t>
      </w: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15. Final Week 5 Requirement Checklist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12"/>
            <w:shd w:fill="D9E2F3"/>
            <w:tcMar>
              <w:top w:w="80" w:type="dxa"/>
              <w:start w:w="100" w:type="dxa"/>
              <w:bottom w:w="80" w:type="dxa"/>
              <w:end w:w="100" w:type="dxa"/>
            </w:tcMar>
            <w:vAlign w:val="center"/>
          </w:tcPr>
          <w:p>
            <w:r>
              <w:rPr>
                <w:rFonts w:ascii="Times New Roman" w:hAnsi="Times New Roman" w:eastAsia="Times New Roman" w:cs="Times New Roman"/>
                <w:b/>
                <w:color w:val="000000"/>
                <w:sz w:val="17"/>
              </w:rPr>
              <w:t>Week 5 requirement</w:t>
            </w:r>
          </w:p>
        </w:tc>
        <w:tc>
          <w:tcPr>
            <w:tcW w:type="dxa" w:w="1008"/>
            <w:shd w:fill="D9E2F3"/>
            <w:tcMar>
              <w:top w:w="80" w:type="dxa"/>
              <w:start w:w="100" w:type="dxa"/>
              <w:bottom w:w="80" w:type="dxa"/>
              <w:end w:w="100" w:type="dxa"/>
            </w:tcMar>
            <w:vAlign w:val="center"/>
          </w:tcPr>
          <w:p>
            <w:r>
              <w:rPr>
                <w:rFonts w:ascii="Times New Roman" w:hAnsi="Times New Roman" w:eastAsia="Times New Roman" w:cs="Times New Roman"/>
                <w:b/>
                <w:color w:val="000000"/>
                <w:sz w:val="17"/>
              </w:rPr>
              <w:t>Status</w:t>
            </w:r>
          </w:p>
        </w:tc>
        <w:tc>
          <w:tcPr>
            <w:tcW w:type="dxa" w:w="5904"/>
            <w:shd w:fill="D9E2F3"/>
            <w:tcMar>
              <w:top w:w="80" w:type="dxa"/>
              <w:start w:w="100" w:type="dxa"/>
              <w:bottom w:w="80" w:type="dxa"/>
              <w:end w:w="100" w:type="dxa"/>
            </w:tcMar>
            <w:vAlign w:val="center"/>
          </w:tcPr>
          <w:p>
            <w:r>
              <w:rPr>
                <w:rFonts w:ascii="Times New Roman" w:hAnsi="Times New Roman" w:eastAsia="Times New Roman" w:cs="Times New Roman"/>
                <w:b/>
                <w:color w:val="000000"/>
                <w:sz w:val="17"/>
              </w:rPr>
              <w:t>Evidence in final report</w:t>
            </w:r>
          </w:p>
        </w:tc>
      </w:tr>
      <w:tr>
        <w:tc>
          <w:tcPr>
            <w:tcW w:type="dxa" w:w="3312"/>
            <w:tcMar>
              <w:top w:w="80" w:type="dxa"/>
              <w:start w:w="100" w:type="dxa"/>
              <w:bottom w:w="80" w:type="dxa"/>
              <w:end w:w="100" w:type="dxa"/>
            </w:tcMar>
            <w:vAlign w:val="top"/>
          </w:tcPr>
          <w:p>
            <w:r>
              <w:rPr>
                <w:rFonts w:ascii="Times New Roman" w:hAnsi="Times New Roman" w:eastAsia="Times New Roman" w:cs="Times New Roman"/>
                <w:color w:val="000000"/>
                <w:sz w:val="17"/>
              </w:rPr>
              <w:t>Comprehensive project report</w:t>
            </w:r>
          </w:p>
        </w:tc>
        <w:tc>
          <w:tcPr>
            <w:tcW w:type="dxa" w:w="1008"/>
            <w:tcMar>
              <w:top w:w="80" w:type="dxa"/>
              <w:start w:w="100" w:type="dxa"/>
              <w:bottom w:w="80" w:type="dxa"/>
              <w:end w:w="100" w:type="dxa"/>
            </w:tcMar>
            <w:vAlign w:val="top"/>
          </w:tcPr>
          <w:p>
            <w:r>
              <w:rPr>
                <w:rFonts w:ascii="Times New Roman" w:hAnsi="Times New Roman" w:eastAsia="Times New Roman" w:cs="Times New Roman"/>
                <w:color w:val="000000"/>
                <w:sz w:val="17"/>
              </w:rPr>
              <w:t>✓</w:t>
            </w:r>
          </w:p>
        </w:tc>
        <w:tc>
          <w:tcPr>
            <w:tcW w:type="dxa" w:w="5904"/>
            <w:tcMar>
              <w:top w:w="80" w:type="dxa"/>
              <w:start w:w="100" w:type="dxa"/>
              <w:bottom w:w="80" w:type="dxa"/>
              <w:end w:w="100" w:type="dxa"/>
            </w:tcMar>
            <w:vAlign w:val="top"/>
          </w:tcPr>
          <w:p>
            <w:r>
              <w:rPr>
                <w:rFonts w:ascii="Times New Roman" w:hAnsi="Times New Roman" w:eastAsia="Times New Roman" w:cs="Times New Roman"/>
                <w:color w:val="000000"/>
                <w:sz w:val="17"/>
              </w:rPr>
              <w:t>Weeks 1–4 integrated into one final narrative</w:t>
            </w:r>
          </w:p>
        </w:tc>
      </w:tr>
      <w:tr>
        <w:tc>
          <w:tcPr>
            <w:tcW w:type="dxa" w:w="3312"/>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Executive summary</w:t>
            </w:r>
          </w:p>
        </w:tc>
        <w:tc>
          <w:tcPr>
            <w:tcW w:type="dxa" w:w="1008"/>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w:t>
            </w:r>
          </w:p>
        </w:tc>
        <w:tc>
          <w:tcPr>
            <w:tcW w:type="dxa" w:w="5904"/>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Included at the beginning of the report</w:t>
            </w:r>
          </w:p>
        </w:tc>
      </w:tr>
      <w:tr>
        <w:tc>
          <w:tcPr>
            <w:tcW w:type="dxa" w:w="3312"/>
            <w:tcMar>
              <w:top w:w="80" w:type="dxa"/>
              <w:start w:w="100" w:type="dxa"/>
              <w:bottom w:w="80" w:type="dxa"/>
              <w:end w:w="100" w:type="dxa"/>
            </w:tcMar>
            <w:vAlign w:val="top"/>
          </w:tcPr>
          <w:p>
            <w:r>
              <w:rPr>
                <w:rFonts w:ascii="Times New Roman" w:hAnsi="Times New Roman" w:eastAsia="Times New Roman" w:cs="Times New Roman"/>
                <w:color w:val="000000"/>
                <w:sz w:val="17"/>
              </w:rPr>
              <w:t>Methodology</w:t>
            </w:r>
          </w:p>
        </w:tc>
        <w:tc>
          <w:tcPr>
            <w:tcW w:type="dxa" w:w="1008"/>
            <w:tcMar>
              <w:top w:w="80" w:type="dxa"/>
              <w:start w:w="100" w:type="dxa"/>
              <w:bottom w:w="80" w:type="dxa"/>
              <w:end w:w="100" w:type="dxa"/>
            </w:tcMar>
            <w:vAlign w:val="top"/>
          </w:tcPr>
          <w:p>
            <w:r>
              <w:rPr>
                <w:rFonts w:ascii="Times New Roman" w:hAnsi="Times New Roman" w:eastAsia="Times New Roman" w:cs="Times New Roman"/>
                <w:color w:val="000000"/>
                <w:sz w:val="17"/>
              </w:rPr>
              <w:t>✓</w:t>
            </w:r>
          </w:p>
        </w:tc>
        <w:tc>
          <w:tcPr>
            <w:tcW w:type="dxa" w:w="5904"/>
            <w:tcMar>
              <w:top w:w="80" w:type="dxa"/>
              <w:start w:w="100" w:type="dxa"/>
              <w:bottom w:w="80" w:type="dxa"/>
              <w:end w:w="100" w:type="dxa"/>
            </w:tcMar>
            <w:vAlign w:val="top"/>
          </w:tcPr>
          <w:p>
            <w:r>
              <w:rPr>
                <w:rFonts w:ascii="Times New Roman" w:hAnsi="Times New Roman" w:eastAsia="Times New Roman" w:cs="Times New Roman"/>
                <w:color w:val="000000"/>
                <w:sz w:val="17"/>
              </w:rPr>
              <w:t>End-to-end workflow and weekly methodologies documented</w:t>
            </w:r>
          </w:p>
        </w:tc>
      </w:tr>
      <w:tr>
        <w:tc>
          <w:tcPr>
            <w:tcW w:type="dxa" w:w="3312"/>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Detailed analysis</w:t>
            </w:r>
          </w:p>
        </w:tc>
        <w:tc>
          <w:tcPr>
            <w:tcW w:type="dxa" w:w="1008"/>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w:t>
            </w:r>
          </w:p>
        </w:tc>
        <w:tc>
          <w:tcPr>
            <w:tcW w:type="dxa" w:w="5904"/>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Retail analytics, statistics and machine learning covered</w:t>
            </w:r>
          </w:p>
        </w:tc>
      </w:tr>
      <w:tr>
        <w:tc>
          <w:tcPr>
            <w:tcW w:type="dxa" w:w="3312"/>
            <w:tcMar>
              <w:top w:w="80" w:type="dxa"/>
              <w:start w:w="100" w:type="dxa"/>
              <w:bottom w:w="80" w:type="dxa"/>
              <w:end w:w="100" w:type="dxa"/>
            </w:tcMar>
            <w:vAlign w:val="top"/>
          </w:tcPr>
          <w:p>
            <w:r>
              <w:rPr>
                <w:rFonts w:ascii="Times New Roman" w:hAnsi="Times New Roman" w:eastAsia="Times New Roman" w:cs="Times New Roman"/>
                <w:color w:val="000000"/>
                <w:sz w:val="17"/>
              </w:rPr>
              <w:t>Visualizations</w:t>
            </w:r>
          </w:p>
        </w:tc>
        <w:tc>
          <w:tcPr>
            <w:tcW w:type="dxa" w:w="1008"/>
            <w:tcMar>
              <w:top w:w="80" w:type="dxa"/>
              <w:start w:w="100" w:type="dxa"/>
              <w:bottom w:w="80" w:type="dxa"/>
              <w:end w:w="100" w:type="dxa"/>
            </w:tcMar>
            <w:vAlign w:val="top"/>
          </w:tcPr>
          <w:p>
            <w:r>
              <w:rPr>
                <w:rFonts w:ascii="Times New Roman" w:hAnsi="Times New Roman" w:eastAsia="Times New Roman" w:cs="Times New Roman"/>
                <w:color w:val="000000"/>
                <w:sz w:val="17"/>
              </w:rPr>
              <w:t>✓</w:t>
            </w:r>
          </w:p>
        </w:tc>
        <w:tc>
          <w:tcPr>
            <w:tcW w:type="dxa" w:w="5904"/>
            <w:tcMar>
              <w:top w:w="80" w:type="dxa"/>
              <w:start w:w="100" w:type="dxa"/>
              <w:bottom w:w="80" w:type="dxa"/>
              <w:end w:w="100" w:type="dxa"/>
            </w:tcMar>
            <w:vAlign w:val="top"/>
          </w:tcPr>
          <w:p>
            <w:r>
              <w:rPr>
                <w:rFonts w:ascii="Times New Roman" w:hAnsi="Times New Roman" w:eastAsia="Times New Roman" w:cs="Times New Roman"/>
                <w:color w:val="000000"/>
                <w:sz w:val="17"/>
              </w:rPr>
              <w:t>Actual visuals from weekly reports integrated and annotated</w:t>
            </w:r>
          </w:p>
        </w:tc>
      </w:tr>
      <w:tr>
        <w:tc>
          <w:tcPr>
            <w:tcW w:type="dxa" w:w="3312"/>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Code snippets</w:t>
            </w:r>
          </w:p>
        </w:tc>
        <w:tc>
          <w:tcPr>
            <w:tcW w:type="dxa" w:w="1008"/>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w:t>
            </w:r>
          </w:p>
        </w:tc>
        <w:tc>
          <w:tcPr>
            <w:tcW w:type="dxa" w:w="5904"/>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Representative notebook excerpts included</w:t>
            </w:r>
          </w:p>
        </w:tc>
      </w:tr>
      <w:tr>
        <w:tc>
          <w:tcPr>
            <w:tcW w:type="dxa" w:w="3312"/>
            <w:tcMar>
              <w:top w:w="80" w:type="dxa"/>
              <w:start w:w="100" w:type="dxa"/>
              <w:bottom w:w="80" w:type="dxa"/>
              <w:end w:w="100" w:type="dxa"/>
            </w:tcMar>
            <w:vAlign w:val="top"/>
          </w:tcPr>
          <w:p>
            <w:r>
              <w:rPr>
                <w:rFonts w:ascii="Times New Roman" w:hAnsi="Times New Roman" w:eastAsia="Times New Roman" w:cs="Times New Roman"/>
                <w:color w:val="000000"/>
                <w:sz w:val="17"/>
              </w:rPr>
              <w:t>Strategic recommendations</w:t>
            </w:r>
          </w:p>
        </w:tc>
        <w:tc>
          <w:tcPr>
            <w:tcW w:type="dxa" w:w="1008"/>
            <w:tcMar>
              <w:top w:w="80" w:type="dxa"/>
              <w:start w:w="100" w:type="dxa"/>
              <w:bottom w:w="80" w:type="dxa"/>
              <w:end w:w="100" w:type="dxa"/>
            </w:tcMar>
            <w:vAlign w:val="top"/>
          </w:tcPr>
          <w:p>
            <w:r>
              <w:rPr>
                <w:rFonts w:ascii="Times New Roman" w:hAnsi="Times New Roman" w:eastAsia="Times New Roman" w:cs="Times New Roman"/>
                <w:color w:val="000000"/>
                <w:sz w:val="17"/>
              </w:rPr>
              <w:t>✓</w:t>
            </w:r>
          </w:p>
        </w:tc>
        <w:tc>
          <w:tcPr>
            <w:tcW w:type="dxa" w:w="5904"/>
            <w:tcMar>
              <w:top w:w="80" w:type="dxa"/>
              <w:start w:w="100" w:type="dxa"/>
              <w:bottom w:w="80" w:type="dxa"/>
              <w:end w:w="100" w:type="dxa"/>
            </w:tcMar>
            <w:vAlign w:val="top"/>
          </w:tcPr>
          <w:p>
            <w:r>
              <w:rPr>
                <w:rFonts w:ascii="Times New Roman" w:hAnsi="Times New Roman" w:eastAsia="Times New Roman" w:cs="Times New Roman"/>
                <w:color w:val="000000"/>
                <w:sz w:val="17"/>
              </w:rPr>
              <w:t>Evidence-linked recommendations with suggested KPIs</w:t>
            </w:r>
          </w:p>
        </w:tc>
      </w:tr>
      <w:tr>
        <w:tc>
          <w:tcPr>
            <w:tcW w:type="dxa" w:w="3312"/>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Business/research impact</w:t>
            </w:r>
          </w:p>
        </w:tc>
        <w:tc>
          <w:tcPr>
            <w:tcW w:type="dxa" w:w="1008"/>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w:t>
            </w:r>
          </w:p>
        </w:tc>
        <w:tc>
          <w:tcPr>
            <w:tcW w:type="dxa" w:w="5904"/>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Stakeholder and analytical impact discussed</w:t>
            </w:r>
          </w:p>
        </w:tc>
      </w:tr>
      <w:tr>
        <w:tc>
          <w:tcPr>
            <w:tcW w:type="dxa" w:w="3312"/>
            <w:tcMar>
              <w:top w:w="80" w:type="dxa"/>
              <w:start w:w="100" w:type="dxa"/>
              <w:bottom w:w="80" w:type="dxa"/>
              <w:end w:w="100" w:type="dxa"/>
            </w:tcMar>
            <w:vAlign w:val="top"/>
          </w:tcPr>
          <w:p>
            <w:r>
              <w:rPr>
                <w:rFonts w:ascii="Times New Roman" w:hAnsi="Times New Roman" w:eastAsia="Times New Roman" w:cs="Times New Roman"/>
                <w:color w:val="000000"/>
                <w:sz w:val="17"/>
              </w:rPr>
              <w:t>Limitations</w:t>
            </w:r>
          </w:p>
        </w:tc>
        <w:tc>
          <w:tcPr>
            <w:tcW w:type="dxa" w:w="1008"/>
            <w:tcMar>
              <w:top w:w="80" w:type="dxa"/>
              <w:start w:w="100" w:type="dxa"/>
              <w:bottom w:w="80" w:type="dxa"/>
              <w:end w:w="100" w:type="dxa"/>
            </w:tcMar>
            <w:vAlign w:val="top"/>
          </w:tcPr>
          <w:p>
            <w:r>
              <w:rPr>
                <w:rFonts w:ascii="Times New Roman" w:hAnsi="Times New Roman" w:eastAsia="Times New Roman" w:cs="Times New Roman"/>
                <w:color w:val="000000"/>
                <w:sz w:val="17"/>
              </w:rPr>
              <w:t>✓</w:t>
            </w:r>
          </w:p>
        </w:tc>
        <w:tc>
          <w:tcPr>
            <w:tcW w:type="dxa" w:w="5904"/>
            <w:tcMar>
              <w:top w:w="80" w:type="dxa"/>
              <w:start w:w="100" w:type="dxa"/>
              <w:bottom w:w="80" w:type="dxa"/>
              <w:end w:w="100" w:type="dxa"/>
            </w:tcMar>
            <w:vAlign w:val="top"/>
          </w:tcPr>
          <w:p>
            <w:r>
              <w:rPr>
                <w:rFonts w:ascii="Times New Roman" w:hAnsi="Times New Roman" w:eastAsia="Times New Roman" w:cs="Times New Roman"/>
                <w:color w:val="000000"/>
                <w:sz w:val="17"/>
              </w:rPr>
              <w:t>Retail, statistical and ML limitations documented</w:t>
            </w:r>
          </w:p>
        </w:tc>
      </w:tr>
      <w:tr>
        <w:tc>
          <w:tcPr>
            <w:tcW w:type="dxa" w:w="3312"/>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Future improvements</w:t>
            </w:r>
          </w:p>
        </w:tc>
        <w:tc>
          <w:tcPr>
            <w:tcW w:type="dxa" w:w="1008"/>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w:t>
            </w:r>
          </w:p>
        </w:tc>
        <w:tc>
          <w:tcPr>
            <w:tcW w:type="dxa" w:w="5904"/>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Prioritised improvement roadmap included</w:t>
            </w:r>
          </w:p>
        </w:tc>
      </w:tr>
      <w:tr>
        <w:tc>
          <w:tcPr>
            <w:tcW w:type="dxa" w:w="3312"/>
            <w:tcMar>
              <w:top w:w="80" w:type="dxa"/>
              <w:start w:w="100" w:type="dxa"/>
              <w:bottom w:w="80" w:type="dxa"/>
              <w:end w:w="100" w:type="dxa"/>
            </w:tcMar>
            <w:vAlign w:val="top"/>
          </w:tcPr>
          <w:p>
            <w:r>
              <w:rPr>
                <w:rFonts w:ascii="Times New Roman" w:hAnsi="Times New Roman" w:eastAsia="Times New Roman" w:cs="Times New Roman"/>
                <w:color w:val="000000"/>
                <w:sz w:val="17"/>
              </w:rPr>
              <w:t>Conclusion</w:t>
            </w:r>
          </w:p>
        </w:tc>
        <w:tc>
          <w:tcPr>
            <w:tcW w:type="dxa" w:w="1008"/>
            <w:tcMar>
              <w:top w:w="80" w:type="dxa"/>
              <w:start w:w="100" w:type="dxa"/>
              <w:bottom w:w="80" w:type="dxa"/>
              <w:end w:w="100" w:type="dxa"/>
            </w:tcMar>
            <w:vAlign w:val="top"/>
          </w:tcPr>
          <w:p>
            <w:r>
              <w:rPr>
                <w:rFonts w:ascii="Times New Roman" w:hAnsi="Times New Roman" w:eastAsia="Times New Roman" w:cs="Times New Roman"/>
                <w:color w:val="000000"/>
                <w:sz w:val="17"/>
              </w:rPr>
              <w:t>✓</w:t>
            </w:r>
          </w:p>
        </w:tc>
        <w:tc>
          <w:tcPr>
            <w:tcW w:type="dxa" w:w="5904"/>
            <w:tcMar>
              <w:top w:w="80" w:type="dxa"/>
              <w:start w:w="100" w:type="dxa"/>
              <w:bottom w:w="80" w:type="dxa"/>
              <w:end w:w="100" w:type="dxa"/>
            </w:tcMar>
            <w:vAlign w:val="top"/>
          </w:tcPr>
          <w:p>
            <w:r>
              <w:rPr>
                <w:rFonts w:ascii="Times New Roman" w:hAnsi="Times New Roman" w:eastAsia="Times New Roman" w:cs="Times New Roman"/>
                <w:color w:val="000000"/>
                <w:sz w:val="17"/>
              </w:rPr>
              <w:t>Overall learning and project outcome summarised</w:t>
            </w:r>
          </w:p>
        </w:tc>
      </w:tr>
      <w:tr>
        <w:tc>
          <w:tcPr>
            <w:tcW w:type="dxa" w:w="3312"/>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Professional structure</w:t>
            </w:r>
          </w:p>
        </w:tc>
        <w:tc>
          <w:tcPr>
            <w:tcW w:type="dxa" w:w="1008"/>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w:t>
            </w:r>
          </w:p>
        </w:tc>
        <w:tc>
          <w:tcPr>
            <w:tcW w:type="dxa" w:w="5904"/>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Cover, report map, headings, tables, figures and references</w:t>
            </w:r>
          </w:p>
        </w:tc>
      </w:tr>
      <w:tr>
        <w:tc>
          <w:tcPr>
            <w:tcW w:type="dxa" w:w="3312"/>
            <w:tcMar>
              <w:top w:w="80" w:type="dxa"/>
              <w:start w:w="100" w:type="dxa"/>
              <w:bottom w:w="80" w:type="dxa"/>
              <w:end w:w="100" w:type="dxa"/>
            </w:tcMar>
            <w:vAlign w:val="top"/>
          </w:tcPr>
          <w:p>
            <w:r>
              <w:rPr>
                <w:rFonts w:ascii="Times New Roman" w:hAnsi="Times New Roman" w:eastAsia="Times New Roman" w:cs="Times New Roman"/>
                <w:color w:val="000000"/>
                <w:sz w:val="17"/>
              </w:rPr>
              <w:t>Integration of prior learning</w:t>
            </w:r>
          </w:p>
        </w:tc>
        <w:tc>
          <w:tcPr>
            <w:tcW w:type="dxa" w:w="1008"/>
            <w:tcMar>
              <w:top w:w="80" w:type="dxa"/>
              <w:start w:w="100" w:type="dxa"/>
              <w:bottom w:w="80" w:type="dxa"/>
              <w:end w:w="100" w:type="dxa"/>
            </w:tcMar>
            <w:vAlign w:val="top"/>
          </w:tcPr>
          <w:p>
            <w:r>
              <w:rPr>
                <w:rFonts w:ascii="Times New Roman" w:hAnsi="Times New Roman" w:eastAsia="Times New Roman" w:cs="Times New Roman"/>
                <w:color w:val="000000"/>
                <w:sz w:val="17"/>
              </w:rPr>
              <w:t>✓</w:t>
            </w:r>
          </w:p>
        </w:tc>
        <w:tc>
          <w:tcPr>
            <w:tcW w:type="dxa" w:w="5904"/>
            <w:tcMar>
              <w:top w:w="80" w:type="dxa"/>
              <w:start w:w="100" w:type="dxa"/>
              <w:bottom w:w="80" w:type="dxa"/>
              <w:end w:w="100" w:type="dxa"/>
            </w:tcMar>
            <w:vAlign w:val="top"/>
          </w:tcPr>
          <w:p>
            <w:r>
              <w:rPr>
                <w:rFonts w:ascii="Times New Roman" w:hAnsi="Times New Roman" w:eastAsia="Times New Roman" w:cs="Times New Roman"/>
                <w:color w:val="000000"/>
                <w:sz w:val="17"/>
              </w:rPr>
              <w:t>Weeks 1–4 explicitly connected</w:t>
            </w:r>
          </w:p>
        </w:tc>
      </w:tr>
      <w:tr>
        <w:tc>
          <w:tcPr>
            <w:tcW w:type="dxa" w:w="3312"/>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Workload evidence</w:t>
            </w:r>
          </w:p>
        </w:tc>
        <w:tc>
          <w:tcPr>
            <w:tcW w:type="dxa" w:w="1008"/>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w:t>
            </w:r>
          </w:p>
        </w:tc>
        <w:tc>
          <w:tcPr>
            <w:tcW w:type="dxa" w:w="5904"/>
            <w:tcMar>
              <w:top w:w="80" w:type="dxa"/>
              <w:start w:w="100" w:type="dxa"/>
              <w:bottom w:w="80" w:type="dxa"/>
              <w:end w:w="100" w:type="dxa"/>
            </w:tcMar>
            <w:vAlign w:val="top"/>
            <w:shd w:fill="F7F7F7"/>
          </w:tcPr>
          <w:p>
            <w:r>
              <w:rPr>
                <w:rFonts w:ascii="Times New Roman" w:hAnsi="Times New Roman" w:eastAsia="Times New Roman" w:cs="Times New Roman"/>
                <w:color w:val="000000"/>
                <w:sz w:val="17"/>
              </w:rPr>
              <w:t>Weekly source reports retained as supporting evidence; Week 2 records an estimated 34 hours</w:t>
            </w:r>
          </w:p>
        </w:tc>
      </w:tr>
    </w:tbl>
    <w:p>
      <w:pPr>
        <w:spacing w:after="40"/>
      </w:pPr>
    </w:p>
    <w:p>
      <w:pPr>
        <w:pStyle w:val="Heading2"/>
      </w:pPr>
      <w:r>
        <w:rPr>
          <w:rFonts w:ascii="Times New Roman" w:hAnsi="Times New Roman" w:eastAsia="Times New Roman" w:cs="Times New Roman"/>
          <w:color w:val="000000"/>
        </w:rPr>
        <w:t>Author's Final Note</w:t>
      </w:r>
    </w:p>
    <w:p>
      <w:pPr>
        <w:spacing w:after="120" w:line="269" w:lineRule="auto"/>
      </w:pPr>
      <w:r>
        <w:rPr>
          <w:rFonts w:ascii="Times New Roman" w:hAnsi="Times New Roman" w:eastAsia="Times New Roman" w:cs="Times New Roman"/>
          <w:i w:val="0"/>
          <w:color w:val="000000"/>
        </w:rPr>
        <w:t>This document is intended to present the internship work as a coherent professional data-science project. The findings are based on the supplied weekly reports and executed notebooks, and the recommendations are framed as evidence-informed next steps rather than unsupported claims.</w:t>
      </w:r>
    </w:p>
    <w:p>
      <w:pPr>
        <w:spacing w:after="120" w:line="269" w:lineRule="auto"/>
      </w:pPr>
      <w:r>
        <w:rPr>
          <w:rFonts w:ascii="Times New Roman" w:hAnsi="Times New Roman" w:eastAsia="Times New Roman" w:cs="Times New Roman"/>
          <w:b/>
          <w:color w:val="000000"/>
        </w:rPr>
        <w:t xml:space="preserve">Prepared by: </w:t>
      </w:r>
      <w:r>
        <w:rPr>
          <w:rFonts w:ascii="Times New Roman" w:hAnsi="Times New Roman" w:eastAsia="Times New Roman" w:cs="Times New Roman"/>
          <w:i w:val="0"/>
          <w:color w:val="000000"/>
        </w:rPr>
        <w:t>Vechham Sai Yaswin</w:t>
      </w:r>
    </w:p>
    <w:p>
      <w:pPr>
        <w:spacing w:after="120" w:line="269" w:lineRule="auto"/>
      </w:pPr>
      <w:r>
        <w:rPr>
          <w:rFonts w:ascii="Times New Roman" w:hAnsi="Times New Roman" w:eastAsia="Times New Roman" w:cs="Times New Roman"/>
          <w:b/>
          <w:color w:val="000000"/>
        </w:rPr>
        <w:t xml:space="preserve">Final Week: </w:t>
      </w:r>
      <w:r>
        <w:rPr>
          <w:rFonts w:ascii="Times New Roman" w:hAnsi="Times New Roman" w:eastAsia="Times New Roman" w:cs="Times New Roman"/>
          <w:i w:val="0"/>
          <w:color w:val="000000"/>
        </w:rPr>
        <w:t>Week 5 | Year: 2026</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16"/>
      </w:rPr>
      <w:t xml:space="preserve">Vechham Sai Yaswin  |  Data Science Internship  |  </w:t>
    </w:r>
    <w:r>
      <w:rPr>
        <w:rFonts w:ascii="Times New Roman" w:hAnsi="Times New Roman" w:eastAsia="Times New Roman" w:cs="Times New Roman"/>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s="Times New Roman"/>
        <w:color w:val="000000"/>
        <w:sz w:val="16"/>
      </w:rPr>
      <w:t>WEEK 5 | COMPREHENSIVE DATA SCIENCE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