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2 – EXPLORATORY DATA ANALYSIS</w:t>
      </w:r>
    </w:p>
    <w:p>
      <w:pPr>
        <w:jc w:val="center"/>
      </w:pPr>
      <w:r>
        <w:rPr>
          <w:b/>
          <w:sz w:val="38"/>
        </w:rPr>
        <w:t>Exploratory Data Analysis and Visualization Using R</w:t>
      </w:r>
    </w:p>
    <w:p>
      <w:pPr>
        <w:jc w:val="center"/>
      </w:pPr>
      <w:r>
        <w:rPr>
          <w:sz w:val="24"/>
        </w:rPr>
        <w:br/>
        <w:t>Dataset: Fisher / Anderson Iris Dataset</w:t>
        <w:br/>
      </w:r>
      <w:r>
        <w:rPr>
          <w:sz w:val="22"/>
        </w:rPr>
        <w:t>Tools: R, RStudio, ggplot2 and corrplot</w:t>
        <w:br/>
      </w:r>
      <w:r>
        <w:rPr>
          <w:sz w:val="22"/>
        </w:rPr>
        <w:t>Estimated effort: approximately 30–35 hours</w:t>
      </w:r>
    </w:p>
    <w:p>
      <w:r>
        <w:br w:type="page"/>
      </w:r>
    </w:p>
    <w:p>
      <w:pPr>
        <w:pStyle w:val="Heading1"/>
      </w:pPr>
      <w:r>
        <w:t>1. Introduction</w:t>
      </w:r>
    </w:p>
    <w:p>
      <w:r>
        <w:t>For Week 2, I carried out an exploratory data analysis (EDA) using the well-known Iris dataset. The purpose of this analysis is not just to create charts, but to understand the structure of the data, check its quality, summarize the variables, and identify relationships that may be useful for further analysis.</w:t>
      </w:r>
    </w:p>
    <w:p>
      <w:r>
        <w:t>I selected the Iris dataset because it is small enough to understand clearly while still containing both continuous measurements and a categorical class variable. It is publicly documented, widely used for learning data analysis and classification, and is included in R's standard datasets package.</w:t>
      </w:r>
    </w:p>
    <w:p>
      <w:pPr>
        <w:pStyle w:val="Heading1"/>
      </w:pPr>
      <w:r>
        <w:t>2. Dataset Description</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Item</w:t>
            </w:r>
          </w:p>
        </w:tc>
        <w:tc>
          <w:tcPr>
            <w:tcW w:type="dxa" w:w="5040"/>
            <w:shd w:fill="1F4E78"/>
          </w:tcPr>
          <w:p>
            <w:r>
              <w:rPr>
                <w:b/>
                <w:color w:val="FFFFFF"/>
                <w:sz w:val="18"/>
              </w:rPr>
              <w:t>Description</w:t>
            </w:r>
          </w:p>
        </w:tc>
      </w:tr>
      <w:tr>
        <w:tc>
          <w:tcPr>
            <w:tcW w:type="dxa" w:w="5040"/>
            <w:vAlign w:val="center"/>
          </w:tcPr>
          <w:p>
            <w:r>
              <w:rPr>
                <w:sz w:val="18"/>
              </w:rPr>
              <w:t>Dataset</w:t>
            </w:r>
          </w:p>
        </w:tc>
        <w:tc>
          <w:tcPr>
            <w:tcW w:type="dxa" w:w="5040"/>
            <w:vAlign w:val="center"/>
          </w:tcPr>
          <w:p>
            <w:r>
              <w:rPr>
                <w:sz w:val="18"/>
              </w:rPr>
              <w:t>Iris / Fisher's Iris dataset</w:t>
            </w:r>
          </w:p>
        </w:tc>
      </w:tr>
      <w:tr>
        <w:tc>
          <w:tcPr>
            <w:tcW w:type="dxa" w:w="5040"/>
            <w:vAlign w:val="center"/>
          </w:tcPr>
          <w:p>
            <w:r>
              <w:rPr>
                <w:sz w:val="18"/>
              </w:rPr>
              <w:t>Observations</w:t>
            </w:r>
          </w:p>
        </w:tc>
        <w:tc>
          <w:tcPr>
            <w:tcW w:type="dxa" w:w="5040"/>
            <w:vAlign w:val="center"/>
          </w:tcPr>
          <w:p>
            <w:r>
              <w:rPr>
                <w:sz w:val="18"/>
              </w:rPr>
              <w:t>150 flower samples</w:t>
            </w:r>
          </w:p>
        </w:tc>
      </w:tr>
      <w:tr>
        <w:tc>
          <w:tcPr>
            <w:tcW w:type="dxa" w:w="5040"/>
            <w:vAlign w:val="center"/>
          </w:tcPr>
          <w:p>
            <w:r>
              <w:rPr>
                <w:sz w:val="18"/>
              </w:rPr>
              <w:t>Predictor variables</w:t>
            </w:r>
          </w:p>
        </w:tc>
        <w:tc>
          <w:tcPr>
            <w:tcW w:type="dxa" w:w="5040"/>
            <w:vAlign w:val="center"/>
          </w:tcPr>
          <w:p>
            <w:r>
              <w:rPr>
                <w:sz w:val="18"/>
              </w:rPr>
              <w:t>Sepal Length, Sepal Width, Petal Length, Petal Width</w:t>
            </w:r>
          </w:p>
        </w:tc>
      </w:tr>
      <w:tr>
        <w:tc>
          <w:tcPr>
            <w:tcW w:type="dxa" w:w="5040"/>
            <w:vAlign w:val="center"/>
          </w:tcPr>
          <w:p>
            <w:r>
              <w:rPr>
                <w:sz w:val="18"/>
              </w:rPr>
              <w:t>Grouping variable</w:t>
            </w:r>
          </w:p>
        </w:tc>
        <w:tc>
          <w:tcPr>
            <w:tcW w:type="dxa" w:w="5040"/>
            <w:vAlign w:val="center"/>
          </w:tcPr>
          <w:p>
            <w:r>
              <w:rPr>
                <w:sz w:val="18"/>
              </w:rPr>
              <w:t>Species</w:t>
            </w:r>
          </w:p>
        </w:tc>
      </w:tr>
      <w:tr>
        <w:tc>
          <w:tcPr>
            <w:tcW w:type="dxa" w:w="5040"/>
            <w:vAlign w:val="center"/>
          </w:tcPr>
          <w:p>
            <w:r>
              <w:rPr>
                <w:sz w:val="18"/>
              </w:rPr>
              <w:t>Species</w:t>
            </w:r>
          </w:p>
        </w:tc>
        <w:tc>
          <w:tcPr>
            <w:tcW w:type="dxa" w:w="5040"/>
            <w:vAlign w:val="center"/>
          </w:tcPr>
          <w:p>
            <w:r>
              <w:rPr>
                <w:sz w:val="18"/>
              </w:rPr>
              <w:t>Setosa, Versicolor, Virginica</w:t>
            </w:r>
          </w:p>
        </w:tc>
      </w:tr>
      <w:tr>
        <w:tc>
          <w:tcPr>
            <w:tcW w:type="dxa" w:w="5040"/>
            <w:vAlign w:val="center"/>
          </w:tcPr>
          <w:p>
            <w:r>
              <w:rPr>
                <w:sz w:val="18"/>
              </w:rPr>
              <w:t>Measurement unit</w:t>
            </w:r>
          </w:p>
        </w:tc>
        <w:tc>
          <w:tcPr>
            <w:tcW w:type="dxa" w:w="5040"/>
            <w:vAlign w:val="center"/>
          </w:tcPr>
          <w:p>
            <w:r>
              <w:rPr>
                <w:sz w:val="18"/>
              </w:rPr>
              <w:t>Centimetres</w:t>
            </w:r>
          </w:p>
        </w:tc>
      </w:tr>
      <w:tr>
        <w:tc>
          <w:tcPr>
            <w:tcW w:type="dxa" w:w="5040"/>
            <w:vAlign w:val="center"/>
          </w:tcPr>
          <w:p>
            <w:r>
              <w:rPr>
                <w:sz w:val="18"/>
              </w:rPr>
              <w:t>Data type</w:t>
            </w:r>
          </w:p>
        </w:tc>
        <w:tc>
          <w:tcPr>
            <w:tcW w:type="dxa" w:w="5040"/>
            <w:vAlign w:val="center"/>
          </w:tcPr>
          <w:p>
            <w:r>
              <w:rPr>
                <w:sz w:val="18"/>
              </w:rPr>
              <w:t>Tabular; four numerical variables and one categorical variable</w:t>
            </w:r>
          </w:p>
        </w:tc>
      </w:tr>
      <w:tr>
        <w:tc>
          <w:tcPr>
            <w:tcW w:type="dxa" w:w="5040"/>
            <w:vAlign w:val="center"/>
          </w:tcPr>
          <w:p>
            <w:r>
              <w:rPr>
                <w:sz w:val="18"/>
              </w:rPr>
              <w:t>Missing values</w:t>
            </w:r>
          </w:p>
        </w:tc>
        <w:tc>
          <w:tcPr>
            <w:tcW w:type="dxa" w:w="5040"/>
            <w:vAlign w:val="center"/>
          </w:tcPr>
          <w:p>
            <w:r>
              <w:rPr>
                <w:sz w:val="18"/>
              </w:rPr>
              <w:t>None in the R version used</w:t>
            </w:r>
          </w:p>
        </w:tc>
      </w:tr>
      <w:tr>
        <w:tc>
          <w:tcPr>
            <w:tcW w:type="dxa" w:w="5040"/>
            <w:vAlign w:val="center"/>
          </w:tcPr>
          <w:p>
            <w:r>
              <w:rPr>
                <w:sz w:val="18"/>
              </w:rPr>
              <w:t>Purpose</w:t>
            </w:r>
          </w:p>
        </w:tc>
        <w:tc>
          <w:tcPr>
            <w:tcW w:type="dxa" w:w="5040"/>
            <w:vAlign w:val="center"/>
          </w:tcPr>
          <w:p>
            <w:r>
              <w:rPr>
                <w:sz w:val="18"/>
              </w:rPr>
              <w:t>Explore distributions and relationships between measurements and species</w:t>
            </w:r>
          </w:p>
        </w:tc>
      </w:tr>
    </w:tbl>
    <w:p/>
    <w:p>
      <w:r>
        <w:t>The UCI Machine Learning Repository describes Iris as a classic classification dataset with 150 instances, four features and three classes. R's documentation describes 150 cases and five variables, including the four measurements and Species.</w:t>
      </w:r>
    </w:p>
    <w:p>
      <w:pPr>
        <w:pStyle w:val="Heading2"/>
      </w:pPr>
      <w:r>
        <w:t>2.1 Why I Selected This Dataset</w:t>
      </w:r>
    </w:p>
    <w:p>
      <w:pPr>
        <w:pStyle w:val="ListBullet"/>
        <w:spacing w:after="40"/>
      </w:pPr>
      <w:r>
        <w:t>It is publicly documented and easy to reproduce in R.</w:t>
      </w:r>
    </w:p>
    <w:p>
      <w:pPr>
        <w:pStyle w:val="ListBullet"/>
        <w:spacing w:after="40"/>
      </w:pPr>
      <w:r>
        <w:t>It contains several numerical variables for summary statistics and correlation analysis.</w:t>
      </w:r>
    </w:p>
    <w:p>
      <w:pPr>
        <w:pStyle w:val="ListBullet"/>
        <w:spacing w:after="40"/>
      </w:pPr>
      <w:r>
        <w:t>It has a categorical species variable, allowing group comparisons.</w:t>
      </w:r>
    </w:p>
    <w:p>
      <w:pPr>
        <w:pStyle w:val="ListBullet"/>
        <w:spacing w:after="40"/>
      </w:pPr>
      <w:r>
        <w:t>It is small enough to inspect carefully.</w:t>
      </w:r>
    </w:p>
    <w:p>
      <w:pPr>
        <w:pStyle w:val="ListBullet"/>
        <w:spacing w:after="40"/>
      </w:pPr>
      <w:r>
        <w:t>It provides a clear example of how EDA can support later classification work.</w:t>
      </w:r>
    </w:p>
    <w:p>
      <w:pPr>
        <w:pStyle w:val="Heading1"/>
      </w:pPr>
      <w:r>
        <w:t>3. Tools and R Packages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Tool / Package</w:t>
            </w:r>
          </w:p>
        </w:tc>
        <w:tc>
          <w:tcPr>
            <w:tcW w:type="dxa" w:w="5040"/>
            <w:shd w:fill="1F4E78"/>
          </w:tcPr>
          <w:p>
            <w:r>
              <w:rPr>
                <w:b/>
                <w:color w:val="FFFFFF"/>
                <w:sz w:val="18"/>
              </w:rPr>
              <w:t>Purpose</w:t>
            </w:r>
          </w:p>
        </w:tc>
      </w:tr>
      <w:tr>
        <w:tc>
          <w:tcPr>
            <w:tcW w:type="dxa" w:w="5040"/>
            <w:vAlign w:val="center"/>
          </w:tcPr>
          <w:p>
            <w:r>
              <w:rPr>
                <w:sz w:val="18"/>
              </w:rPr>
              <w:t>R</w:t>
            </w:r>
          </w:p>
        </w:tc>
        <w:tc>
          <w:tcPr>
            <w:tcW w:type="dxa" w:w="5040"/>
            <w:vAlign w:val="center"/>
          </w:tcPr>
          <w:p>
            <w:r>
              <w:rPr>
                <w:sz w:val="18"/>
              </w:rPr>
              <w:t>Data manipulation and statistical analysis</w:t>
            </w:r>
          </w:p>
        </w:tc>
      </w:tr>
      <w:tr>
        <w:tc>
          <w:tcPr>
            <w:tcW w:type="dxa" w:w="5040"/>
            <w:vAlign w:val="center"/>
          </w:tcPr>
          <w:p>
            <w:r>
              <w:rPr>
                <w:sz w:val="18"/>
              </w:rPr>
              <w:t>RStudio</w:t>
            </w:r>
          </w:p>
        </w:tc>
        <w:tc>
          <w:tcPr>
            <w:tcW w:type="dxa" w:w="5040"/>
            <w:vAlign w:val="center"/>
          </w:tcPr>
          <w:p>
            <w:r>
              <w:rPr>
                <w:sz w:val="18"/>
              </w:rPr>
              <w:t>Writing and running the analysis</w:t>
            </w:r>
          </w:p>
        </w:tc>
      </w:tr>
      <w:tr>
        <w:tc>
          <w:tcPr>
            <w:tcW w:type="dxa" w:w="5040"/>
            <w:vAlign w:val="center"/>
          </w:tcPr>
          <w:p>
            <w:r>
              <w:rPr>
                <w:sz w:val="18"/>
              </w:rPr>
              <w:t>ggplot2</w:t>
            </w:r>
          </w:p>
        </w:tc>
        <w:tc>
          <w:tcPr>
            <w:tcW w:type="dxa" w:w="5040"/>
            <w:vAlign w:val="center"/>
          </w:tcPr>
          <w:p>
            <w:r>
              <w:rPr>
                <w:sz w:val="18"/>
              </w:rPr>
              <w:t>Histograms, scatter plots, box plots and bar charts</w:t>
            </w:r>
          </w:p>
        </w:tc>
      </w:tr>
      <w:tr>
        <w:tc>
          <w:tcPr>
            <w:tcW w:type="dxa" w:w="5040"/>
            <w:vAlign w:val="center"/>
          </w:tcPr>
          <w:p>
            <w:r>
              <w:rPr>
                <w:sz w:val="18"/>
              </w:rPr>
              <w:t>dplyr</w:t>
            </w:r>
          </w:p>
        </w:tc>
        <w:tc>
          <w:tcPr>
            <w:tcW w:type="dxa" w:w="5040"/>
            <w:vAlign w:val="center"/>
          </w:tcPr>
          <w:p>
            <w:r>
              <w:rPr>
                <w:sz w:val="18"/>
              </w:rPr>
              <w:t>Data preparation and grouped summaries</w:t>
            </w:r>
          </w:p>
        </w:tc>
      </w:tr>
      <w:tr>
        <w:tc>
          <w:tcPr>
            <w:tcW w:type="dxa" w:w="5040"/>
            <w:vAlign w:val="center"/>
          </w:tcPr>
          <w:p>
            <w:r>
              <w:rPr>
                <w:sz w:val="18"/>
              </w:rPr>
              <w:t>corrplot</w:t>
            </w:r>
          </w:p>
        </w:tc>
        <w:tc>
          <w:tcPr>
            <w:tcW w:type="dxa" w:w="5040"/>
            <w:vAlign w:val="center"/>
          </w:tcPr>
          <w:p>
            <w:r>
              <w:rPr>
                <w:sz w:val="18"/>
              </w:rPr>
              <w:t>Correlation matrix visualization</w:t>
            </w:r>
          </w:p>
        </w:tc>
      </w:tr>
    </w:tbl>
    <w:p/>
    <w:p>
      <w:r>
        <w:t>The analysis can be reproduced directly from R because the Iris dataset is included in the standard datasets package.</w:t>
      </w:r>
    </w:p>
    <w:p>
      <w:pPr>
        <w:pStyle w:val="Heading1"/>
      </w:pPr>
      <w:r>
        <w:t>4. Data Cleaning and Preparation</w:t>
      </w:r>
    </w:p>
    <w:p>
      <w:r>
        <w:t>Before creating visualizations, I first inspected the dataset. The main goal was to make sure the data types were appropriate and that there were no obvious missing or duplicate observations.</w:t>
      </w:r>
    </w:p>
    <w:p>
      <w:pPr>
        <w:pStyle w:val="Heading2"/>
      </w:pPr>
      <w:r>
        <w:t>4.1 Initial Inspection</w:t>
      </w:r>
    </w:p>
    <w:p>
      <w:r>
        <w:rPr>
          <w:rFonts w:ascii="Consolas" w:hAnsi="Consolas"/>
          <w:sz w:val="17"/>
        </w:rPr>
        <w:t>data(iris)</w:t>
        <w:br/>
        <w:t>head(iris)</w:t>
        <w:br/>
        <w:t>str(iris)</w:t>
        <w:br/>
        <w:t>dim(iris)</w:t>
        <w:br/>
        <w:t>summary(iris)</w:t>
      </w:r>
    </w:p>
    <w:p>
      <w:r>
        <w:t>The dataset contains 150 rows and five columns. The four measurement columns are numeric and Species is a categorical variable, so the structure is suitable for numerical summaries and grouped visualizations.</w:t>
      </w:r>
    </w:p>
    <w:p>
      <w:pPr>
        <w:pStyle w:val="Heading2"/>
      </w:pPr>
      <w:r>
        <w:t>4.2 Missing Values</w:t>
      </w:r>
    </w:p>
    <w:p>
      <w:r>
        <w:rPr>
          <w:rFonts w:ascii="Consolas" w:hAnsi="Consolas"/>
          <w:sz w:val="17"/>
        </w:rPr>
        <w:t>colSums(is.na(iris_data))</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Check</w:t>
            </w:r>
          </w:p>
        </w:tc>
        <w:tc>
          <w:tcPr>
            <w:tcW w:type="dxa" w:w="5040"/>
            <w:shd w:fill="1F4E78"/>
          </w:tcPr>
          <w:p>
            <w:r>
              <w:rPr>
                <w:b/>
                <w:color w:val="FFFFFF"/>
                <w:sz w:val="18"/>
              </w:rPr>
              <w:t>Result</w:t>
            </w:r>
          </w:p>
        </w:tc>
      </w:tr>
      <w:tr>
        <w:tc>
          <w:tcPr>
            <w:tcW w:type="dxa" w:w="5040"/>
            <w:vAlign w:val="center"/>
          </w:tcPr>
          <w:p>
            <w:r>
              <w:rPr>
                <w:sz w:val="18"/>
              </w:rPr>
              <w:t>Sepal.Length</w:t>
            </w:r>
          </w:p>
        </w:tc>
        <w:tc>
          <w:tcPr>
            <w:tcW w:type="dxa" w:w="5040"/>
            <w:vAlign w:val="center"/>
          </w:tcPr>
          <w:p>
            <w:r>
              <w:rPr>
                <w:sz w:val="18"/>
              </w:rPr>
              <w:t>0</w:t>
            </w:r>
          </w:p>
        </w:tc>
      </w:tr>
      <w:tr>
        <w:tc>
          <w:tcPr>
            <w:tcW w:type="dxa" w:w="5040"/>
            <w:vAlign w:val="center"/>
          </w:tcPr>
          <w:p>
            <w:r>
              <w:rPr>
                <w:sz w:val="18"/>
              </w:rPr>
              <w:t>Sepal.Width</w:t>
            </w:r>
          </w:p>
        </w:tc>
        <w:tc>
          <w:tcPr>
            <w:tcW w:type="dxa" w:w="5040"/>
            <w:vAlign w:val="center"/>
          </w:tcPr>
          <w:p>
            <w:r>
              <w:rPr>
                <w:sz w:val="18"/>
              </w:rPr>
              <w:t>0</w:t>
            </w:r>
          </w:p>
        </w:tc>
      </w:tr>
      <w:tr>
        <w:tc>
          <w:tcPr>
            <w:tcW w:type="dxa" w:w="5040"/>
            <w:vAlign w:val="center"/>
          </w:tcPr>
          <w:p>
            <w:r>
              <w:rPr>
                <w:sz w:val="18"/>
              </w:rPr>
              <w:t>Petal.Length</w:t>
            </w:r>
          </w:p>
        </w:tc>
        <w:tc>
          <w:tcPr>
            <w:tcW w:type="dxa" w:w="5040"/>
            <w:vAlign w:val="center"/>
          </w:tcPr>
          <w:p>
            <w:r>
              <w:rPr>
                <w:sz w:val="18"/>
              </w:rPr>
              <w:t>0</w:t>
            </w:r>
          </w:p>
        </w:tc>
      </w:tr>
      <w:tr>
        <w:tc>
          <w:tcPr>
            <w:tcW w:type="dxa" w:w="5040"/>
            <w:vAlign w:val="center"/>
          </w:tcPr>
          <w:p>
            <w:r>
              <w:rPr>
                <w:sz w:val="18"/>
              </w:rPr>
              <w:t>Petal.Width</w:t>
            </w:r>
          </w:p>
        </w:tc>
        <w:tc>
          <w:tcPr>
            <w:tcW w:type="dxa" w:w="5040"/>
            <w:vAlign w:val="center"/>
          </w:tcPr>
          <w:p>
            <w:r>
              <w:rPr>
                <w:sz w:val="18"/>
              </w:rPr>
              <w:t>0</w:t>
            </w:r>
          </w:p>
        </w:tc>
      </w:tr>
      <w:tr>
        <w:tc>
          <w:tcPr>
            <w:tcW w:type="dxa" w:w="5040"/>
            <w:vAlign w:val="center"/>
          </w:tcPr>
          <w:p>
            <w:r>
              <w:rPr>
                <w:sz w:val="18"/>
              </w:rPr>
              <w:t>Species</w:t>
            </w:r>
          </w:p>
        </w:tc>
        <w:tc>
          <w:tcPr>
            <w:tcW w:type="dxa" w:w="5040"/>
            <w:vAlign w:val="center"/>
          </w:tcPr>
          <w:p>
            <w:r>
              <w:rPr>
                <w:sz w:val="18"/>
              </w:rPr>
              <w:t>0</w:t>
            </w:r>
          </w:p>
        </w:tc>
      </w:tr>
    </w:tbl>
    <w:p/>
    <w:p>
      <w:r>
        <w:t>No missing values were found, so no imputation was necessary. This means the summary statistics and visualizations can be produced without a missing-value treatment.</w:t>
      </w:r>
    </w:p>
    <w:p>
      <w:pPr>
        <w:pStyle w:val="Heading2"/>
      </w:pPr>
      <w:r>
        <w:t>4.3 Duplicate and Type Checks</w:t>
      </w:r>
    </w:p>
    <w:p>
      <w:r>
        <w:rPr>
          <w:rFonts w:ascii="Consolas" w:hAnsi="Consolas"/>
          <w:sz w:val="17"/>
        </w:rPr>
        <w:t>sum(duplicated(iris_data))</w:t>
        <w:br/>
        <w:t>iris_data$Species &lt;- as.factor(iris_data$Species)</w:t>
      </w:r>
    </w:p>
    <w:p>
      <w:r>
        <w:t>I checked for duplicate rows and converted Species to a factor for categorical analysis. No additional transformation of the measurement values was required for this EDA.</w:t>
      </w:r>
    </w:p>
    <w:p>
      <w:pPr>
        <w:pStyle w:val="Heading1"/>
      </w:pPr>
      <w:r>
        <w:t>5. Summary Statistics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8"/>
          </w:tcPr>
          <w:p>
            <w:r>
              <w:rPr>
                <w:b/>
                <w:color w:val="FFFFFF"/>
                <w:sz w:val="18"/>
              </w:rPr>
              <w:t>Variable</w:t>
            </w:r>
          </w:p>
        </w:tc>
        <w:tc>
          <w:tcPr>
            <w:tcW w:type="dxa" w:w="1680"/>
            <w:shd w:fill="1F4E78"/>
          </w:tcPr>
          <w:p>
            <w:r>
              <w:rPr>
                <w:b/>
                <w:color w:val="FFFFFF"/>
                <w:sz w:val="18"/>
              </w:rPr>
              <w:t>Mean</w:t>
            </w:r>
          </w:p>
        </w:tc>
        <w:tc>
          <w:tcPr>
            <w:tcW w:type="dxa" w:w="1680"/>
            <w:shd w:fill="1F4E78"/>
          </w:tcPr>
          <w:p>
            <w:r>
              <w:rPr>
                <w:b/>
                <w:color w:val="FFFFFF"/>
                <w:sz w:val="18"/>
              </w:rPr>
              <w:t>SD</w:t>
            </w:r>
          </w:p>
        </w:tc>
        <w:tc>
          <w:tcPr>
            <w:tcW w:type="dxa" w:w="1680"/>
            <w:shd w:fill="1F4E78"/>
          </w:tcPr>
          <w:p>
            <w:r>
              <w:rPr>
                <w:b/>
                <w:color w:val="FFFFFF"/>
                <w:sz w:val="18"/>
              </w:rPr>
              <w:t>Minimum</w:t>
            </w:r>
          </w:p>
        </w:tc>
        <w:tc>
          <w:tcPr>
            <w:tcW w:type="dxa" w:w="1680"/>
            <w:shd w:fill="1F4E78"/>
          </w:tcPr>
          <w:p>
            <w:r>
              <w:rPr>
                <w:b/>
                <w:color w:val="FFFFFF"/>
                <w:sz w:val="18"/>
              </w:rPr>
              <w:t>Median</w:t>
            </w:r>
          </w:p>
        </w:tc>
        <w:tc>
          <w:tcPr>
            <w:tcW w:type="dxa" w:w="1680"/>
            <w:shd w:fill="1F4E78"/>
          </w:tcPr>
          <w:p>
            <w:r>
              <w:rPr>
                <w:b/>
                <w:color w:val="FFFFFF"/>
                <w:sz w:val="18"/>
              </w:rPr>
              <w:t>Maximum</w:t>
            </w:r>
          </w:p>
        </w:tc>
      </w:tr>
      <w:tr>
        <w:tc>
          <w:tcPr>
            <w:tcW w:type="dxa" w:w="1680"/>
            <w:vAlign w:val="center"/>
          </w:tcPr>
          <w:p>
            <w:r>
              <w:rPr>
                <w:sz w:val="18"/>
              </w:rPr>
              <w:t>Sepal.Length</w:t>
            </w:r>
          </w:p>
        </w:tc>
        <w:tc>
          <w:tcPr>
            <w:tcW w:type="dxa" w:w="1680"/>
            <w:vAlign w:val="center"/>
          </w:tcPr>
          <w:p>
            <w:r>
              <w:rPr>
                <w:sz w:val="18"/>
              </w:rPr>
              <w:t>5.84</w:t>
            </w:r>
          </w:p>
        </w:tc>
        <w:tc>
          <w:tcPr>
            <w:tcW w:type="dxa" w:w="1680"/>
            <w:vAlign w:val="center"/>
          </w:tcPr>
          <w:p>
            <w:r>
              <w:rPr>
                <w:sz w:val="18"/>
              </w:rPr>
              <w:t>0.83</w:t>
            </w:r>
          </w:p>
        </w:tc>
        <w:tc>
          <w:tcPr>
            <w:tcW w:type="dxa" w:w="1680"/>
            <w:vAlign w:val="center"/>
          </w:tcPr>
          <w:p>
            <w:r>
              <w:rPr>
                <w:sz w:val="18"/>
              </w:rPr>
              <w:t>4.30</w:t>
            </w:r>
          </w:p>
        </w:tc>
        <w:tc>
          <w:tcPr>
            <w:tcW w:type="dxa" w:w="1680"/>
            <w:vAlign w:val="center"/>
          </w:tcPr>
          <w:p>
            <w:r>
              <w:rPr>
                <w:sz w:val="18"/>
              </w:rPr>
              <w:t>5.80</w:t>
            </w:r>
          </w:p>
        </w:tc>
        <w:tc>
          <w:tcPr>
            <w:tcW w:type="dxa" w:w="1680"/>
            <w:vAlign w:val="center"/>
          </w:tcPr>
          <w:p>
            <w:r>
              <w:rPr>
                <w:sz w:val="18"/>
              </w:rPr>
              <w:t>7.90</w:t>
            </w:r>
          </w:p>
        </w:tc>
      </w:tr>
      <w:tr>
        <w:tc>
          <w:tcPr>
            <w:tcW w:type="dxa" w:w="1680"/>
            <w:vAlign w:val="center"/>
          </w:tcPr>
          <w:p>
            <w:r>
              <w:rPr>
                <w:sz w:val="18"/>
              </w:rPr>
              <w:t>Sepal.Width</w:t>
            </w:r>
          </w:p>
        </w:tc>
        <w:tc>
          <w:tcPr>
            <w:tcW w:type="dxa" w:w="1680"/>
            <w:vAlign w:val="center"/>
          </w:tcPr>
          <w:p>
            <w:r>
              <w:rPr>
                <w:sz w:val="18"/>
              </w:rPr>
              <w:t>3.06</w:t>
            </w:r>
          </w:p>
        </w:tc>
        <w:tc>
          <w:tcPr>
            <w:tcW w:type="dxa" w:w="1680"/>
            <w:vAlign w:val="center"/>
          </w:tcPr>
          <w:p>
            <w:r>
              <w:rPr>
                <w:sz w:val="18"/>
              </w:rPr>
              <w:t>0.44</w:t>
            </w:r>
          </w:p>
        </w:tc>
        <w:tc>
          <w:tcPr>
            <w:tcW w:type="dxa" w:w="1680"/>
            <w:vAlign w:val="center"/>
          </w:tcPr>
          <w:p>
            <w:r>
              <w:rPr>
                <w:sz w:val="18"/>
              </w:rPr>
              <w:t>2.00</w:t>
            </w:r>
          </w:p>
        </w:tc>
        <w:tc>
          <w:tcPr>
            <w:tcW w:type="dxa" w:w="1680"/>
            <w:vAlign w:val="center"/>
          </w:tcPr>
          <w:p>
            <w:r>
              <w:rPr>
                <w:sz w:val="18"/>
              </w:rPr>
              <w:t>3.00</w:t>
            </w:r>
          </w:p>
        </w:tc>
        <w:tc>
          <w:tcPr>
            <w:tcW w:type="dxa" w:w="1680"/>
            <w:vAlign w:val="center"/>
          </w:tcPr>
          <w:p>
            <w:r>
              <w:rPr>
                <w:sz w:val="18"/>
              </w:rPr>
              <w:t>4.40</w:t>
            </w:r>
          </w:p>
        </w:tc>
      </w:tr>
      <w:tr>
        <w:tc>
          <w:tcPr>
            <w:tcW w:type="dxa" w:w="1680"/>
            <w:vAlign w:val="center"/>
          </w:tcPr>
          <w:p>
            <w:r>
              <w:rPr>
                <w:sz w:val="18"/>
              </w:rPr>
              <w:t>Petal.Length</w:t>
            </w:r>
          </w:p>
        </w:tc>
        <w:tc>
          <w:tcPr>
            <w:tcW w:type="dxa" w:w="1680"/>
            <w:vAlign w:val="center"/>
          </w:tcPr>
          <w:p>
            <w:r>
              <w:rPr>
                <w:sz w:val="18"/>
              </w:rPr>
              <w:t>3.76</w:t>
            </w:r>
          </w:p>
        </w:tc>
        <w:tc>
          <w:tcPr>
            <w:tcW w:type="dxa" w:w="1680"/>
            <w:vAlign w:val="center"/>
          </w:tcPr>
          <w:p>
            <w:r>
              <w:rPr>
                <w:sz w:val="18"/>
              </w:rPr>
              <w:t>1.77</w:t>
            </w:r>
          </w:p>
        </w:tc>
        <w:tc>
          <w:tcPr>
            <w:tcW w:type="dxa" w:w="1680"/>
            <w:vAlign w:val="center"/>
          </w:tcPr>
          <w:p>
            <w:r>
              <w:rPr>
                <w:sz w:val="18"/>
              </w:rPr>
              <w:t>1.00</w:t>
            </w:r>
          </w:p>
        </w:tc>
        <w:tc>
          <w:tcPr>
            <w:tcW w:type="dxa" w:w="1680"/>
            <w:vAlign w:val="center"/>
          </w:tcPr>
          <w:p>
            <w:r>
              <w:rPr>
                <w:sz w:val="18"/>
              </w:rPr>
              <w:t>4.35</w:t>
            </w:r>
          </w:p>
        </w:tc>
        <w:tc>
          <w:tcPr>
            <w:tcW w:type="dxa" w:w="1680"/>
            <w:vAlign w:val="center"/>
          </w:tcPr>
          <w:p>
            <w:r>
              <w:rPr>
                <w:sz w:val="18"/>
              </w:rPr>
              <w:t>6.90</w:t>
            </w:r>
          </w:p>
        </w:tc>
      </w:tr>
      <w:tr>
        <w:tc>
          <w:tcPr>
            <w:tcW w:type="dxa" w:w="1680"/>
            <w:vAlign w:val="center"/>
          </w:tcPr>
          <w:p>
            <w:r>
              <w:rPr>
                <w:sz w:val="18"/>
              </w:rPr>
              <w:t>Petal.Width</w:t>
            </w:r>
          </w:p>
        </w:tc>
        <w:tc>
          <w:tcPr>
            <w:tcW w:type="dxa" w:w="1680"/>
            <w:vAlign w:val="center"/>
          </w:tcPr>
          <w:p>
            <w:r>
              <w:rPr>
                <w:sz w:val="18"/>
              </w:rPr>
              <w:t>1.20</w:t>
            </w:r>
          </w:p>
        </w:tc>
        <w:tc>
          <w:tcPr>
            <w:tcW w:type="dxa" w:w="1680"/>
            <w:vAlign w:val="center"/>
          </w:tcPr>
          <w:p>
            <w:r>
              <w:rPr>
                <w:sz w:val="18"/>
              </w:rPr>
              <w:t>0.76</w:t>
            </w:r>
          </w:p>
        </w:tc>
        <w:tc>
          <w:tcPr>
            <w:tcW w:type="dxa" w:w="1680"/>
            <w:vAlign w:val="center"/>
          </w:tcPr>
          <w:p>
            <w:r>
              <w:rPr>
                <w:sz w:val="18"/>
              </w:rPr>
              <w:t>0.10</w:t>
            </w:r>
          </w:p>
        </w:tc>
        <w:tc>
          <w:tcPr>
            <w:tcW w:type="dxa" w:w="1680"/>
            <w:vAlign w:val="center"/>
          </w:tcPr>
          <w:p>
            <w:r>
              <w:rPr>
                <w:sz w:val="18"/>
              </w:rPr>
              <w:t>1.30</w:t>
            </w:r>
          </w:p>
        </w:tc>
        <w:tc>
          <w:tcPr>
            <w:tcW w:type="dxa" w:w="1680"/>
            <w:vAlign w:val="center"/>
          </w:tcPr>
          <w:p>
            <w:r>
              <w:rPr>
                <w:sz w:val="18"/>
              </w:rPr>
              <w:t>2.50</w:t>
            </w:r>
          </w:p>
        </w:tc>
      </w:tr>
    </w:tbl>
    <w:p/>
    <w:p>
      <w:r>
        <w:t>The summary statistics show that petal measurements cover a wider range than the sepal measurements. Petal length ranges from 1.0 to 6.9 cm, while petal width ranges from 0.1 to 2.5 cm.</w:t>
      </w:r>
    </w:p>
    <w:p>
      <w:pPr>
        <w:pStyle w:val="Heading2"/>
      </w:pPr>
      <w:r>
        <w:t>5.1 Species Distribution</w:t>
      </w:r>
    </w:p>
    <w:p>
      <w:r>
        <w:t>Setosa: 50 observations</w:t>
        <w:br/>
        <w:t>Versicolor: 50 observations</w:t>
        <w:br/>
        <w:t>Virginica: 50 observations</w:t>
      </w:r>
    </w:p>
    <w:p>
      <w:r>
        <w:t>The three species are evenly represented, which makes comparisons between groups straightforward.</w:t>
      </w:r>
    </w:p>
    <w:p>
      <w:pPr>
        <w:pStyle w:val="Heading1"/>
      </w:pPr>
      <w:r>
        <w:t>6. Visual Exploratory Analysis</w:t>
      </w:r>
    </w:p>
    <w:p>
      <w:r>
        <w:t>I created several visualization types so that the analysis does not depend on one chart alone. Each visualization answers a different question about the data.</w:t>
      </w:r>
    </w:p>
    <w:p>
      <w:pPr>
        <w:pStyle w:val="Heading2"/>
      </w:pPr>
      <w:r>
        <w:t>6.1 Histogram – Petal Length</w:t>
      </w:r>
    </w:p>
    <w:p>
      <w:r>
        <w:rPr>
          <w:rFonts w:ascii="Consolas" w:hAnsi="Consolas"/>
          <w:sz w:val="17"/>
        </w:rPr>
        <w:t>ggplot(iris_data, aes(x = Petal.Length)) +</w:t>
        <w:br/>
        <w:t xml:space="preserve">  geom_histogram(bins = 10, color = "black") +</w:t>
        <w:br/>
        <w:t xml:space="preserve">  labs(title = "Distribution of Petal Length",</w:t>
        <w:br/>
        <w:t xml:space="preserve">       x = "Petal Length (cm)", y = "Number of Flowers")</w:t>
      </w:r>
    </w:p>
    <w:p>
      <w:r>
        <w:drawing>
          <wp:inline xmlns:a="http://schemas.openxmlformats.org/drawingml/2006/main" xmlns:pic="http://schemas.openxmlformats.org/drawingml/2006/picture">
            <wp:extent cx="5760720" cy="3610051"/>
            <wp:docPr id="1" name="Picture 1"/>
            <wp:cNvGraphicFramePr>
              <a:graphicFrameLocks noChangeAspect="1"/>
            </wp:cNvGraphicFramePr>
            <a:graphic>
              <a:graphicData uri="http://schemas.openxmlformats.org/drawingml/2006/picture">
                <pic:pic>
                  <pic:nvPicPr>
                    <pic:cNvPr id="0" name="01_histogram_petal_length.png"/>
                    <pic:cNvPicPr/>
                  </pic:nvPicPr>
                  <pic:blipFill>
                    <a:blip r:embed="rId9"/>
                    <a:stretch>
                      <a:fillRect/>
                    </a:stretch>
                  </pic:blipFill>
                  <pic:spPr>
                    <a:xfrm>
                      <a:off x="0" y="0"/>
                      <a:ext cx="5760720" cy="3610051"/>
                    </a:xfrm>
                    <a:prstGeom prst="rect"/>
                  </pic:spPr>
                </pic:pic>
              </a:graphicData>
            </a:graphic>
          </wp:inline>
        </w:drawing>
      </w:r>
    </w:p>
    <w:p>
      <w:pPr>
        <w:jc w:val="center"/>
      </w:pPr>
      <w:r>
        <w:rPr>
          <w:i/>
          <w:sz w:val="18"/>
        </w:rPr>
        <w:t>Figure 1. Distribution of petal length</w:t>
      </w:r>
    </w:p>
    <w:p>
      <w:r>
        <w:t>The histogram shows that petal length is not spread evenly across one continuous range. Instead, the observations form distinct regions, which is consistent with the three species having different typical petal sizes. This suggests petal length may be useful for distinguishing species.</w:t>
      </w:r>
    </w:p>
    <w:p>
      <w:pPr>
        <w:pStyle w:val="Heading2"/>
      </w:pPr>
      <w:r>
        <w:t>6.2 Scatter Plot – Petal Length vs Petal Width</w:t>
      </w:r>
    </w:p>
    <w:p>
      <w:r>
        <w:rPr>
          <w:rFonts w:ascii="Consolas" w:hAnsi="Consolas"/>
          <w:sz w:val="17"/>
        </w:rPr>
        <w:t>ggplot(iris_data, aes(x = Petal.Length, y = Petal.Width, color = Species)) +</w:t>
        <w:br/>
        <w:t xml:space="preserve">  geom_point(size = 2.5) +</w:t>
        <w:br/>
        <w:t xml:space="preserve">  labs(title = "Petal Length vs Petal Width")</w:t>
      </w:r>
    </w:p>
    <w:p>
      <w:r>
        <w:drawing>
          <wp:inline xmlns:a="http://schemas.openxmlformats.org/drawingml/2006/main" xmlns:pic="http://schemas.openxmlformats.org/drawingml/2006/picture">
            <wp:extent cx="5760720" cy="3610051"/>
            <wp:docPr id="2" name="Picture 2"/>
            <wp:cNvGraphicFramePr>
              <a:graphicFrameLocks noChangeAspect="1"/>
            </wp:cNvGraphicFramePr>
            <a:graphic>
              <a:graphicData uri="http://schemas.openxmlformats.org/drawingml/2006/picture">
                <pic:pic>
                  <pic:nvPicPr>
                    <pic:cNvPr id="0" name="02_scatter_petal_length_width.png"/>
                    <pic:cNvPicPr/>
                  </pic:nvPicPr>
                  <pic:blipFill>
                    <a:blip r:embed="rId10"/>
                    <a:stretch>
                      <a:fillRect/>
                    </a:stretch>
                  </pic:blipFill>
                  <pic:spPr>
                    <a:xfrm>
                      <a:off x="0" y="0"/>
                      <a:ext cx="5760720" cy="3610051"/>
                    </a:xfrm>
                    <a:prstGeom prst="rect"/>
                  </pic:spPr>
                </pic:pic>
              </a:graphicData>
            </a:graphic>
          </wp:inline>
        </w:drawing>
      </w:r>
    </w:p>
    <w:p>
      <w:pPr>
        <w:jc w:val="center"/>
      </w:pPr>
      <w:r>
        <w:rPr>
          <w:i/>
          <w:sz w:val="18"/>
        </w:rPr>
        <w:t>Figure 2. Relationship between petal length and petal width by species</w:t>
      </w:r>
    </w:p>
    <w:p>
      <w:r>
        <w:t>The scatter plot shows a strong relationship between petal length and petal width. Setosa forms a clearly separated cluster with much smaller petals. Versicolor and virginica are closer to one another, although their typical petal measurements are still distinguishable. This is an important pattern for future classification work.</w:t>
      </w:r>
    </w:p>
    <w:p>
      <w:pPr>
        <w:pStyle w:val="Heading2"/>
      </w:pPr>
      <w:r>
        <w:t>6.3 Box Plot – Sepal Length by Species</w:t>
      </w:r>
    </w:p>
    <w:p>
      <w:r>
        <w:rPr>
          <w:rFonts w:ascii="Consolas" w:hAnsi="Consolas"/>
          <w:sz w:val="17"/>
        </w:rPr>
        <w:t>ggplot(iris_data, aes(x = Species, y = Sepal.Length)) +</w:t>
        <w:br/>
        <w:t xml:space="preserve">  geom_boxplot() +</w:t>
        <w:br/>
        <w:t xml:space="preserve">  labs(title = "Sepal Length by Iris Species")</w:t>
      </w:r>
    </w:p>
    <w:p>
      <w:r>
        <w:drawing>
          <wp:inline xmlns:a="http://schemas.openxmlformats.org/drawingml/2006/main" xmlns:pic="http://schemas.openxmlformats.org/drawingml/2006/picture">
            <wp:extent cx="5760720" cy="3610051"/>
            <wp:docPr id="3" name="Picture 3"/>
            <wp:cNvGraphicFramePr>
              <a:graphicFrameLocks noChangeAspect="1"/>
            </wp:cNvGraphicFramePr>
            <a:graphic>
              <a:graphicData uri="http://schemas.openxmlformats.org/drawingml/2006/picture">
                <pic:pic>
                  <pic:nvPicPr>
                    <pic:cNvPr id="0" name="03_boxplot_sepal_length.png"/>
                    <pic:cNvPicPr/>
                  </pic:nvPicPr>
                  <pic:blipFill>
                    <a:blip r:embed="rId11"/>
                    <a:stretch>
                      <a:fillRect/>
                    </a:stretch>
                  </pic:blipFill>
                  <pic:spPr>
                    <a:xfrm>
                      <a:off x="0" y="0"/>
                      <a:ext cx="5760720" cy="3610051"/>
                    </a:xfrm>
                    <a:prstGeom prst="rect"/>
                  </pic:spPr>
                </pic:pic>
              </a:graphicData>
            </a:graphic>
          </wp:inline>
        </w:drawing>
      </w:r>
    </w:p>
    <w:p>
      <w:pPr>
        <w:jc w:val="center"/>
      </w:pPr>
      <w:r>
        <w:rPr>
          <w:i/>
          <w:sz w:val="18"/>
        </w:rPr>
        <w:t>Figure 3. Distribution of sepal length across species</w:t>
      </w:r>
    </w:p>
    <w:p>
      <w:r>
        <w:t>The box plot compares the centre and spread of sepal length across species. Setosa generally has shorter sepals, while virginica tends to have longer sepals. The groups overlap more than they do for petal measurements, so sepal length alone may not separate species as clearly.</w:t>
      </w:r>
    </w:p>
    <w:p>
      <w:pPr>
        <w:pStyle w:val="Heading2"/>
      </w:pPr>
      <w:r>
        <w:t>6.4 Bar Chart – Species Counts</w:t>
      </w:r>
    </w:p>
    <w:p>
      <w:r>
        <w:rPr>
          <w:rFonts w:ascii="Consolas" w:hAnsi="Consolas"/>
          <w:sz w:val="17"/>
        </w:rPr>
        <w:t>ggplot(iris_data, aes(x = Species)) +</w:t>
        <w:br/>
        <w:t xml:space="preserve">  geom_bar() +</w:t>
        <w:br/>
        <w:t xml:space="preserve">  labs(title = "Number of Observations by Species")</w:t>
      </w:r>
    </w:p>
    <w:p>
      <w:r>
        <w:drawing>
          <wp:inline xmlns:a="http://schemas.openxmlformats.org/drawingml/2006/main" xmlns:pic="http://schemas.openxmlformats.org/drawingml/2006/picture">
            <wp:extent cx="5760720" cy="3610051"/>
            <wp:docPr id="4" name="Picture 4"/>
            <wp:cNvGraphicFramePr>
              <a:graphicFrameLocks noChangeAspect="1"/>
            </wp:cNvGraphicFramePr>
            <a:graphic>
              <a:graphicData uri="http://schemas.openxmlformats.org/drawingml/2006/picture">
                <pic:pic>
                  <pic:nvPicPr>
                    <pic:cNvPr id="0" name="04_bar_species_count.png"/>
                    <pic:cNvPicPr/>
                  </pic:nvPicPr>
                  <pic:blipFill>
                    <a:blip r:embed="rId12"/>
                    <a:stretch>
                      <a:fillRect/>
                    </a:stretch>
                  </pic:blipFill>
                  <pic:spPr>
                    <a:xfrm>
                      <a:off x="0" y="0"/>
                      <a:ext cx="5760720" cy="3610051"/>
                    </a:xfrm>
                    <a:prstGeom prst="rect"/>
                  </pic:spPr>
                </pic:pic>
              </a:graphicData>
            </a:graphic>
          </wp:inline>
        </w:drawing>
      </w:r>
    </w:p>
    <w:p>
      <w:pPr>
        <w:jc w:val="center"/>
      </w:pPr>
      <w:r>
        <w:rPr>
          <w:i/>
          <w:sz w:val="18"/>
        </w:rPr>
        <w:t>Figure 4. Number of observations in each species</w:t>
      </w:r>
    </w:p>
    <w:p>
      <w:r>
        <w:t>The bar chart confirms that the dataset is balanced, with 50 observations in each species. Therefore, differences seen in the other charts are not caused by one class having substantially more observations.</w:t>
      </w:r>
    </w:p>
    <w:p>
      <w:pPr>
        <w:pStyle w:val="Heading2"/>
      </w:pPr>
      <w:r>
        <w:t>6.5 Correlation Heatmap</w:t>
      </w:r>
    </w:p>
    <w:p>
      <w:r>
        <w:rPr>
          <w:rFonts w:ascii="Consolas" w:hAnsi="Consolas"/>
          <w:sz w:val="17"/>
        </w:rPr>
        <w:t>cor_matrix &lt;- cor(iris_data[, 1:4])</w:t>
        <w:br/>
        <w:t>print(cor_matrix)</w:t>
        <w:br/>
        <w:t>corrplot(cor_matrix, method = "color", addCoef.col = "black")</w:t>
      </w:r>
    </w:p>
    <w:p>
      <w:r>
        <w:drawing>
          <wp:inline xmlns:a="http://schemas.openxmlformats.org/drawingml/2006/main" xmlns:pic="http://schemas.openxmlformats.org/drawingml/2006/picture">
            <wp:extent cx="5760720" cy="3610051"/>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760720" cy="3610051"/>
                    </a:xfrm>
                    <a:prstGeom prst="rect"/>
                  </pic:spPr>
                </pic:pic>
              </a:graphicData>
            </a:graphic>
          </wp:inline>
        </w:drawing>
      </w:r>
    </w:p>
    <w:p>
      <w:pPr>
        <w:jc w:val="center"/>
      </w:pPr>
      <w:r>
        <w:rPr>
          <w:i/>
          <w:sz w:val="18"/>
        </w:rPr>
        <w:t>Figure 5. Correlation between numerical variables</w:t>
      </w:r>
    </w:p>
    <w:p>
      <w:r>
        <w:t>The correlation matrix shows a very strong positive relationship between petal length and petal width. The petal variables are also strongly related to sepal length. Sepal width has weaker relationships with the other measurements. These patterns suggest that petal measurements contain closely related information and may be especially useful for distinguishing species.</w:t>
      </w:r>
    </w:p>
    <w:p>
      <w:pPr>
        <w:pStyle w:val="Heading1"/>
      </w:pPr>
      <w:r>
        <w:t>7. Key Findings from the EDA</w:t>
      </w:r>
    </w:p>
    <w:p>
      <w:pPr>
        <w:pStyle w:val="ListBullet"/>
        <w:spacing w:after="40"/>
      </w:pPr>
      <w:r>
        <w:t>The dataset contains 150 observations and is evenly divided among three species.</w:t>
      </w:r>
    </w:p>
    <w:p>
      <w:pPr>
        <w:pStyle w:val="ListBullet"/>
        <w:spacing w:after="40"/>
      </w:pPr>
      <w:r>
        <w:t>No missing values were found, so no imputation was required.</w:t>
      </w:r>
    </w:p>
    <w:p>
      <w:pPr>
        <w:pStyle w:val="ListBullet"/>
        <w:spacing w:after="40"/>
      </w:pPr>
      <w:r>
        <w:t>Petal measurements show clear differences between species.</w:t>
      </w:r>
    </w:p>
    <w:p>
      <w:pPr>
        <w:pStyle w:val="ListBullet"/>
        <w:spacing w:after="40"/>
      </w:pPr>
      <w:r>
        <w:t>Petal length and petal width have a strong positive relationship.</w:t>
      </w:r>
    </w:p>
    <w:p>
      <w:pPr>
        <w:pStyle w:val="ListBullet"/>
        <w:spacing w:after="40"/>
      </w:pPr>
      <w:r>
        <w:t>Setosa is much more clearly separated from the other two species using petal measurements.</w:t>
      </w:r>
    </w:p>
    <w:p>
      <w:pPr>
        <w:pStyle w:val="ListBullet"/>
        <w:spacing w:after="40"/>
      </w:pPr>
      <w:r>
        <w:t>Versicolor and virginica overlap more than setosa, so they may be harder to distinguish.</w:t>
      </w:r>
    </w:p>
    <w:p>
      <w:pPr>
        <w:pStyle w:val="ListBullet"/>
        <w:spacing w:after="40"/>
      </w:pPr>
      <w:r>
        <w:t>Sepal measurements show more overlap between species than petal measurements.</w:t>
      </w:r>
    </w:p>
    <w:p>
      <w:pPr>
        <w:pStyle w:val="ListBullet"/>
        <w:spacing w:after="40"/>
      </w:pPr>
      <w:r>
        <w:t>The balanced class distribution makes group comparisons easier to interpret.</w:t>
      </w:r>
    </w:p>
    <w:p>
      <w:pPr>
        <w:pStyle w:val="Heading1"/>
      </w:pPr>
      <w:r>
        <w:t>8. Anomalies and Data Quality Observations</w:t>
      </w:r>
    </w:p>
    <w:p>
      <w:r>
        <w:t>The EDA did not reveal obvious data-quality problems such as missing values or extreme observations that would require removal. Some overlap between species is visible, especially for sepal measurements and between versicolor and virginica. This appears to be a characteristic of the dataset rather than an obvious data-entry error.</w:t>
      </w:r>
    </w:p>
    <w:p>
      <w:pPr>
        <w:pStyle w:val="Heading1"/>
      </w:pPr>
      <w:r>
        <w:t>9. Transformations and Preparation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Step</w:t>
            </w:r>
          </w:p>
        </w:tc>
        <w:tc>
          <w:tcPr>
            <w:tcW w:type="dxa" w:w="3360"/>
            <w:shd w:fill="1F4E78"/>
          </w:tcPr>
          <w:p>
            <w:r>
              <w:rPr>
                <w:b/>
                <w:color w:val="FFFFFF"/>
                <w:sz w:val="18"/>
              </w:rPr>
              <w:t>Decision</w:t>
            </w:r>
          </w:p>
        </w:tc>
        <w:tc>
          <w:tcPr>
            <w:tcW w:type="dxa" w:w="3360"/>
            <w:shd w:fill="1F4E78"/>
          </w:tcPr>
          <w:p>
            <w:r>
              <w:rPr>
                <w:b/>
                <w:color w:val="FFFFFF"/>
                <w:sz w:val="18"/>
              </w:rPr>
              <w:t>Reason</w:t>
            </w:r>
          </w:p>
        </w:tc>
      </w:tr>
      <w:tr>
        <w:tc>
          <w:tcPr>
            <w:tcW w:type="dxa" w:w="3360"/>
            <w:vAlign w:val="center"/>
          </w:tcPr>
          <w:p>
            <w:r>
              <w:rPr>
                <w:sz w:val="18"/>
              </w:rPr>
              <w:t>Missing values</w:t>
            </w:r>
          </w:p>
        </w:tc>
        <w:tc>
          <w:tcPr>
            <w:tcW w:type="dxa" w:w="3360"/>
            <w:vAlign w:val="center"/>
          </w:tcPr>
          <w:p>
            <w:r>
              <w:rPr>
                <w:sz w:val="18"/>
              </w:rPr>
              <w:t>No imputation</w:t>
            </w:r>
          </w:p>
        </w:tc>
        <w:tc>
          <w:tcPr>
            <w:tcW w:type="dxa" w:w="3360"/>
            <w:vAlign w:val="center"/>
          </w:tcPr>
          <w:p>
            <w:r>
              <w:rPr>
                <w:sz w:val="18"/>
              </w:rPr>
              <w:t>No missing values were found</w:t>
            </w:r>
          </w:p>
        </w:tc>
      </w:tr>
      <w:tr>
        <w:tc>
          <w:tcPr>
            <w:tcW w:type="dxa" w:w="3360"/>
            <w:vAlign w:val="center"/>
          </w:tcPr>
          <w:p>
            <w:r>
              <w:rPr>
                <w:sz w:val="18"/>
              </w:rPr>
              <w:t>Species</w:t>
            </w:r>
          </w:p>
        </w:tc>
        <w:tc>
          <w:tcPr>
            <w:tcW w:type="dxa" w:w="3360"/>
            <w:vAlign w:val="center"/>
          </w:tcPr>
          <w:p>
            <w:r>
              <w:rPr>
                <w:sz w:val="18"/>
              </w:rPr>
              <w:t>Converted to factor</w:t>
            </w:r>
          </w:p>
        </w:tc>
        <w:tc>
          <w:tcPr>
            <w:tcW w:type="dxa" w:w="3360"/>
            <w:vAlign w:val="center"/>
          </w:tcPr>
          <w:p>
            <w:r>
              <w:rPr>
                <w:sz w:val="18"/>
              </w:rPr>
              <w:t>Needed for categorical/grouped analysis in R</w:t>
            </w:r>
          </w:p>
        </w:tc>
      </w:tr>
      <w:tr>
        <w:tc>
          <w:tcPr>
            <w:tcW w:type="dxa" w:w="3360"/>
            <w:vAlign w:val="center"/>
          </w:tcPr>
          <w:p>
            <w:r>
              <w:rPr>
                <w:sz w:val="18"/>
              </w:rPr>
              <w:t>Numeric measurements</w:t>
            </w:r>
          </w:p>
        </w:tc>
        <w:tc>
          <w:tcPr>
            <w:tcW w:type="dxa" w:w="3360"/>
            <w:vAlign w:val="center"/>
          </w:tcPr>
          <w:p>
            <w:r>
              <w:rPr>
                <w:sz w:val="18"/>
              </w:rPr>
              <w:t>No scaling for EDA</w:t>
            </w:r>
          </w:p>
        </w:tc>
        <w:tc>
          <w:tcPr>
            <w:tcW w:type="dxa" w:w="3360"/>
            <w:vAlign w:val="center"/>
          </w:tcPr>
          <w:p>
            <w:r>
              <w:rPr>
                <w:sz w:val="18"/>
              </w:rPr>
              <w:t>Original centimetre values are easy to interpret</w:t>
            </w:r>
          </w:p>
        </w:tc>
      </w:tr>
      <w:tr>
        <w:tc>
          <w:tcPr>
            <w:tcW w:type="dxa" w:w="3360"/>
            <w:vAlign w:val="center"/>
          </w:tcPr>
          <w:p>
            <w:r>
              <w:rPr>
                <w:sz w:val="18"/>
              </w:rPr>
              <w:t>Duplicates</w:t>
            </w:r>
          </w:p>
        </w:tc>
        <w:tc>
          <w:tcPr>
            <w:tcW w:type="dxa" w:w="3360"/>
            <w:vAlign w:val="center"/>
          </w:tcPr>
          <w:p>
            <w:r>
              <w:rPr>
                <w:sz w:val="18"/>
              </w:rPr>
              <w:t>Checked</w:t>
            </w:r>
          </w:p>
        </w:tc>
        <w:tc>
          <w:tcPr>
            <w:tcW w:type="dxa" w:w="3360"/>
            <w:vAlign w:val="center"/>
          </w:tcPr>
          <w:p>
            <w:r>
              <w:rPr>
                <w:sz w:val="18"/>
              </w:rPr>
              <w:t>To ensure repeated records were not distorting summaries</w:t>
            </w:r>
          </w:p>
        </w:tc>
      </w:tr>
      <w:tr>
        <w:tc>
          <w:tcPr>
            <w:tcW w:type="dxa" w:w="3360"/>
            <w:vAlign w:val="center"/>
          </w:tcPr>
          <w:p>
            <w:r>
              <w:rPr>
                <w:sz w:val="18"/>
              </w:rPr>
              <w:t>Outliers</w:t>
            </w:r>
          </w:p>
        </w:tc>
        <w:tc>
          <w:tcPr>
            <w:tcW w:type="dxa" w:w="3360"/>
            <w:vAlign w:val="center"/>
          </w:tcPr>
          <w:p>
            <w:r>
              <w:rPr>
                <w:sz w:val="18"/>
              </w:rPr>
              <w:t>Reviewed with box plot</w:t>
            </w:r>
          </w:p>
        </w:tc>
        <w:tc>
          <w:tcPr>
            <w:tcW w:type="dxa" w:w="3360"/>
            <w:vAlign w:val="center"/>
          </w:tcPr>
          <w:p>
            <w:r>
              <w:rPr>
                <w:sz w:val="18"/>
              </w:rPr>
              <w:t>No obvious erroneous observations were identified</w:t>
            </w:r>
          </w:p>
        </w:tc>
      </w:tr>
    </w:tbl>
    <w:p/>
    <w:p>
      <w:pPr>
        <w:pStyle w:val="Heading1"/>
      </w:pPr>
      <w:r>
        <w:t>10. How These Insights Can Guide Further Analysis</w:t>
      </w:r>
    </w:p>
    <w:p>
      <w:r>
        <w:t>The EDA gives a clear direction for the next stage. The strong separation in petal measurements suggests these variables should be considered carefully in classification. The overlap between versicolor and virginica also shows why class-level evaluation is useful.</w:t>
      </w:r>
    </w:p>
    <w:p>
      <w:pPr>
        <w:pStyle w:val="ListBullet"/>
        <w:spacing w:after="40"/>
      </w:pPr>
      <w:r>
        <w:t>Use petal length and petal width as important candidate predictors.</w:t>
      </w:r>
    </w:p>
    <w:p>
      <w:pPr>
        <w:pStyle w:val="ListBullet"/>
        <w:spacing w:after="40"/>
      </w:pPr>
      <w:r>
        <w:t>Compare a simple baseline classifier with more flexible models.</w:t>
      </w:r>
    </w:p>
    <w:p>
      <w:pPr>
        <w:pStyle w:val="ListBullet"/>
        <w:spacing w:after="40"/>
      </w:pPr>
      <w:r>
        <w:t>Use a confusion matrix to understand species-level errors.</w:t>
      </w:r>
    </w:p>
    <w:p>
      <w:pPr>
        <w:pStyle w:val="ListBullet"/>
        <w:spacing w:after="40"/>
      </w:pPr>
      <w:r>
        <w:t>Check whether combining sepal and petal measurements improves classification.</w:t>
      </w:r>
    </w:p>
    <w:p>
      <w:pPr>
        <w:pStyle w:val="ListBullet"/>
        <w:spacing w:after="40"/>
      </w:pPr>
      <w:r>
        <w:t>Use correlation results to understand relationships among predictors before modelling.</w:t>
      </w:r>
    </w:p>
    <w:p>
      <w:pPr>
        <w:pStyle w:val="Heading1"/>
      </w:pPr>
      <w:r>
        <w:t>11. Reproducibility</w:t>
      </w:r>
    </w:p>
    <w:p>
      <w:r>
        <w:t>The analysis is designed to be reproducible in R. The main R script is provided separately as `week2_eda.R`. The analysis starts with the standard R `iris` dataset, so an external download is not required to reproduce the basic results. A CSV copy is also provided for inspection.</w:t>
      </w:r>
    </w:p>
    <w:p>
      <w:pPr>
        <w:pStyle w:val="Heading1"/>
      </w:pPr>
      <w:r>
        <w:t>12. Week 2 Work Plan – Approximately 30–35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sz w:val="18"/>
              </w:rPr>
              <w:t>Activity</w:t>
            </w:r>
          </w:p>
        </w:tc>
        <w:tc>
          <w:tcPr>
            <w:tcW w:type="dxa" w:w="3360"/>
            <w:shd w:fill="1F4E78"/>
          </w:tcPr>
          <w:p>
            <w:r>
              <w:rPr>
                <w:b/>
                <w:color w:val="FFFFFF"/>
                <w:sz w:val="18"/>
              </w:rPr>
              <w:t>Planned Time</w:t>
            </w:r>
          </w:p>
        </w:tc>
        <w:tc>
          <w:tcPr>
            <w:tcW w:type="dxa" w:w="3360"/>
            <w:shd w:fill="1F4E78"/>
          </w:tcPr>
          <w:p>
            <w:r>
              <w:rPr>
                <w:b/>
                <w:color w:val="FFFFFF"/>
                <w:sz w:val="18"/>
              </w:rPr>
              <w:t>Work Covered</w:t>
            </w:r>
          </w:p>
        </w:tc>
      </w:tr>
      <w:tr>
        <w:tc>
          <w:tcPr>
            <w:tcW w:type="dxa" w:w="3360"/>
            <w:vAlign w:val="center"/>
          </w:tcPr>
          <w:p>
            <w:r>
              <w:rPr>
                <w:sz w:val="18"/>
              </w:rPr>
              <w:t>Dataset selection and background research</w:t>
            </w:r>
          </w:p>
        </w:tc>
        <w:tc>
          <w:tcPr>
            <w:tcW w:type="dxa" w:w="3360"/>
            <w:vAlign w:val="center"/>
          </w:tcPr>
          <w:p>
            <w:r>
              <w:rPr>
                <w:sz w:val="18"/>
              </w:rPr>
              <w:t>3–4 hours</w:t>
            </w:r>
          </w:p>
        </w:tc>
        <w:tc>
          <w:tcPr>
            <w:tcW w:type="dxa" w:w="3360"/>
            <w:vAlign w:val="center"/>
          </w:tcPr>
          <w:p>
            <w:r>
              <w:rPr>
                <w:sz w:val="18"/>
              </w:rPr>
              <w:t>Dataset source, purpose, variables and documentation</w:t>
            </w:r>
          </w:p>
        </w:tc>
      </w:tr>
      <w:tr>
        <w:tc>
          <w:tcPr>
            <w:tcW w:type="dxa" w:w="3360"/>
            <w:vAlign w:val="center"/>
          </w:tcPr>
          <w:p>
            <w:r>
              <w:rPr>
                <w:sz w:val="18"/>
              </w:rPr>
              <w:t>R environment and data loading</w:t>
            </w:r>
          </w:p>
        </w:tc>
        <w:tc>
          <w:tcPr>
            <w:tcW w:type="dxa" w:w="3360"/>
            <w:vAlign w:val="center"/>
          </w:tcPr>
          <w:p>
            <w:r>
              <w:rPr>
                <w:sz w:val="18"/>
              </w:rPr>
              <w:t>2–3 hours</w:t>
            </w:r>
          </w:p>
        </w:tc>
        <w:tc>
          <w:tcPr>
            <w:tcW w:type="dxa" w:w="3360"/>
            <w:vAlign w:val="center"/>
          </w:tcPr>
          <w:p>
            <w:r>
              <w:rPr>
                <w:sz w:val="18"/>
              </w:rPr>
              <w:t>RStudio setup, package checks, loading and inspection</w:t>
            </w:r>
          </w:p>
        </w:tc>
      </w:tr>
      <w:tr>
        <w:tc>
          <w:tcPr>
            <w:tcW w:type="dxa" w:w="3360"/>
            <w:vAlign w:val="center"/>
          </w:tcPr>
          <w:p>
            <w:r>
              <w:rPr>
                <w:sz w:val="18"/>
              </w:rPr>
              <w:t>Data cleaning and preparation</w:t>
            </w:r>
          </w:p>
        </w:tc>
        <w:tc>
          <w:tcPr>
            <w:tcW w:type="dxa" w:w="3360"/>
            <w:vAlign w:val="center"/>
          </w:tcPr>
          <w:p>
            <w:r>
              <w:rPr>
                <w:sz w:val="18"/>
              </w:rPr>
              <w:t>4–5 hours</w:t>
            </w:r>
          </w:p>
        </w:tc>
        <w:tc>
          <w:tcPr>
            <w:tcW w:type="dxa" w:w="3360"/>
            <w:vAlign w:val="center"/>
          </w:tcPr>
          <w:p>
            <w:r>
              <w:rPr>
                <w:sz w:val="18"/>
              </w:rPr>
              <w:t>Missing values, duplicates, types and quality checks</w:t>
            </w:r>
          </w:p>
        </w:tc>
      </w:tr>
      <w:tr>
        <w:tc>
          <w:tcPr>
            <w:tcW w:type="dxa" w:w="3360"/>
            <w:vAlign w:val="center"/>
          </w:tcPr>
          <w:p>
            <w:r>
              <w:rPr>
                <w:sz w:val="18"/>
              </w:rPr>
              <w:t>Summary statistics</w:t>
            </w:r>
          </w:p>
        </w:tc>
        <w:tc>
          <w:tcPr>
            <w:tcW w:type="dxa" w:w="3360"/>
            <w:vAlign w:val="center"/>
          </w:tcPr>
          <w:p>
            <w:r>
              <w:rPr>
                <w:sz w:val="18"/>
              </w:rPr>
              <w:t>3–4 hours</w:t>
            </w:r>
          </w:p>
        </w:tc>
        <w:tc>
          <w:tcPr>
            <w:tcW w:type="dxa" w:w="3360"/>
            <w:vAlign w:val="center"/>
          </w:tcPr>
          <w:p>
            <w:r>
              <w:rPr>
                <w:sz w:val="18"/>
              </w:rPr>
              <w:t>Descriptive statistics and grouped summaries</w:t>
            </w:r>
          </w:p>
        </w:tc>
      </w:tr>
      <w:tr>
        <w:tc>
          <w:tcPr>
            <w:tcW w:type="dxa" w:w="3360"/>
            <w:vAlign w:val="center"/>
          </w:tcPr>
          <w:p>
            <w:r>
              <w:rPr>
                <w:sz w:val="18"/>
              </w:rPr>
              <w:t>Visualization development</w:t>
            </w:r>
          </w:p>
        </w:tc>
        <w:tc>
          <w:tcPr>
            <w:tcW w:type="dxa" w:w="3360"/>
            <w:vAlign w:val="center"/>
          </w:tcPr>
          <w:p>
            <w:r>
              <w:rPr>
                <w:sz w:val="18"/>
              </w:rPr>
              <w:t>7–8 hours</w:t>
            </w:r>
          </w:p>
        </w:tc>
        <w:tc>
          <w:tcPr>
            <w:tcW w:type="dxa" w:w="3360"/>
            <w:vAlign w:val="center"/>
          </w:tcPr>
          <w:p>
            <w:r>
              <w:rPr>
                <w:sz w:val="18"/>
              </w:rPr>
              <w:t>Histograms, scatter plots, box plots, bar charts and heatmap</w:t>
            </w:r>
          </w:p>
        </w:tc>
      </w:tr>
      <w:tr>
        <w:tc>
          <w:tcPr>
            <w:tcW w:type="dxa" w:w="3360"/>
            <w:vAlign w:val="center"/>
          </w:tcPr>
          <w:p>
            <w:r>
              <w:rPr>
                <w:sz w:val="18"/>
              </w:rPr>
              <w:t>Interpretation</w:t>
            </w:r>
          </w:p>
        </w:tc>
        <w:tc>
          <w:tcPr>
            <w:tcW w:type="dxa" w:w="3360"/>
            <w:vAlign w:val="center"/>
          </w:tcPr>
          <w:p>
            <w:r>
              <w:rPr>
                <w:sz w:val="18"/>
              </w:rPr>
              <w:t>4–5 hours</w:t>
            </w:r>
          </w:p>
        </w:tc>
        <w:tc>
          <w:tcPr>
            <w:tcW w:type="dxa" w:w="3360"/>
            <w:vAlign w:val="center"/>
          </w:tcPr>
          <w:p>
            <w:r>
              <w:rPr>
                <w:sz w:val="18"/>
              </w:rPr>
              <w:t>Explain patterns, distributions, relationships and anomalies</w:t>
            </w:r>
          </w:p>
        </w:tc>
      </w:tr>
      <w:tr>
        <w:tc>
          <w:tcPr>
            <w:tcW w:type="dxa" w:w="3360"/>
            <w:vAlign w:val="center"/>
          </w:tcPr>
          <w:p>
            <w:r>
              <w:rPr>
                <w:sz w:val="18"/>
              </w:rPr>
              <w:t>Documentation and screenshots</w:t>
            </w:r>
          </w:p>
        </w:tc>
        <w:tc>
          <w:tcPr>
            <w:tcW w:type="dxa" w:w="3360"/>
            <w:vAlign w:val="center"/>
          </w:tcPr>
          <w:p>
            <w:r>
              <w:rPr>
                <w:sz w:val="18"/>
              </w:rPr>
              <w:t>3–4 hours</w:t>
            </w:r>
          </w:p>
        </w:tc>
        <w:tc>
          <w:tcPr>
            <w:tcW w:type="dxa" w:w="3360"/>
            <w:vAlign w:val="center"/>
          </w:tcPr>
          <w:p>
            <w:r>
              <w:rPr>
                <w:sz w:val="18"/>
              </w:rPr>
              <w:t>Code snippets, figures, captions and written explanations</w:t>
            </w:r>
          </w:p>
        </w:tc>
      </w:tr>
      <w:tr>
        <w:tc>
          <w:tcPr>
            <w:tcW w:type="dxa" w:w="3360"/>
            <w:vAlign w:val="center"/>
          </w:tcPr>
          <w:p>
            <w:r>
              <w:rPr>
                <w:sz w:val="18"/>
              </w:rPr>
              <w:t>Review and final formatting</w:t>
            </w:r>
          </w:p>
        </w:tc>
        <w:tc>
          <w:tcPr>
            <w:tcW w:type="dxa" w:w="3360"/>
            <w:vAlign w:val="center"/>
          </w:tcPr>
          <w:p>
            <w:r>
              <w:rPr>
                <w:sz w:val="18"/>
              </w:rPr>
              <w:t>2–3 hours</w:t>
            </w:r>
          </w:p>
        </w:tc>
        <w:tc>
          <w:tcPr>
            <w:tcW w:type="dxa" w:w="3360"/>
            <w:vAlign w:val="center"/>
          </w:tcPr>
          <w:p>
            <w:r>
              <w:rPr>
                <w:sz w:val="18"/>
              </w:rPr>
              <w:t>Quality checks and final report preparation</w:t>
            </w:r>
          </w:p>
        </w:tc>
      </w:tr>
    </w:tbl>
    <w:p/>
    <w:p>
      <w:pPr>
        <w:pStyle w:val="Heading1"/>
      </w:pPr>
      <w:r>
        <w:t>13. Conclusion</w:t>
      </w:r>
    </w:p>
    <w:p>
      <w:r>
        <w:t>This Week 2 analysis helped me move from simply having a dataset to understanding what is inside it. I checked the structure and quality, calculated summary statistics, and used different visualization types to look at distributions, group differences and relationships.</w:t>
      </w:r>
    </w:p>
    <w:p>
      <w:r>
        <w:t>The strongest pattern was the separation created by petal measurements, especially for setosa. The analysis also showed that versicolor and virginica have more overlap, which is useful to keep in mind for future classification work. Overall, the EDA provides a practical foundation for the next stage because it identifies the variables and relationships that deserve more attention.</w:t>
      </w:r>
    </w:p>
    <w:p>
      <w:pPr>
        <w:pStyle w:val="Heading1"/>
      </w:pPr>
      <w:r>
        <w:t>14. References</w:t>
      </w:r>
    </w:p>
    <w:p>
      <w:pPr>
        <w:pStyle w:val="ListNumber"/>
      </w:pPr>
      <w:r>
        <w:t>UCI Machine Learning Repository. Iris Dataset, Dataset 53. https://archive.ics.uci.edu/dataset/53/iris</w:t>
      </w:r>
    </w:p>
    <w:p>
      <w:pPr>
        <w:pStyle w:val="ListNumber"/>
      </w:pPr>
      <w:r>
        <w:t>R Core Team. R datasets documentation: Edgar Anderson's Iris Data. https://stat.ethz.ch/R-manual/R-devel/library/datasets/html/iris.html</w:t>
      </w:r>
    </w:p>
    <w:p>
      <w:pPr>
        <w:pStyle w:val="ListNumber"/>
      </w:pPr>
      <w:r>
        <w:t>Fisher, R. A. (1936). The use of multiple measurements in taxonomic problems. Annals of Eugenics, 7(2), 179–188.</w:t>
      </w:r>
    </w:p>
    <w:p>
      <w:pPr>
        <w:pStyle w:val="Heading1"/>
      </w:pPr>
      <w:r>
        <w:t>Appendix A – Main R Code</w:t>
      </w:r>
    </w:p>
    <w:p>
      <w:r>
        <w:rPr>
          <w:rFonts w:ascii="Consolas" w:hAnsi="Consolas"/>
          <w:sz w:val="17"/>
        </w:rPr>
        <w:t># Week 2 - Exploratory Data Analysis and Visualization</w:t>
        <w:br/>
        <w:t># Dataset: Fisher / Anderson Iris dataset</w:t>
        <w:br/>
        <w:br/>
        <w:t># Install packages once if needed:</w:t>
        <w:br/>
        <w:t># install.packages(c("tidyverse", "corrplot"))</w:t>
        <w:br/>
        <w:br/>
        <w:t>library(tidyverse)</w:t>
        <w:br/>
        <w:t>library(corrplot)</w:t>
        <w:br/>
        <w:br/>
        <w:t># 1. Load the public dataset included with R</w:t>
        <w:br/>
        <w:t>data(iris)</w:t>
        <w:br/>
        <w:t>iris_data &lt;- iris</w:t>
        <w:br/>
        <w:br/>
        <w:t># 2. Basic inspection</w:t>
        <w:br/>
        <w:t>head(iris_data)</w:t>
        <w:br/>
        <w:t>str(iris_data)</w:t>
        <w:br/>
        <w:t>dim(iris_data)</w:t>
        <w:br/>
        <w:t>summary(iris_data)</w:t>
        <w:br/>
        <w:br/>
        <w:t># 3. Missing-value check</w:t>
        <w:br/>
        <w:t>colSums(is.na(iris_data))</w:t>
        <w:br/>
        <w:br/>
        <w:t># 4. Check duplicates</w:t>
        <w:br/>
        <w:t>sum(duplicated(iris_data))</w:t>
        <w:br/>
        <w:br/>
        <w:t># 5. Prepare the data</w:t>
        <w:br/>
        <w:t>iris_data &lt;- iris_data %&gt;%</w:t>
        <w:br/>
        <w:t xml:space="preserve">  mutate(Species = as.factor(Species))</w:t>
        <w:br/>
        <w:br/>
        <w:t># 6. Summary statistics</w:t>
        <w:br/>
        <w:t>iris_data %&gt;%</w:t>
        <w:br/>
        <w:t xml:space="preserve">  summarise(</w:t>
        <w:br/>
        <w:t xml:space="preserve">    Mean_Sepal_Length = mean(Sepal.Length),</w:t>
        <w:br/>
        <w:t xml:space="preserve">    Mean_Sepal_Width  = mean(Sepal.Width),</w:t>
        <w:br/>
        <w:t xml:space="preserve">    Mean_Petal_Length = mean(Petal.Length),</w:t>
        <w:br/>
        <w:t xml:space="preserve">    Mean_Petal_Width  = mean(Petal.Width)</w:t>
        <w:br/>
        <w:t xml:space="preserve">  )</w:t>
        <w:br/>
        <w:br/>
        <w:t># 7. Species counts</w:t>
        <w:br/>
        <w:t>count(iris_data, Species)</w:t>
        <w:br/>
        <w:br/>
        <w:t># 8. Histogram</w:t>
        <w:br/>
        <w:t>ggplot(iris_data, aes(x = Petal.Length)) +</w:t>
        <w:br/>
        <w:t xml:space="preserve">  geom_histogram(bins = 10, color = "black") +</w:t>
        <w:br/>
        <w:t xml:space="preserve">  labs(title = "Distribution of Petal Length",</w:t>
        <w:br/>
        <w:t xml:space="preserve">       x = "Petal Length (cm)", y = "Number of Flowers") +</w:t>
        <w:br/>
        <w:t xml:space="preserve">  theme_minimal()</w:t>
        <w:br/>
        <w:br/>
        <w:t># 9. Scatter plot</w:t>
        <w:br/>
        <w:t>ggplot(iris_data, aes(x = Petal.Length, y = Petal.Width, color = Species)) +</w:t>
        <w:br/>
        <w:t xml:space="preserve">  geom_point(size = 2.5) +</w:t>
        <w:br/>
        <w:t xml:space="preserve">  labs(title = "Petal Length vs Petal Width",</w:t>
        <w:br/>
        <w:t xml:space="preserve">       x = "Petal Length (cm)", y = "Petal Width (cm)") +</w:t>
        <w:br/>
        <w:t xml:space="preserve">  theme_minimal()</w:t>
        <w:br/>
        <w:br/>
        <w:t># 10. Box plot</w:t>
        <w:br/>
        <w:t>ggplot(iris_data, aes(x = Species, y = Sepal.Length)) +</w:t>
        <w:br/>
        <w:t xml:space="preserve">  geom_boxplot() +</w:t>
        <w:br/>
        <w:t xml:space="preserve">  labs(title = "Sepal Length by Iris Species",</w:t>
        <w:br/>
        <w:t xml:space="preserve">       x = "Species", y = "Sepal Length (cm)") +</w:t>
        <w:br/>
        <w:t xml:space="preserve">  theme_minimal()</w:t>
        <w:br/>
        <w:br/>
        <w:t># 11. Species count bar chart</w:t>
        <w:br/>
        <w:t>ggplot(iris_data, aes(x = Species)) +</w:t>
        <w:br/>
        <w:t xml:space="preserve">  geom_bar() +</w:t>
        <w:br/>
        <w:t xml:space="preserve">  labs(title = "Number of Observations by Species",</w:t>
        <w:br/>
        <w:t xml:space="preserve">       x = "Species", y = "Count") +</w:t>
        <w:br/>
        <w:t xml:space="preserve">  theme_minimal()</w:t>
        <w:br/>
        <w:br/>
        <w:t># 12. Correlation matrix</w:t>
        <w:br/>
        <w:t>cor_matrix &lt;- cor(iris_data[, 1:4])</w:t>
        <w:br/>
        <w:t>print(cor_matrix)</w:t>
        <w:br/>
        <w:t>corrplot(cor_matrix, method = "color", addCoef.col = "black")</w:t>
        <w:br/>
      </w:r>
    </w:p>
    <w:p>
      <w:pPr>
        <w:pStyle w:val="Heading1"/>
      </w:pPr>
      <w:r>
        <w:t>Appendix B – Supporting Files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File</w:t>
            </w:r>
          </w:p>
        </w:tc>
        <w:tc>
          <w:tcPr>
            <w:tcW w:type="dxa" w:w="5040"/>
            <w:shd w:fill="1F4E78"/>
          </w:tcPr>
          <w:p>
            <w:r>
              <w:rPr>
                <w:b/>
                <w:color w:val="FFFFFF"/>
                <w:sz w:val="18"/>
              </w:rPr>
              <w:t>Purpose</w:t>
            </w:r>
          </w:p>
        </w:tc>
      </w:tr>
      <w:tr>
        <w:tc>
          <w:tcPr>
            <w:tcW w:type="dxa" w:w="5040"/>
            <w:vAlign w:val="center"/>
          </w:tcPr>
          <w:p>
            <w:r>
              <w:rPr>
                <w:sz w:val="18"/>
              </w:rPr>
              <w:t>Week_2_EDA_and_Visualization_R.docx</w:t>
            </w:r>
          </w:p>
        </w:tc>
        <w:tc>
          <w:tcPr>
            <w:tcW w:type="dxa" w:w="5040"/>
            <w:vAlign w:val="center"/>
          </w:tcPr>
          <w:p>
            <w:r>
              <w:rPr>
                <w:sz w:val="18"/>
              </w:rPr>
              <w:t>Main Week 2 report</w:t>
            </w:r>
          </w:p>
        </w:tc>
      </w:tr>
      <w:tr>
        <w:tc>
          <w:tcPr>
            <w:tcW w:type="dxa" w:w="5040"/>
            <w:vAlign w:val="center"/>
          </w:tcPr>
          <w:p>
            <w:r>
              <w:rPr>
                <w:sz w:val="18"/>
              </w:rPr>
              <w:t>week2_eda.R</w:t>
            </w:r>
          </w:p>
        </w:tc>
        <w:tc>
          <w:tcPr>
            <w:tcW w:type="dxa" w:w="5040"/>
            <w:vAlign w:val="center"/>
          </w:tcPr>
          <w:p>
            <w:r>
              <w:rPr>
                <w:sz w:val="18"/>
              </w:rPr>
              <w:t>R code for reproducing the EDA</w:t>
            </w:r>
          </w:p>
        </w:tc>
      </w:tr>
      <w:tr>
        <w:tc>
          <w:tcPr>
            <w:tcW w:type="dxa" w:w="5040"/>
            <w:vAlign w:val="center"/>
          </w:tcPr>
          <w:p>
            <w:r>
              <w:rPr>
                <w:sz w:val="18"/>
              </w:rPr>
              <w:t>iris_eda_dataset.csv</w:t>
            </w:r>
          </w:p>
        </w:tc>
        <w:tc>
          <w:tcPr>
            <w:tcW w:type="dxa" w:w="5040"/>
            <w:vAlign w:val="center"/>
          </w:tcPr>
          <w:p>
            <w:r>
              <w:rPr>
                <w:sz w:val="18"/>
              </w:rPr>
              <w:t>CSV copy of the cleaned Iris dataset</w:t>
            </w:r>
          </w:p>
        </w:tc>
      </w:tr>
      <w:tr>
        <w:tc>
          <w:tcPr>
            <w:tcW w:type="dxa" w:w="5040"/>
            <w:vAlign w:val="center"/>
          </w:tcPr>
          <w:p>
            <w:r>
              <w:rPr>
                <w:sz w:val="18"/>
              </w:rPr>
              <w:t>week2_figures/</w:t>
            </w:r>
          </w:p>
        </w:tc>
        <w:tc>
          <w:tcPr>
            <w:tcW w:type="dxa" w:w="5040"/>
            <w:vAlign w:val="center"/>
          </w:tcPr>
          <w:p>
            <w:r>
              <w:rPr>
                <w:sz w:val="18"/>
              </w:rPr>
              <w:t>Five supporting visualization files</w:t>
            </w:r>
          </w:p>
        </w:tc>
      </w:tr>
    </w:tbl>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2 – Exploratory Data Analysis and Visualization Using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