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TRIAD THERAPEUTIC CLINIC</w:t>
      </w:r>
    </w:p>
    <w:p>
      <w:pPr>
        <w:spacing w:after="200"/>
        <w:jc w:val="center"/>
      </w:pPr>
      <w:r>
        <w:t xml:space="preserve">PROJECT IMPLEMENTATION PLAN</w:t>
      </w:r>
    </w:p>
    <w:p>
      <w:pPr>
        <w:spacing w:after="400"/>
        <w:jc w:val="center"/>
      </w:pPr>
      <w:r>
        <w:t xml:space="preserve">New Cairo, Egypt</w:t>
      </w:r>
    </w:p>
    <w:p>
      <w:pPr>
        <w:spacing w:after="100"/>
        <w:jc w:val="center"/>
      </w:pPr>
      <w:r>
        <w:t xml:space="preserve">Rehabilitation Center Establishment</w:t>
      </w:r>
    </w:p>
    <w:p>
      <w:pPr>
        <w:spacing w:after="600"/>
        <w:jc w:val="center"/>
      </w:pPr>
      <w:r>
        <w:t xml:space="preserve">Project Timeline: July 30, 2026 - May 6, 2027 (Grand Opening)</w:t>
      </w:r>
    </w:p>
    <w:p>
      <w:pPr>
        <w:jc w:val="center"/>
      </w:pPr>
      <w:r>
        <w:t xml:space="preserve">Document Version: 1.0 - Professional Project Management Office (PMO) Deliverable</w:t>
      </w:r>
    </w:p>
    <w:r>
      <w:br w:type="page"/>
    </w:r>
    <w:p>
      <w:pPr>
        <w:pBdr>
          <w:bottom w:val="single" w:color="2B9B8F" w:sz="12" w:space="1"/>
        </w:pBdr>
        <w:spacing w:after="120" w:before="240"/>
      </w:pPr>
      <w:r>
        <w:t xml:space="preserve">EXECUTIVE SUMMARY</w:t>
      </w:r>
    </w:p>
    <w:p>
      <w:pPr>
        <w:spacing w:after="100" w:before="200"/>
      </w:pPr>
      <w:r>
        <w:t xml:space="preserve">Project Scope</w:t>
      </w:r>
    </w:p>
    <w:p>
      <w:pPr>
        <w:spacing w:after="200"/>
      </w:pPr>
      <w:r>
        <w:t xml:space="preserve">This Master Project Implementation Plan outlines the complete establishment of TRIAD Therapeutic Clinic, a multidisciplinary rehabilitation center in New Cairo, Egypt. The project encompasses legal registration, facility development, clinical operations setup, technology infrastructure, human resources development, and market entry across a 10-month timeline.</w:t>
      </w:r>
    </w:p>
    <w:p>
      <w:pPr>
        <w:spacing w:after="100" w:before="200"/>
      </w:pPr>
      <w:r>
        <w:t xml:space="preserve">Project Objectives</w:t>
      </w:r>
    </w:p>
    <w:p>
      <w:pPr>
        <w:spacing w:after="80"/>
      </w:pPr>
      <w:r>
        <w:t xml:space="preserve">• Achieve Soft Opening in March 2027 with internal testing and controlled patient admission</w:t>
      </w:r>
    </w:p>
    <w:p>
      <w:pPr>
        <w:spacing w:after="80"/>
      </w:pPr>
      <w:r>
        <w:t xml:space="preserve">• Execute Grand Opening on May 6, 2027 with full clinical operations and public launch</w:t>
      </w:r>
    </w:p>
    <w:p>
      <w:pPr>
        <w:spacing w:after="80"/>
      </w:pPr>
      <w:r>
        <w:t xml:space="preserve">• Secure all Egyptian healthcare licenses and regulatory approvals</w:t>
      </w:r>
    </w:p>
    <w:p>
      <w:pPr>
        <w:spacing w:after="80"/>
      </w:pPr>
      <w:r>
        <w:t xml:space="preserve">• Establish world-class clinical operations with Egyptian standards compliance</w:t>
      </w:r>
    </w:p>
    <w:p>
      <w:pPr>
        <w:spacing w:after="80"/>
      </w:pPr>
      <w:r>
        <w:t xml:space="preserve">• Recruit and train 25+ clinical and support staff</w:t>
      </w:r>
    </w:p>
    <w:p>
      <w:pPr>
        <w:spacing w:after="200"/>
      </w:pPr>
      <w:r>
        <w:t xml:space="preserve">• Implement integrated technology systems for patient care and operations</w:t>
      </w:r>
    </w:p>
    <w:p>
      <w:pPr>
        <w:spacing w:after="100" w:before="200"/>
      </w:pPr>
      <w:r>
        <w:t xml:space="preserve">Critical Path Summary</w:t>
      </w:r>
    </w:p>
    <w:p>
      <w:pPr>
        <w:spacing w:after="200"/>
      </w:pPr>
      <w:r>
        <w:t xml:space="preserve">The critical path includes: Company Registration → Healthcare Licensing → Facility Preparation → Medical Equipment Procurement → Clinical Staff Recruitment &amp; Training → System Implementation → Soft Opening → Grand Opening.</w:t>
      </w:r>
    </w:p>
    <w:p>
      <w:pPr>
        <w:spacing w:after="100" w:before="200"/>
      </w:pPr>
      <w:r>
        <w:t xml:space="preserve">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5F5A" w:val="clear"/>
          </w:tcPr>
          <w:p>
            <w:r>
              <w:t xml:space="preserve">Milestone</w:t>
            </w:r>
          </w:p>
        </w:tc>
        <w:tc>
          <w:tcPr>
            <w:tcW w:type="dxa" w:w="2400"/>
            <w:shd w:fill="1F5F5A" w:val="clear"/>
          </w:tcPr>
          <w:p>
            <w:r>
              <w:t xml:space="preserve">Target Date</w:t>
            </w:r>
          </w:p>
        </w:tc>
      </w:tr>
      <w:tr>
        <w:tc>
          <w:tcPr>
            <w:tcW w:type="dxa" w:w="2400"/>
          </w:tcPr>
          <w:p>
            <w:r>
              <w:t xml:space="preserve">Company &amp; Healthcare Licensing Complete</w:t>
            </w:r>
          </w:p>
        </w:tc>
        <w:tc>
          <w:tcPr>
            <w:tcW w:type="dxa" w:w="2400"/>
          </w:tcPr>
          <w:p>
            <w:r>
              <w:t xml:space="preserve">October 2026</w:t>
            </w:r>
          </w:p>
        </w:tc>
      </w:tr>
      <w:tr>
        <w:tc>
          <w:tcPr>
            <w:tcW w:type="dxa" w:w="2400"/>
          </w:tcPr>
          <w:p>
            <w:r>
              <w:t xml:space="preserve">Facility Construction Complete</w:t>
            </w:r>
          </w:p>
        </w:tc>
        <w:tc>
          <w:tcPr>
            <w:tcW w:type="dxa" w:w="2400"/>
          </w:tcPr>
          <w:p>
            <w:r>
              <w:t xml:space="preserve">January 2027</w:t>
            </w:r>
          </w:p>
        </w:tc>
      </w:tr>
      <w:tr>
        <w:tc>
          <w:tcPr>
            <w:tcW w:type="dxa" w:w="2400"/>
          </w:tcPr>
          <w:p>
            <w:r>
              <w:t xml:space="preserve">Clinical Staff Fully Trained &amp; Ready</w:t>
            </w:r>
          </w:p>
        </w:tc>
        <w:tc>
          <w:tcPr>
            <w:tcW w:type="dxa" w:w="2400"/>
          </w:tcPr>
          <w:p>
            <w:r>
              <w:t xml:space="preserve">February 2027</w:t>
            </w:r>
          </w:p>
        </w:tc>
      </w:tr>
      <w:tr>
        <w:tc>
          <w:tcPr>
            <w:tcW w:type="dxa" w:w="2400"/>
          </w:tcPr>
          <w:p>
            <w:r>
              <w:t xml:space="preserve">Technology Systems Go-Live</w:t>
            </w:r>
          </w:p>
        </w:tc>
        <w:tc>
          <w:tcPr>
            <w:tcW w:type="dxa" w:w="2400"/>
          </w:tcPr>
          <w:p>
            <w:r>
              <w:t xml:space="preserve">March 2027</w:t>
            </w:r>
          </w:p>
        </w:tc>
      </w:tr>
      <w:tr>
        <w:tc>
          <w:tcPr>
            <w:tcW w:type="dxa" w:w="2400"/>
          </w:tcPr>
          <w:p>
            <w:r>
              <w:t xml:space="preserve">Soft Opening (Internal Testing)</w:t>
            </w:r>
          </w:p>
        </w:tc>
        <w:tc>
          <w:tcPr>
            <w:tcW w:type="dxa" w:w="2400"/>
          </w:tcPr>
          <w:p>
            <w:r>
              <w:t xml:space="preserve">March 2027</w:t>
            </w:r>
          </w:p>
        </w:tc>
      </w:tr>
      <w:tr>
        <w:tc>
          <w:tcPr>
            <w:tcW w:type="dxa" w:w="2400"/>
            <w:shd w:fill="E8F4F0" w:val="clear"/>
          </w:tcPr>
          <w:p>
            <w:r>
              <w:t xml:space="preserve">GRAND OPENING</w:t>
            </w:r>
          </w:p>
        </w:tc>
        <w:tc>
          <w:tcPr>
            <w:tcW w:type="dxa" w:w="2400"/>
            <w:shd w:fill="E8F4F0" w:val="clear"/>
          </w:tcPr>
          <w:p>
            <w:r>
              <w:t xml:space="preserve">May 6, 2027</w:t>
            </w:r>
          </w:p>
        </w:tc>
      </w:tr>
    </w:tbl>
    <w:r>
      <w:br w:type="page"/>
    </w:r>
    <w:p>
      <w:pPr>
        <w:pBdr>
          <w:bottom w:val="single" w:color="2B9B8F" w:sz="12" w:space="1"/>
        </w:pBdr>
        <w:spacing w:after="120" w:before="240"/>
      </w:pPr>
      <w:r>
        <w:t xml:space="preserve">1. MASTER PROJECT TIMELINE</w:t>
      </w:r>
    </w:p>
    <w:p>
      <w:pPr>
        <w:spacing w:after="200"/>
      </w:pPr>
      <w:r>
        <w:t xml:space="preserve">Complete Task Listing with Dependencies (Extract follows on supporting Excel schedule)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F5F5A" w:val="clear"/>
          </w:tcPr>
          <w:p>
            <w:r>
              <w:t xml:space="preserve">Task ID</w:t>
            </w:r>
          </w:p>
        </w:tc>
        <w:tc>
          <w:tcPr>
            <w:tcW w:type="dxa" w:w="1600"/>
            <w:shd w:fill="1F5F5A" w:val="clear"/>
          </w:tcPr>
          <w:p>
            <w:r>
              <w:t xml:space="preserve">Task Name</w:t>
            </w:r>
          </w:p>
        </w:tc>
        <w:tc>
          <w:tcPr>
            <w:tcW w:type="dxa" w:w="600"/>
            <w:shd w:fill="1F5F5A" w:val="clear"/>
          </w:tcPr>
          <w:p>
            <w:r>
              <w:t xml:space="preserve">Duration</w:t>
            </w:r>
          </w:p>
        </w:tc>
        <w:tc>
          <w:tcPr>
            <w:tcW w:type="dxa" w:w="700"/>
            <w:shd w:fill="1F5F5A" w:val="clear"/>
          </w:tcPr>
          <w:p>
            <w:r>
              <w:t xml:space="preserve">Priority</w:t>
            </w:r>
          </w:p>
        </w:tc>
        <w:tc>
          <w:tcPr>
            <w:tcW w:type="dxa" w:w="900"/>
            <w:shd w:fill="1F5F5A" w:val="clear"/>
          </w:tcPr>
          <w:p>
            <w:r>
              <w:t xml:space="preserve">Responsible</w:t>
            </w:r>
          </w:p>
        </w:tc>
      </w:tr>
      <w:tr>
        <w:tc>
          <w:tcPr>
            <w:tcW w:type="dxa" w:w="600"/>
          </w:tcPr>
          <w:p>
            <w:r>
              <w:t xml:space="preserve">T1.1</w:t>
            </w:r>
          </w:p>
        </w:tc>
        <w:tc>
          <w:tcPr>
            <w:tcW w:type="dxa" w:w="1600"/>
          </w:tcPr>
          <w:p>
            <w:r>
              <w:t xml:space="preserve">Project Initiation &amp; Planning</w:t>
            </w:r>
          </w:p>
        </w:tc>
        <w:tc>
          <w:tcPr>
            <w:tcW w:type="dxa" w:w="600"/>
          </w:tcPr>
          <w:p>
            <w:r>
              <w:t xml:space="preserve">16d</w:t>
            </w:r>
          </w:p>
        </w:tc>
        <w:tc>
          <w:tcPr>
            <w:tcW w:type="dxa" w:w="700"/>
          </w:tcPr>
          <w:p>
            <w:r>
              <w:t xml:space="preserve">CRITICAL</w:t>
            </w:r>
          </w:p>
        </w:tc>
        <w:tc>
          <w:tcPr>
            <w:tcW w:type="dxa" w:w="900"/>
          </w:tcPr>
          <w:p>
            <w:r>
              <w:t xml:space="preserve">Project Director</w:t>
            </w:r>
          </w:p>
        </w:tc>
      </w:tr>
      <w:tr>
        <w:tc>
          <w:tcPr>
            <w:tcW w:type="dxa" w:w="600"/>
          </w:tcPr>
          <w:p>
            <w:r>
              <w:t xml:space="preserve">T1.2</w:t>
            </w:r>
          </w:p>
        </w:tc>
        <w:tc>
          <w:tcPr>
            <w:tcW w:type="dxa" w:w="1600"/>
          </w:tcPr>
          <w:p>
            <w:r>
              <w:t xml:space="preserve">Company Registration (Egyptian Authority)</w:t>
            </w:r>
          </w:p>
        </w:tc>
        <w:tc>
          <w:tcPr>
            <w:tcW w:type="dxa" w:w="600"/>
          </w:tcPr>
          <w:p>
            <w:r>
              <w:t xml:space="preserve">30d</w:t>
            </w:r>
          </w:p>
        </w:tc>
        <w:tc>
          <w:tcPr>
            <w:tcW w:type="dxa" w:w="700"/>
          </w:tcPr>
          <w:p>
            <w:r>
              <w:t xml:space="preserve">CRITICAL</w:t>
            </w:r>
          </w:p>
        </w:tc>
        <w:tc>
          <w:tcPr>
            <w:tcW w:type="dxa" w:w="900"/>
          </w:tcPr>
          <w:p>
            <w:r>
              <w:t xml:space="preserve">Legal &amp; Compliance Officer</w:t>
            </w:r>
          </w:p>
        </w:tc>
      </w:tr>
      <w:tr>
        <w:tc>
          <w:tcPr>
            <w:tcW w:type="dxa" w:w="600"/>
          </w:tcPr>
          <w:p>
            <w:r>
              <w:t xml:space="preserve">T1.3</w:t>
            </w:r>
          </w:p>
        </w:tc>
        <w:tc>
          <w:tcPr>
            <w:tcW w:type="dxa" w:w="1600"/>
          </w:tcPr>
          <w:p>
            <w:r>
              <w:t xml:space="preserve">Healthcare Licensing Application - MOH</w:t>
            </w:r>
          </w:p>
        </w:tc>
        <w:tc>
          <w:tcPr>
            <w:tcW w:type="dxa" w:w="600"/>
          </w:tcPr>
          <w:p>
            <w:r>
              <w:t xml:space="preserve">61d</w:t>
            </w:r>
          </w:p>
        </w:tc>
        <w:tc>
          <w:tcPr>
            <w:tcW w:type="dxa" w:w="700"/>
          </w:tcPr>
          <w:p>
            <w:r>
              <w:t xml:space="preserve">CRITICAL</w:t>
            </w:r>
          </w:p>
        </w:tc>
        <w:tc>
          <w:tcPr>
            <w:tcW w:type="dxa" w:w="900"/>
          </w:tcPr>
          <w:p>
            <w:r>
              <w:t xml:space="preserve">Healthcare Compliance Manager</w:t>
            </w:r>
          </w:p>
        </w:tc>
      </w:tr>
      <w:tr>
        <w:tc>
          <w:tcPr>
            <w:tcW w:type="dxa" w:w="600"/>
          </w:tcPr>
          <w:p>
            <w:r>
              <w:t xml:space="preserve">T1.4</w:t>
            </w:r>
          </w:p>
        </w:tc>
        <w:tc>
          <w:tcPr>
            <w:tcW w:type="dxa" w:w="1600"/>
          </w:tcPr>
          <w:p>
            <w:r>
              <w:t xml:space="preserve">Tax Registration &amp; Compliance Setup</w:t>
            </w:r>
          </w:p>
        </w:tc>
        <w:tc>
          <w:tcPr>
            <w:tcW w:type="dxa" w:w="600"/>
          </w:tcPr>
          <w:p>
            <w:r>
              <w:t xml:space="preserve">31d</w:t>
            </w:r>
          </w:p>
        </w:tc>
        <w:tc>
          <w:tcPr>
            <w:tcW w:type="dxa" w:w="700"/>
          </w:tcPr>
          <w:p>
            <w:r>
              <w:t xml:space="preserve">HIGH</w:t>
            </w:r>
          </w:p>
        </w:tc>
        <w:tc>
          <w:tcPr>
            <w:tcW w:type="dxa" w:w="900"/>
          </w:tcPr>
          <w:p>
            <w:r>
              <w:t xml:space="preserve">Finance Manager</w:t>
            </w:r>
          </w:p>
        </w:tc>
      </w:tr>
      <w:tr>
        <w:tc>
          <w:tcPr>
            <w:tcW w:type="dxa" w:w="600"/>
          </w:tcPr>
          <w:p>
            <w:r>
              <w:t xml:space="preserve">T1.5</w:t>
            </w:r>
          </w:p>
        </w:tc>
        <w:tc>
          <w:tcPr>
            <w:tcW w:type="dxa" w:w="1600"/>
          </w:tcPr>
          <w:p>
            <w:r>
              <w:t xml:space="preserve">Municipality Approval (Giza Governorate)</w:t>
            </w:r>
          </w:p>
        </w:tc>
        <w:tc>
          <w:tcPr>
            <w:tcW w:type="dxa" w:w="600"/>
          </w:tcPr>
          <w:p>
            <w:r>
              <w:t xml:space="preserve">46d</w:t>
            </w:r>
          </w:p>
        </w:tc>
        <w:tc>
          <w:tcPr>
            <w:tcW w:type="dxa" w:w="700"/>
          </w:tcPr>
          <w:p>
            <w:r>
              <w:t xml:space="preserve">HIGH</w:t>
            </w:r>
          </w:p>
        </w:tc>
        <w:tc>
          <w:tcPr>
            <w:tcW w:type="dxa" w:w="900"/>
          </w:tcPr>
          <w:p>
            <w:r>
              <w:t xml:space="preserve">Facilities Manager</w:t>
            </w:r>
          </w:p>
        </w:tc>
      </w:tr>
      <w:tr>
        <w:tc>
          <w:tcPr>
            <w:tcW w:type="dxa" w:w="600"/>
          </w:tcPr>
          <w:p>
            <w:r>
              <w:t xml:space="preserve">T1.6</w:t>
            </w:r>
          </w:p>
        </w:tc>
        <w:tc>
          <w:tcPr>
            <w:tcW w:type="dxa" w:w="1600"/>
          </w:tcPr>
          <w:p>
            <w:r>
              <w:t xml:space="preserve">Civil Defense &amp; Fire Safety Approval</w:t>
            </w:r>
          </w:p>
        </w:tc>
        <w:tc>
          <w:tcPr>
            <w:tcW w:type="dxa" w:w="600"/>
          </w:tcPr>
          <w:p>
            <w:r>
              <w:t xml:space="preserve">45d</w:t>
            </w:r>
          </w:p>
        </w:tc>
        <w:tc>
          <w:tcPr>
            <w:tcW w:type="dxa" w:w="700"/>
          </w:tcPr>
          <w:p>
            <w:r>
              <w:t xml:space="preserve">CRITICAL</w:t>
            </w:r>
          </w:p>
        </w:tc>
        <w:tc>
          <w:tcPr>
            <w:tcW w:type="dxa" w:w="900"/>
          </w:tcPr>
          <w:p>
            <w:r>
              <w:t xml:space="preserve">Safety &amp; Compliance Officer</w:t>
            </w:r>
          </w:p>
        </w:tc>
      </w:tr>
      <w:tr>
        <w:tc>
          <w:tcPr>
            <w:tcW w:type="dxa" w:w="600"/>
          </w:tcPr>
          <w:p>
            <w:r>
              <w:t xml:space="preserve">T1.7</w:t>
            </w:r>
          </w:p>
        </w:tc>
        <w:tc>
          <w:tcPr>
            <w:tcW w:type="dxa" w:w="1600"/>
          </w:tcPr>
          <w:p>
            <w:r>
              <w:t xml:space="preserve">Environmental &amp; Waste Management Approval</w:t>
            </w:r>
          </w:p>
        </w:tc>
        <w:tc>
          <w:tcPr>
            <w:tcW w:type="dxa" w:w="600"/>
          </w:tcPr>
          <w:p>
            <w:r>
              <w:t xml:space="preserve">61d</w:t>
            </w:r>
          </w:p>
        </w:tc>
        <w:tc>
          <w:tcPr>
            <w:tcW w:type="dxa" w:w="700"/>
          </w:tcPr>
          <w:p>
            <w:r>
              <w:t xml:space="preserve">HIGH</w:t>
            </w:r>
          </w:p>
        </w:tc>
        <w:tc>
          <w:tcPr>
            <w:tcW w:type="dxa" w:w="900"/>
          </w:tcPr>
          <w:p>
            <w:r>
              <w:t xml:space="preserve">Environmental Health &amp; Safety Officer</w:t>
            </w:r>
          </w:p>
        </w:tc>
      </w:tr>
      <w:tr>
        <w:tc>
          <w:tcPr>
            <w:tcW w:type="dxa" w:w="600"/>
          </w:tcPr>
          <w:p>
            <w:r>
              <w:t xml:space="preserve">T1.8</w:t>
            </w:r>
          </w:p>
        </w:tc>
        <w:tc>
          <w:tcPr>
            <w:tcW w:type="dxa" w:w="1600"/>
          </w:tcPr>
          <w:p>
            <w:r>
              <w:t xml:space="preserve">Insurance Policies &amp; Coverage</w:t>
            </w:r>
          </w:p>
        </w:tc>
        <w:tc>
          <w:tcPr>
            <w:tcW w:type="dxa" w:w="600"/>
          </w:tcPr>
          <w:p>
            <w:r>
              <w:t xml:space="preserve">30d</w:t>
            </w:r>
          </w:p>
        </w:tc>
        <w:tc>
          <w:tcPr>
            <w:tcW w:type="dxa" w:w="700"/>
          </w:tcPr>
          <w:p>
            <w:r>
              <w:t xml:space="preserve">HIGH</w:t>
            </w:r>
          </w:p>
        </w:tc>
        <w:tc>
          <w:tcPr>
            <w:tcW w:type="dxa" w:w="900"/>
          </w:tcPr>
          <w:p>
            <w:r>
              <w:t xml:space="preserve">Risk Manager</w:t>
            </w:r>
          </w:p>
        </w:tc>
      </w:tr>
      <w:tr>
        <w:tc>
          <w:tcPr>
            <w:tcW w:type="dxa" w:w="600"/>
          </w:tcPr>
          <w:p>
            <w:r>
              <w:t xml:space="preserve">T1.9</w:t>
            </w:r>
          </w:p>
        </w:tc>
        <w:tc>
          <w:tcPr>
            <w:tcW w:type="dxa" w:w="1600"/>
          </w:tcPr>
          <w:p>
            <w:r>
              <w:t xml:space="preserve">Data Privacy &amp; GDPR-Equivalent Compliance</w:t>
            </w:r>
          </w:p>
        </w:tc>
        <w:tc>
          <w:tcPr>
            <w:tcW w:type="dxa" w:w="600"/>
          </w:tcPr>
          <w:p>
            <w:r>
              <w:t xml:space="preserve">44d</w:t>
            </w:r>
          </w:p>
        </w:tc>
        <w:tc>
          <w:tcPr>
            <w:tcW w:type="dxa" w:w="700"/>
          </w:tcPr>
          <w:p>
            <w:r>
              <w:t xml:space="preserve">HIGH</w:t>
            </w:r>
          </w:p>
        </w:tc>
        <w:tc>
          <w:tcPr>
            <w:tcW w:type="dxa" w:w="900"/>
          </w:tcPr>
          <w:p>
            <w:r>
              <w:t xml:space="preserve">Data Protection Officer</w:t>
            </w:r>
          </w:p>
        </w:tc>
      </w:tr>
      <w:tr>
        <w:tc>
          <w:tcPr>
            <w:tcW w:type="dxa" w:w="600"/>
          </w:tcPr>
          <w:p>
            <w:r>
              <w:t xml:space="preserve">T2.1</w:t>
            </w:r>
          </w:p>
        </w:tc>
        <w:tc>
          <w:tcPr>
            <w:tcW w:type="dxa" w:w="1600"/>
          </w:tcPr>
          <w:p>
            <w:r>
              <w:t xml:space="preserve">Facility Site Selection &amp; Lease Execution</w:t>
            </w:r>
          </w:p>
        </w:tc>
        <w:tc>
          <w:tcPr>
            <w:tcW w:type="dxa" w:w="600"/>
          </w:tcPr>
          <w:p>
            <w:r>
              <w:t xml:space="preserve">48d</w:t>
            </w:r>
          </w:p>
        </w:tc>
        <w:tc>
          <w:tcPr>
            <w:tcW w:type="dxa" w:w="700"/>
          </w:tcPr>
          <w:p>
            <w:r>
              <w:t xml:space="preserve">CRITICAL</w:t>
            </w:r>
          </w:p>
        </w:tc>
        <w:tc>
          <w:tcPr>
            <w:tcW w:type="dxa" w:w="900"/>
          </w:tcPr>
          <w:p>
            <w:r>
              <w:t xml:space="preserve">Facilities Manager</w:t>
            </w:r>
          </w:p>
        </w:tc>
      </w:tr>
    </w:tbl>
    <w:p>
      <w:pPr>
        <w:spacing w:after="300"/>
      </w:pPr>
      <w:r>
        <w:t xml:space="preserve">... [Complete task list continues in supporting Excel file] ...</w:t>
      </w:r>
    </w:p>
    <w:r>
      <w:br w:type="page"/>
    </w:r>
    <w:p>
      <w:pPr>
        <w:pBdr>
          <w:bottom w:val="single" w:color="2B9B8F" w:sz="12" w:space="1"/>
        </w:pBdr>
        <w:spacing w:after="120" w:before="240"/>
      </w:pPr>
      <w:r>
        <w:t xml:space="preserve">2. LEGAL &amp; GOVERNMENT REQUIREMENTS (EGYPT)</w:t>
      </w:r>
    </w:p>
    <w:p>
      <w:pPr>
        <w:spacing w:after="200"/>
      </w:pPr>
      <w:r>
        <w:t xml:space="preserve">Required Egyptian Healthcare &amp; Business Licensing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F5F5A" w:val="clear"/>
          </w:tcPr>
          <w:p>
            <w:r>
              <w:t xml:space="preserve">Category</w:t>
            </w:r>
          </w:p>
        </w:tc>
        <w:tc>
          <w:tcPr>
            <w:tcW w:type="dxa" w:w="1600"/>
            <w:shd w:fill="1F5F5A" w:val="clear"/>
          </w:tcPr>
          <w:p>
            <w:r>
              <w:t xml:space="preserve">Requirement</w:t>
            </w:r>
          </w:p>
        </w:tc>
        <w:tc>
          <w:tcPr>
            <w:tcW w:type="dxa" w:w="1200"/>
            <w:shd w:fill="1F5F5A" w:val="clear"/>
          </w:tcPr>
          <w:p>
            <w:r>
              <w:t xml:space="preserve">Authority</w:t>
            </w:r>
          </w:p>
        </w:tc>
        <w:tc>
          <w:tcPr>
            <w:tcW w:type="dxa" w:w="800"/>
            <w:shd w:fill="1F5F5A" w:val="clear"/>
          </w:tcPr>
          <w:p>
            <w:r>
              <w:t xml:space="preserve">Processing Time</w:t>
            </w:r>
          </w:p>
        </w:tc>
      </w:tr>
      <w:tr>
        <w:tc>
          <w:tcPr>
            <w:tcW w:type="dxa" w:w="1200"/>
          </w:tcPr>
          <w:p>
            <w:r>
              <w:t xml:space="preserve">Company Registration</w:t>
            </w:r>
          </w:p>
        </w:tc>
        <w:tc>
          <w:tcPr>
            <w:tcW w:type="dxa" w:w="1600"/>
          </w:tcPr>
          <w:p>
            <w:r>
              <w:t xml:space="preserve">General Authority for Investment (GAFI) Registration</w:t>
            </w:r>
          </w:p>
        </w:tc>
        <w:tc>
          <w:tcPr>
            <w:tcW w:type="dxa" w:w="1200"/>
          </w:tcPr>
          <w:p>
            <w:r>
              <w:t xml:space="preserve">General Authority for Investment (GAFI)</w:t>
            </w:r>
          </w:p>
        </w:tc>
        <w:tc>
          <w:tcPr>
            <w:tcW w:type="dxa" w:w="800"/>
          </w:tcPr>
          <w:p>
            <w:r>
              <w:t xml:space="preserve">7-14 days</w:t>
            </w:r>
          </w:p>
        </w:tc>
      </w:tr>
      <w:tr>
        <w:tc>
          <w:tcPr>
            <w:tcW w:type="dxa" w:w="1200"/>
          </w:tcPr>
          <w:p>
            <w:r>
              <w:t xml:space="preserve">Healthcare Licensing</w:t>
            </w:r>
          </w:p>
        </w:tc>
        <w:tc>
          <w:tcPr>
            <w:tcW w:type="dxa" w:w="1600"/>
          </w:tcPr>
          <w:p>
            <w:r>
              <w:t xml:space="preserve">Ministry of Health &amp; Population (MOH) Facility License</w:t>
            </w:r>
          </w:p>
        </w:tc>
        <w:tc>
          <w:tcPr>
            <w:tcW w:type="dxa" w:w="1200"/>
          </w:tcPr>
          <w:p>
            <w:r>
              <w:t xml:space="preserve">Ministry of Health &amp; Population</w:t>
            </w:r>
          </w:p>
        </w:tc>
        <w:tc>
          <w:tcPr>
            <w:tcW w:type="dxa" w:w="800"/>
          </w:tcPr>
          <w:p>
            <w:r>
              <w:t xml:space="preserve">30-60 days</w:t>
            </w:r>
          </w:p>
        </w:tc>
      </w:tr>
      <w:tr>
        <w:tc>
          <w:tcPr>
            <w:tcW w:type="dxa" w:w="1200"/>
          </w:tcPr>
          <w:p>
            <w:r>
              <w:t xml:space="preserve">Tax Compliance</w:t>
            </w:r>
          </w:p>
        </w:tc>
        <w:tc>
          <w:tcPr>
            <w:tcW w:type="dxa" w:w="1600"/>
          </w:tcPr>
          <w:p>
            <w:r>
              <w:t xml:space="preserve">Egyptian Tax Authority (ETA) Registration &amp; VAT</w:t>
            </w:r>
          </w:p>
        </w:tc>
        <w:tc>
          <w:tcPr>
            <w:tcW w:type="dxa" w:w="1200"/>
          </w:tcPr>
          <w:p>
            <w:r>
              <w:t xml:space="preserve">Egyptian Tax Authority (ETA)</w:t>
            </w:r>
          </w:p>
        </w:tc>
        <w:tc>
          <w:tcPr>
            <w:tcW w:type="dxa" w:w="800"/>
          </w:tcPr>
          <w:p>
            <w:r>
              <w:t xml:space="preserve">10-15 days</w:t>
            </w:r>
          </w:p>
        </w:tc>
      </w:tr>
      <w:tr>
        <w:tc>
          <w:tcPr>
            <w:tcW w:type="dxa" w:w="1200"/>
          </w:tcPr>
          <w:p>
            <w:r>
              <w:t xml:space="preserve">Municipality Approval</w:t>
            </w:r>
          </w:p>
        </w:tc>
        <w:tc>
          <w:tcPr>
            <w:tcW w:type="dxa" w:w="1600"/>
          </w:tcPr>
          <w:p>
            <w:r>
              <w:t xml:space="preserve">Giza Governorate Zoning &amp; Building Permit</w:t>
            </w:r>
          </w:p>
        </w:tc>
        <w:tc>
          <w:tcPr>
            <w:tcW w:type="dxa" w:w="1200"/>
          </w:tcPr>
          <w:p>
            <w:r>
              <w:t xml:space="preserve">Giza Governorate Building Authority</w:t>
            </w:r>
          </w:p>
        </w:tc>
        <w:tc>
          <w:tcPr>
            <w:tcW w:type="dxa" w:w="800"/>
          </w:tcPr>
          <w:p>
            <w:r>
              <w:t xml:space="preserve">15-30 days</w:t>
            </w:r>
          </w:p>
        </w:tc>
      </w:tr>
      <w:tr>
        <w:tc>
          <w:tcPr>
            <w:tcW w:type="dxa" w:w="1200"/>
          </w:tcPr>
          <w:p>
            <w:r>
              <w:t xml:space="preserve">Civil Defense</w:t>
            </w:r>
          </w:p>
        </w:tc>
        <w:tc>
          <w:tcPr>
            <w:tcW w:type="dxa" w:w="1600"/>
          </w:tcPr>
          <w:p>
            <w:r>
              <w:t xml:space="preserve">Fire Safety &amp; Emergency Procedures Certification</w:t>
            </w:r>
          </w:p>
        </w:tc>
        <w:tc>
          <w:tcPr>
            <w:tcW w:type="dxa" w:w="1200"/>
          </w:tcPr>
          <w:p>
            <w:r>
              <w:t xml:space="preserve">Egyptian Civil Defense Authority</w:t>
            </w:r>
          </w:p>
        </w:tc>
        <w:tc>
          <w:tcPr>
            <w:tcW w:type="dxa" w:w="800"/>
          </w:tcPr>
          <w:p>
            <w:r>
              <w:t xml:space="preserve">20-40 days</w:t>
            </w:r>
          </w:p>
        </w:tc>
      </w:tr>
      <w:tr>
        <w:tc>
          <w:tcPr>
            <w:tcW w:type="dxa" w:w="1200"/>
          </w:tcPr>
          <w:p>
            <w:r>
              <w:t xml:space="preserve">Environmental</w:t>
            </w:r>
          </w:p>
        </w:tc>
        <w:tc>
          <w:tcPr>
            <w:tcW w:type="dxa" w:w="1600"/>
          </w:tcPr>
          <w:p>
            <w:r>
              <w:t xml:space="preserve">Medical Waste Management &amp; Environmental Compliance</w:t>
            </w:r>
          </w:p>
        </w:tc>
        <w:tc>
          <w:tcPr>
            <w:tcW w:type="dxa" w:w="1200"/>
          </w:tcPr>
          <w:p>
            <w:r>
              <w:t xml:space="preserve">Egyptian Environmental Affairs Agency</w:t>
            </w:r>
          </w:p>
        </w:tc>
        <w:tc>
          <w:tcPr>
            <w:tcW w:type="dxa" w:w="800"/>
          </w:tcPr>
          <w:p>
            <w:r>
              <w:t xml:space="preserve">20-45 days</w:t>
            </w:r>
          </w:p>
        </w:tc>
      </w:tr>
      <w:tr>
        <w:tc>
          <w:tcPr>
            <w:tcW w:type="dxa" w:w="1200"/>
          </w:tcPr>
          <w:p>
            <w:r>
              <w:t xml:space="preserve">Insurance</w:t>
            </w:r>
          </w:p>
        </w:tc>
        <w:tc>
          <w:tcPr>
            <w:tcW w:type="dxa" w:w="1600"/>
          </w:tcPr>
          <w:p>
            <w:r>
              <w:t xml:space="preserve">Professional Liability &amp; General Liability Insurance</w:t>
            </w:r>
          </w:p>
        </w:tc>
        <w:tc>
          <w:tcPr>
            <w:tcW w:type="dxa" w:w="1200"/>
          </w:tcPr>
          <w:p>
            <w:r>
              <w:t xml:space="preserve">Licensed Insurance Companies</w:t>
            </w:r>
          </w:p>
        </w:tc>
        <w:tc>
          <w:tcPr>
            <w:tcW w:type="dxa" w:w="800"/>
          </w:tcPr>
          <w:p>
            <w:r>
              <w:t xml:space="preserve">7-14 days</w:t>
            </w:r>
          </w:p>
        </w:tc>
      </w:tr>
      <w:tr>
        <w:tc>
          <w:tcPr>
            <w:tcW w:type="dxa" w:w="1200"/>
          </w:tcPr>
          <w:p>
            <w:r>
              <w:t xml:space="preserve">Employment</w:t>
            </w:r>
          </w:p>
        </w:tc>
        <w:tc>
          <w:tcPr>
            <w:tcW w:type="dxa" w:w="1600"/>
          </w:tcPr>
          <w:p>
            <w:r>
              <w:t xml:space="preserve">Employee Registration with Social Insurance Fund (SIF)</w:t>
            </w:r>
          </w:p>
        </w:tc>
        <w:tc>
          <w:tcPr>
            <w:tcW w:type="dxa" w:w="1200"/>
          </w:tcPr>
          <w:p>
            <w:r>
              <w:t xml:space="preserve">Social Insurance Fund (SIF)</w:t>
            </w:r>
          </w:p>
        </w:tc>
        <w:tc>
          <w:tcPr>
            <w:tcW w:type="dxa" w:w="800"/>
          </w:tcPr>
          <w:p>
            <w:r>
              <w:t xml:space="preserve">5-10 days</w:t>
            </w:r>
          </w:p>
        </w:tc>
      </w:tr>
      <w:tr>
        <w:tc>
          <w:tcPr>
            <w:tcW w:type="dxa" w:w="1200"/>
          </w:tcPr>
          <w:p>
            <w:r>
              <w:t xml:space="preserve">Professional Licenses</w:t>
            </w:r>
          </w:p>
        </w:tc>
        <w:tc>
          <w:tcPr>
            <w:tcW w:type="dxa" w:w="1600"/>
          </w:tcPr>
          <w:p>
            <w:r>
              <w:t xml:space="preserve">Egyptian Medical Syndicate Registration for Clinical Staff</w:t>
            </w:r>
          </w:p>
        </w:tc>
        <w:tc>
          <w:tcPr>
            <w:tcW w:type="dxa" w:w="1200"/>
          </w:tcPr>
          <w:p>
            <w:r>
              <w:t xml:space="preserve">Egyptian Medical Syndicate</w:t>
            </w:r>
          </w:p>
        </w:tc>
        <w:tc>
          <w:tcPr>
            <w:tcW w:type="dxa" w:w="800"/>
          </w:tcPr>
          <w:p>
            <w:r>
              <w:t xml:space="preserve">10-20 days</w:t>
            </w:r>
          </w:p>
        </w:tc>
      </w:tr>
      <w:tr>
        <w:tc>
          <w:tcPr>
            <w:tcW w:type="dxa" w:w="1200"/>
          </w:tcPr>
          <w:p>
            <w:r>
              <w:t xml:space="preserve">Data Protection</w:t>
            </w:r>
          </w:p>
        </w:tc>
        <w:tc>
          <w:tcPr>
            <w:tcW w:type="dxa" w:w="1600"/>
          </w:tcPr>
          <w:p>
            <w:r>
              <w:t xml:space="preserve">Patient Data Privacy Compliance (Law 151/2020)</w:t>
            </w:r>
          </w:p>
        </w:tc>
        <w:tc>
          <w:tcPr>
            <w:tcW w:type="dxa" w:w="1200"/>
          </w:tcPr>
          <w:p>
            <w:r>
              <w:t xml:space="preserve">Ministry of Communications &amp; IT</w:t>
            </w:r>
          </w:p>
        </w:tc>
        <w:tc>
          <w:tcPr>
            <w:tcW w:type="dxa" w:w="800"/>
          </w:tcPr>
          <w:p>
            <w:r>
              <w:t xml:space="preserve">Ongoing Compliance</w:t>
            </w:r>
          </w:p>
        </w:tc>
      </w:tr>
    </w:tbl>
    <w:p>
      <w:pPr>
        <w:spacing w:after="300" w:before="200"/>
      </w:pPr>
      <w:r>
        <w:t xml:space="preserve">Critical Notes: All licenses must be obtained before Soft Opening. Healthcare licensing is the critical path item and should be prioritized immediately.</w:t>
      </w:r>
    </w:p>
    <w:r>
      <w:br w:type="page"/>
    </w:r>
    <w:p>
      <w:pPr>
        <w:spacing w:after="150" w:before="300"/>
      </w:pPr>
      <w:r>
        <w:t xml:space="preserve">DETAILED SECTIONS CONTINUE:</w:t>
      </w:r>
    </w:p>
    <w:p>
      <w:pPr>
        <w:spacing w:after="80"/>
      </w:pPr>
      <w:r>
        <w:t xml:space="preserve">3. Facility Preparation Plan (detailed in supporting documents)</w:t>
      </w:r>
    </w:p>
    <w:p>
      <w:pPr>
        <w:spacing w:after="80"/>
      </w:pPr>
      <w:r>
        <w:t xml:space="preserve">4. Clinical Operations Setup (detailed in supporting documents)</w:t>
      </w:r>
    </w:p>
    <w:p>
      <w:pPr>
        <w:spacing w:after="80"/>
      </w:pPr>
      <w:r>
        <w:t xml:space="preserve">5. Human Resources Structure &amp; Hiring Plan (detailed in supporting documents)</w:t>
      </w:r>
    </w:p>
    <w:p>
      <w:pPr>
        <w:spacing w:after="80"/>
      </w:pPr>
      <w:r>
        <w:t xml:space="preserve">6. Finance &amp; Procurement Plan (detailed in supporting documents)</w:t>
      </w:r>
    </w:p>
    <w:p>
      <w:pPr>
        <w:spacing w:after="80"/>
      </w:pPr>
      <w:r>
        <w:t xml:space="preserve">7. Documentation Library &amp; Checklist (detailed in supporting documents)</w:t>
      </w:r>
    </w:p>
    <w:p>
      <w:pPr>
        <w:spacing w:after="80"/>
      </w:pPr>
      <w:r>
        <w:t xml:space="preserve">8. Marketing &amp; Launch Plan (detailed in supporting documents)</w:t>
      </w:r>
    </w:p>
    <w:p>
      <w:pPr>
        <w:spacing w:after="80"/>
      </w:pPr>
      <w:r>
        <w:t xml:space="preserve">9. Technology Systems Implementation (detailed in supporting documents)</w:t>
      </w:r>
    </w:p>
    <w:p>
      <w:pPr>
        <w:spacing w:after="80"/>
      </w:pPr>
      <w:r>
        <w:t xml:space="preserve">10. Risk Management &amp; Contingency Planning (detailed in supporting documents)</w:t>
      </w:r>
    </w:p>
    <w:p>
      <w:pPr>
        <w:spacing w:after="80"/>
      </w:pPr>
      <w:r>
        <w:t xml:space="preserve">11. Opening Readiness Checklists (detailed in supporting documents)</w:t>
      </w:r>
    </w:p>
    <w:p>
      <w:pPr>
        <w:spacing w:after="300"/>
      </w:pPr>
      <w:r>
        <w:t xml:space="preserve">12. Project Dashboard &amp; Reporting (detailed in supporting documents)</w:t>
      </w:r>
    </w:p>
    <w:p>
      <w:pPr>
        <w:spacing w:after="80"/>
      </w:pPr>
      <w:r>
        <w:t xml:space="preserve">All supporting documents are maintained in organized folder structure:</w:t>
      </w:r>
    </w:p>
    <w:p>
      <w:pPr>
        <w:spacing w:after="40"/>
      </w:pPr>
      <w:r>
        <w:t xml:space="preserve">/Project_Documents/English/ - All English language documents</w:t>
      </w:r>
    </w:p>
    <w:p>
      <w:pPr>
        <w:spacing w:after="300"/>
      </w:pPr>
      <w:r>
        <w:t xml:space="preserve">/Project_Documents/Arabic/ - All Arabic language documents</w:t>
      </w:r>
    </w:p>
    <w:p>
      <w:pPr>
        <w:spacing w:before="300"/>
      </w:pPr>
      <w:r>
        <w:t xml:space="preserve">Document prepared as PMO-level project implementation resource. All supporting schedules, templates, checklists, and forms follow in structured Excel and Word documents.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2026-07-30T09:07:13.224Z</dcterms:created>
  <dcterms:modified xsi:type="dcterms:W3CDTF">2026-07-30T09:07:13.224Z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