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TRIAD Multidisciplinary Rehabilitation &amp; Therapy Center</w:t>
      </w:r>
    </w:p>
    <w:p>
      <w:pPr>
        <w:pStyle w:val="Subtitle"/>
      </w:pPr>
      <w:r>
        <w:t xml:space="preserve">Investor</w:t>
      </w:r>
      <w:r>
        <w:t xml:space="preserve"> </w:t>
      </w:r>
      <w:r>
        <w:t xml:space="preserve">Business</w:t>
      </w:r>
      <w:r>
        <w:t xml:space="preserve"> </w:t>
      </w:r>
      <w:r>
        <w:t xml:space="preserve">Proposal</w:t>
      </w:r>
      <w:r>
        <w:t xml:space="preserve"> </w:t>
      </w:r>
      <w:r>
        <w:t xml:space="preserve">—</w:t>
      </w:r>
      <w:r>
        <w:t xml:space="preserve"> </w:t>
      </w:r>
      <w:r>
        <w:t xml:space="preserve">New</w:t>
      </w:r>
      <w:r>
        <w:t xml:space="preserve"> </w:t>
      </w:r>
      <w:r>
        <w:t xml:space="preserve">Cairo</w:t>
      </w:r>
      <w:r>
        <w:t xml:space="preserve"> </w:t>
      </w:r>
      <w:r>
        <w:t xml:space="preserve">(Fifth</w:t>
      </w:r>
      <w:r>
        <w:t xml:space="preserve"> </w:t>
      </w:r>
      <w:r>
        <w:t xml:space="preserve">Settlement),</w:t>
      </w:r>
      <w:r>
        <w:t xml:space="preserve"> </w:t>
      </w:r>
      <w:r>
        <w:t xml:space="preserve">Egypt</w:t>
      </w:r>
    </w:p>
    <w:p>
      <w:pPr>
        <w:pStyle w:val="Date"/>
      </w:pPr>
      <w:r>
        <w:t xml:space="preserve">July</w:t>
      </w:r>
      <w:r>
        <w:t xml:space="preserve"> </w:t>
      </w:r>
      <w:r>
        <w:t xml:space="preserve">2026</w:t>
      </w:r>
    </w:p>
    <w:p>
      <w:pPr>
        <w:pStyle w:val="FirstParagraph"/>
      </w:pPr>
      <w:r>
        <w:rPr>
          <w:bCs/>
          <w:b/>
        </w:rPr>
        <w:t xml:space="preserve">CONFIDENTIAL INVESTOR PROPOSAL</w:t>
      </w:r>
    </w:p>
    <w:p>
      <w:pPr>
        <w:pStyle w:val="BodyText"/>
      </w:pPr>
      <w:r>
        <w:t xml:space="preserve">Prepared for prospective investors, banking partners, and strategic partners.</w:t>
      </w:r>
      <w:r>
        <w:t xml:space="preserve"> </w:t>
      </w:r>
      <w:r>
        <w:t xml:space="preserve">This document contains proprietary business information belonging to the founding partners of TRIAD Multidisciplinary Rehabilitation &amp; Therapy Center and is provided solely for the purpose of investment evaluation. All financial figures are indicative planning estimates based on July 2026 market data (EGP/USD ≈ 50) and are subject to refinement following a formal feasibility study, architectural survey, and vendor quotations.</w:t>
      </w:r>
    </w:p>
    <w:p>
      <w:pPr>
        <w:pStyle w:val="BodyText"/>
      </w:pPr>
      <w:r>
        <w:rPr>
          <w:bCs/>
          <w:b/>
        </w:rPr>
        <w:t xml:space="preserve">Founding Partners:</w:t>
      </w:r>
      <w:r>
        <w:t xml:space="preserve"> </w:t>
      </w:r>
      <w:r>
        <w:t xml:space="preserve">Nagham Reda (Physical Therapist) · Saja Khader (Occupational Therapist) · Saja Ali (Pediatric Occupational Therapist)</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Vision, Mission &amp; Core Values</w:t>
      </w:r>
    </w:p>
    <w:p>
      <w:pPr>
        <w:numPr>
          <w:ilvl w:val="0"/>
          <w:numId w:val="1001"/>
        </w:numPr>
        <w:pStyle w:val="Compact"/>
      </w:pPr>
      <w:r>
        <w:t xml:space="preserve">Company Overview</w:t>
      </w:r>
    </w:p>
    <w:p>
      <w:pPr>
        <w:numPr>
          <w:ilvl w:val="0"/>
          <w:numId w:val="1001"/>
        </w:numPr>
        <w:pStyle w:val="Compact"/>
      </w:pPr>
      <w:r>
        <w:t xml:space="preserve">Market Analysis</w:t>
      </w:r>
    </w:p>
    <w:p>
      <w:pPr>
        <w:numPr>
          <w:ilvl w:val="0"/>
          <w:numId w:val="1001"/>
        </w:numPr>
        <w:pStyle w:val="Compact"/>
      </w:pPr>
      <w:r>
        <w:t xml:space="preserve">Competitor Analysis</w:t>
      </w:r>
    </w:p>
    <w:p>
      <w:pPr>
        <w:numPr>
          <w:ilvl w:val="0"/>
          <w:numId w:val="1001"/>
        </w:numPr>
        <w:pStyle w:val="Compact"/>
      </w:pPr>
      <w:r>
        <w:t xml:space="preserve">SWOT Analysis</w:t>
      </w:r>
    </w:p>
    <w:p>
      <w:pPr>
        <w:numPr>
          <w:ilvl w:val="0"/>
          <w:numId w:val="1001"/>
        </w:numPr>
        <w:pStyle w:val="Compact"/>
      </w:pPr>
      <w:r>
        <w:t xml:space="preserve">Detailed Clinical Services</w:t>
      </w:r>
    </w:p>
    <w:p>
      <w:pPr>
        <w:numPr>
          <w:ilvl w:val="0"/>
          <w:numId w:val="1001"/>
        </w:numPr>
        <w:pStyle w:val="Compact"/>
      </w:pPr>
      <w:r>
        <w:t xml:space="preserve">Department Structure</w:t>
      </w:r>
    </w:p>
    <w:p>
      <w:pPr>
        <w:numPr>
          <w:ilvl w:val="0"/>
          <w:numId w:val="1001"/>
        </w:numPr>
        <w:pStyle w:val="Compact"/>
      </w:pPr>
      <w:r>
        <w:t xml:space="preserve">Organisational Chart</w:t>
      </w:r>
    </w:p>
    <w:p>
      <w:pPr>
        <w:numPr>
          <w:ilvl w:val="0"/>
          <w:numId w:val="1001"/>
        </w:numPr>
        <w:pStyle w:val="Compact"/>
      </w:pPr>
      <w:r>
        <w:t xml:space="preserve">Staffing Plan</w:t>
      </w:r>
    </w:p>
    <w:p>
      <w:pPr>
        <w:numPr>
          <w:ilvl w:val="0"/>
          <w:numId w:val="1001"/>
        </w:numPr>
        <w:pStyle w:val="Compact"/>
      </w:pPr>
      <w:r>
        <w:t xml:space="preserve">Facility Layout</w:t>
      </w:r>
    </w:p>
    <w:p>
      <w:pPr>
        <w:numPr>
          <w:ilvl w:val="0"/>
          <w:numId w:val="1001"/>
        </w:numPr>
        <w:pStyle w:val="Compact"/>
      </w:pPr>
      <w:r>
        <w:t xml:space="preserve">Equipment Lists by Department</w:t>
      </w:r>
    </w:p>
    <w:p>
      <w:pPr>
        <w:numPr>
          <w:ilvl w:val="0"/>
          <w:numId w:val="1001"/>
        </w:numPr>
        <w:pStyle w:val="Compact"/>
      </w:pPr>
      <w:r>
        <w:t xml:space="preserve">Technology &amp; Software</w:t>
      </w:r>
    </w:p>
    <w:p>
      <w:pPr>
        <w:numPr>
          <w:ilvl w:val="0"/>
          <w:numId w:val="1001"/>
        </w:numPr>
        <w:pStyle w:val="Compact"/>
      </w:pPr>
      <w:r>
        <w:t xml:space="preserve">Operational Plan</w:t>
      </w:r>
    </w:p>
    <w:p>
      <w:pPr>
        <w:numPr>
          <w:ilvl w:val="0"/>
          <w:numId w:val="1001"/>
        </w:numPr>
        <w:pStyle w:val="Compact"/>
      </w:pPr>
      <w:r>
        <w:t xml:space="preserve">Policies &amp; SOPs</w:t>
      </w:r>
    </w:p>
    <w:p>
      <w:pPr>
        <w:numPr>
          <w:ilvl w:val="0"/>
          <w:numId w:val="1001"/>
        </w:numPr>
        <w:pStyle w:val="Compact"/>
      </w:pPr>
      <w:r>
        <w:t xml:space="preserve">Marketing Strategy</w:t>
      </w:r>
    </w:p>
    <w:p>
      <w:pPr>
        <w:numPr>
          <w:ilvl w:val="0"/>
          <w:numId w:val="1001"/>
        </w:numPr>
        <w:pStyle w:val="Compact"/>
      </w:pPr>
      <w:r>
        <w:t xml:space="preserve">Branding Strategy</w:t>
      </w:r>
    </w:p>
    <w:p>
      <w:pPr>
        <w:numPr>
          <w:ilvl w:val="0"/>
          <w:numId w:val="1001"/>
        </w:numPr>
        <w:pStyle w:val="Compact"/>
      </w:pPr>
      <w:r>
        <w:t xml:space="preserve">Financial Plan — Overview</w:t>
      </w:r>
    </w:p>
    <w:p>
      <w:pPr>
        <w:numPr>
          <w:ilvl w:val="0"/>
          <w:numId w:val="1001"/>
        </w:numPr>
        <w:pStyle w:val="Compact"/>
      </w:pPr>
      <w:r>
        <w:t xml:space="preserve">Option 1 — Lowest Budget (</w:t>
      </w:r>
      <w:r>
        <w:t xml:space="preserve">“</w:t>
      </w:r>
      <w:r>
        <w:t xml:space="preserve">Essential</w:t>
      </w:r>
      <w:r>
        <w:t xml:space="preserve">”</w:t>
      </w:r>
      <w:r>
        <w:t xml:space="preserve">)</w:t>
      </w:r>
    </w:p>
    <w:p>
      <w:pPr>
        <w:numPr>
          <w:ilvl w:val="0"/>
          <w:numId w:val="1001"/>
        </w:numPr>
        <w:pStyle w:val="Compact"/>
      </w:pPr>
      <w:r>
        <w:t xml:space="preserve">Option 2 — Moderate Budget (</w:t>
      </w:r>
      <w:r>
        <w:t xml:space="preserve">“</w:t>
      </w:r>
      <w:r>
        <w:t xml:space="preserve">Recommended</w:t>
      </w:r>
      <w:r>
        <w:t xml:space="preserve">”</w:t>
      </w:r>
      <w:r>
        <w:t xml:space="preserve">)</w:t>
      </w:r>
    </w:p>
    <w:p>
      <w:pPr>
        <w:numPr>
          <w:ilvl w:val="0"/>
          <w:numId w:val="1001"/>
        </w:numPr>
        <w:pStyle w:val="Compact"/>
      </w:pPr>
      <w:r>
        <w:t xml:space="preserve">Option 3 — Luxury Budget (</w:t>
      </w:r>
      <w:r>
        <w:t xml:space="preserve">“</w:t>
      </w:r>
      <w:r>
        <w:t xml:space="preserve">Flagship</w:t>
      </w:r>
      <w:r>
        <w:t xml:space="preserve">”</w:t>
      </w:r>
      <w:r>
        <w:t xml:space="preserve">)</w:t>
      </w:r>
    </w:p>
    <w:p>
      <w:pPr>
        <w:numPr>
          <w:ilvl w:val="0"/>
          <w:numId w:val="1001"/>
        </w:numPr>
        <w:pStyle w:val="Compact"/>
      </w:pPr>
      <w:r>
        <w:t xml:space="preserve">Consolidated Revenue Streams</w:t>
      </w:r>
    </w:p>
    <w:p>
      <w:pPr>
        <w:numPr>
          <w:ilvl w:val="0"/>
          <w:numId w:val="1001"/>
        </w:numPr>
        <w:pStyle w:val="Compact"/>
      </w:pPr>
      <w:r>
        <w:t xml:space="preserve">Risk Assessment</w:t>
      </w:r>
    </w:p>
    <w:p>
      <w:pPr>
        <w:numPr>
          <w:ilvl w:val="0"/>
          <w:numId w:val="1001"/>
        </w:numPr>
        <w:pStyle w:val="Compact"/>
      </w:pPr>
      <w:r>
        <w:t xml:space="preserve">Expansion Strategy</w:t>
      </w:r>
    </w:p>
    <w:p>
      <w:pPr>
        <w:numPr>
          <w:ilvl w:val="0"/>
          <w:numId w:val="1001"/>
        </w:numPr>
        <w:pStyle w:val="Compact"/>
      </w:pPr>
      <w:r>
        <w:t xml:space="preserve">Implementation Timeline</w:t>
      </w:r>
    </w:p>
    <w:p>
      <w:pPr>
        <w:numPr>
          <w:ilvl w:val="0"/>
          <w:numId w:val="1001"/>
        </w:numPr>
        <w:pStyle w:val="Compact"/>
      </w:pPr>
      <w:r>
        <w:t xml:space="preserve">Appendix — Key Assumptions &amp; Disclaimers</w:t>
      </w:r>
    </w:p>
    <w:p>
      <w:r>
        <w:pict>
          <v:rect style="width:0;height:1.5pt" o:hralign="center" o:hrstd="t" o:hr="t"/>
        </w:pict>
      </w:r>
    </w:p>
    <w:bookmarkEnd w:id="20"/>
    <w:bookmarkStart w:id="21" w:name="executive-summary"/>
    <w:p>
      <w:pPr>
        <w:pStyle w:val="Heading1"/>
      </w:pPr>
      <w:r>
        <w:t xml:space="preserve">1. Executive Summary</w:t>
      </w:r>
    </w:p>
    <w:p>
      <w:pPr>
        <w:pStyle w:val="FirstParagraph"/>
      </w:pPr>
      <w:r>
        <w:t xml:space="preserve">TRIAD Multidisciplinary Rehabilitation &amp; Therapy Center (</w:t>
      </w:r>
      <w:r>
        <w:t xml:space="preserve">“</w:t>
      </w:r>
      <w:r>
        <w:t xml:space="preserve">TRIAD</w:t>
      </w:r>
      <w:r>
        <w:t xml:space="preserve">”</w:t>
      </w:r>
      <w:r>
        <w:t xml:space="preserve"> </w:t>
      </w:r>
      <w:r>
        <w:t xml:space="preserve">or</w:t>
      </w:r>
      <w:r>
        <w:t xml:space="preserve"> </w:t>
      </w:r>
      <w:r>
        <w:t xml:space="preserve">“</w:t>
      </w:r>
      <w:r>
        <w:t xml:space="preserve">the Center</w:t>
      </w:r>
      <w:r>
        <w:t xml:space="preserve">”</w:t>
      </w:r>
      <w:r>
        <w:t xml:space="preserve">) is a proposed outpatient rehabilitation clinic to be established in New Cairo’s Fifth Settlement (El Tagamoa El Khames), one of Greater Cairo’s fastest-growing, highest-income residential and medical corridors. The Center is founded by three senior clinicians — each with six years of specialist clinical experience — who will each direct one of three clinical departments operating under a single, unified brand: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Department</w:t>
            </w:r>
          </w:p>
        </w:tc>
        <w:tc>
          <w:tcPr/>
          <w:p>
            <w:pPr>
              <w:pStyle w:val="Compact"/>
              <w:jc w:val="left"/>
            </w:pPr>
            <w:r>
              <w:t xml:space="preserve">Founder &amp; Department Head</w:t>
            </w:r>
          </w:p>
        </w:tc>
        <w:tc>
          <w:tcPr/>
          <w:p>
            <w:pPr>
              <w:pStyle w:val="Compact"/>
              <w:jc w:val="left"/>
            </w:pPr>
            <w:r>
              <w:t xml:space="preserve">Clinical Focus</w:t>
            </w:r>
          </w:p>
        </w:tc>
      </w:tr>
      <w:tr>
        <w:tc>
          <w:tcPr/>
          <w:p>
            <w:pPr>
              <w:pStyle w:val="Compact"/>
              <w:jc w:val="left"/>
            </w:pPr>
            <w:r>
              <w:t xml:space="preserve">Orthopaedic &amp; Sports Rehabilitation</w:t>
            </w:r>
          </w:p>
        </w:tc>
        <w:tc>
          <w:tcPr/>
          <w:p>
            <w:pPr>
              <w:pStyle w:val="Compact"/>
              <w:jc w:val="left"/>
            </w:pPr>
            <w:r>
              <w:rPr>
                <w:bCs/>
                <w:b/>
              </w:rPr>
              <w:t xml:space="preserve">Nagham Reda</w:t>
            </w:r>
            <w:r>
              <w:t xml:space="preserve">, PT (Cairo University)</w:t>
            </w:r>
          </w:p>
        </w:tc>
        <w:tc>
          <w:tcPr/>
          <w:p>
            <w:pPr>
              <w:pStyle w:val="Compact"/>
              <w:jc w:val="left"/>
            </w:pPr>
            <w:r>
              <w:t xml:space="preserve">Musculoskeletal, orthopaedic and sports rehabilitation; post-surgical recovery (shoulder, knee, ligament, fracture)</w:t>
            </w:r>
          </w:p>
        </w:tc>
      </w:tr>
      <w:tr>
        <w:tc>
          <w:tcPr/>
          <w:p>
            <w:pPr>
              <w:pStyle w:val="Compact"/>
              <w:jc w:val="left"/>
            </w:pPr>
            <w:r>
              <w:t xml:space="preserve">Adult Neurological Rehabilitation</w:t>
            </w:r>
          </w:p>
        </w:tc>
        <w:tc>
          <w:tcPr/>
          <w:p>
            <w:pPr>
              <w:pStyle w:val="Compact"/>
              <w:jc w:val="left"/>
            </w:pPr>
            <w:r>
              <w:rPr>
                <w:bCs/>
                <w:b/>
              </w:rPr>
              <w:t xml:space="preserve">Saja Khader</w:t>
            </w:r>
            <w:r>
              <w:t xml:space="preserve">, OT (University of Jordan)</w:t>
            </w:r>
          </w:p>
        </w:tc>
        <w:tc>
          <w:tcPr/>
          <w:p>
            <w:pPr>
              <w:pStyle w:val="Compact"/>
              <w:jc w:val="left"/>
            </w:pPr>
            <w:r>
              <w:t xml:space="preserve">Stroke, Traumatic Brain Injury (TBI), Spinal Cord Injury (SCI) and adult neurological conditions</w:t>
            </w:r>
          </w:p>
        </w:tc>
      </w:tr>
      <w:tr>
        <w:tc>
          <w:tcPr/>
          <w:p>
            <w:pPr>
              <w:pStyle w:val="Compact"/>
              <w:jc w:val="left"/>
            </w:pPr>
            <w:r>
              <w:t xml:space="preserve">Pediatric Rehabilitation</w:t>
            </w:r>
          </w:p>
        </w:tc>
        <w:tc>
          <w:tcPr/>
          <w:p>
            <w:pPr>
              <w:pStyle w:val="Compact"/>
              <w:jc w:val="left"/>
            </w:pPr>
            <w:r>
              <w:rPr>
                <w:bCs/>
                <w:b/>
              </w:rPr>
              <w:t xml:space="preserve">Saja Ali</w:t>
            </w:r>
            <w:r>
              <w:t xml:space="preserve">, Pediatric OT</w:t>
            </w:r>
          </w:p>
        </w:tc>
        <w:tc>
          <w:tcPr/>
          <w:p>
            <w:pPr>
              <w:pStyle w:val="Compact"/>
              <w:jc w:val="left"/>
            </w:pPr>
            <w:r>
              <w:t xml:space="preserve">Pediatric developmental, sensory, neurological and occupational therapy</w:t>
            </w:r>
          </w:p>
        </w:tc>
      </w:tr>
    </w:tbl>
    <w:p>
      <w:pPr>
        <w:pStyle w:val="BodyText"/>
      </w:pPr>
      <w:r>
        <w:t xml:space="preserve">TRIAD’s model is distinctive in the Egyptian market: rather than a generic physiotherapy clinic, it is architected as</w:t>
      </w:r>
      <w:r>
        <w:t xml:space="preserve"> </w:t>
      </w:r>
      <w:r>
        <w:rPr>
          <w:bCs/>
          <w:b/>
        </w:rPr>
        <w:t xml:space="preserve">three specialist centers-of-excellence under one roof</w:t>
      </w:r>
      <w:r>
        <w:t xml:space="preserve">, each led by a recognised expert with its own dedicated team, treatment space, equipment and growth plan — while sharing reception, administration, marketing, technology and facility overheads to protect margins. This structure lets the Center capture referrals across the full continuum of rehabilitation (orthopaedic, neurological and pediatric) inside one address, maximising cross-referral, household</w:t>
      </w:r>
      <w:r>
        <w:t xml:space="preserve"> </w:t>
      </w:r>
      <w:r>
        <w:t xml:space="preserve">“</w:t>
      </w:r>
      <w:r>
        <w:t xml:space="preserve">share of wallet,</w:t>
      </w:r>
      <w:r>
        <w:t xml:space="preserve">”</w:t>
      </w:r>
      <w:r>
        <w:t xml:space="preserve"> </w:t>
      </w:r>
      <w:r>
        <w:t xml:space="preserve">and brand visibility in an underserved, high-growth catchment area.</w:t>
      </w:r>
    </w:p>
    <w:p>
      <w:pPr>
        <w:pStyle w:val="BodyText"/>
      </w:pPr>
      <w:r>
        <w:t xml:space="preserve">This proposal presents</w:t>
      </w:r>
      <w:r>
        <w:t xml:space="preserve"> </w:t>
      </w:r>
      <w:r>
        <w:rPr>
          <w:bCs/>
          <w:b/>
        </w:rPr>
        <w:t xml:space="preserve">three fully-costed investment options</w:t>
      </w:r>
      <w:r>
        <w:t xml:space="preserve"> </w:t>
      </w:r>
      <w:r>
        <w:t xml:space="preserve">— Low, Moderate and Luxury — so investors can select the entry point that matches their risk appetite and ambition: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Option 1 — Essential</w:t>
            </w:r>
          </w:p>
        </w:tc>
        <w:tc>
          <w:tcPr/>
          <w:p>
            <w:pPr>
              <w:pStyle w:val="Compact"/>
              <w:jc w:val="left"/>
            </w:pPr>
            <w:r>
              <w:t xml:space="preserve">Option 2 — Moderate (Recommended)</w:t>
            </w:r>
          </w:p>
        </w:tc>
        <w:tc>
          <w:tcPr/>
          <w:p>
            <w:pPr>
              <w:pStyle w:val="Compact"/>
              <w:jc w:val="left"/>
            </w:pPr>
            <w:r>
              <w:t xml:space="preserve">Option 3 — Luxury Flagship</w:t>
            </w:r>
          </w:p>
        </w:tc>
      </w:tr>
      <w:tr>
        <w:tc>
          <w:tcPr/>
          <w:p>
            <w:pPr>
              <w:pStyle w:val="Compact"/>
              <w:jc w:val="left"/>
            </w:pPr>
            <w:r>
              <w:t xml:space="preserve">Facility size</w:t>
            </w:r>
          </w:p>
        </w:tc>
        <w:tc>
          <w:tcPr/>
          <w:p>
            <w:pPr>
              <w:pStyle w:val="Compact"/>
              <w:jc w:val="left"/>
            </w:pPr>
            <w:r>
              <w:t xml:space="preserve">200 m²</w:t>
            </w:r>
          </w:p>
        </w:tc>
        <w:tc>
          <w:tcPr/>
          <w:p>
            <w:pPr>
              <w:pStyle w:val="Compact"/>
              <w:jc w:val="left"/>
            </w:pPr>
            <w:r>
              <w:t xml:space="preserve">450 m²</w:t>
            </w:r>
          </w:p>
        </w:tc>
        <w:tc>
          <w:tcPr/>
          <w:p>
            <w:pPr>
              <w:pStyle w:val="Compact"/>
              <w:jc w:val="left"/>
            </w:pPr>
            <w:r>
              <w:t xml:space="preserve">900 m²</w:t>
            </w:r>
          </w:p>
        </w:tc>
      </w:tr>
      <w:tr>
        <w:tc>
          <w:tcPr/>
          <w:p>
            <w:pPr>
              <w:pStyle w:val="Compact"/>
              <w:jc w:val="left"/>
            </w:pPr>
            <w:r>
              <w:t xml:space="preserve">Total start-up investment</w:t>
            </w:r>
          </w:p>
        </w:tc>
        <w:tc>
          <w:tcPr/>
          <w:p>
            <w:pPr>
              <w:pStyle w:val="Compact"/>
              <w:jc w:val="left"/>
            </w:pPr>
            <w:r>
              <w:rPr>
                <w:bCs/>
                <w:b/>
              </w:rPr>
              <w:t xml:space="preserve">≈ EGP 3.2M (≈ US$64,000)</w:t>
            </w:r>
          </w:p>
        </w:tc>
        <w:tc>
          <w:tcPr/>
          <w:p>
            <w:pPr>
              <w:pStyle w:val="Compact"/>
              <w:jc w:val="left"/>
            </w:pPr>
            <w:r>
              <w:rPr>
                <w:bCs/>
                <w:b/>
              </w:rPr>
              <w:t xml:space="preserve">≈ EGP 11.2M (≈ US$224,000)</w:t>
            </w:r>
          </w:p>
        </w:tc>
        <w:tc>
          <w:tcPr/>
          <w:p>
            <w:pPr>
              <w:pStyle w:val="Compact"/>
              <w:jc w:val="left"/>
            </w:pPr>
            <w:r>
              <w:rPr>
                <w:bCs/>
                <w:b/>
              </w:rPr>
              <w:t xml:space="preserve">≈ EGP 52.0M (≈ US$1.04M)</w:t>
            </w:r>
          </w:p>
        </w:tc>
      </w:tr>
      <w:tr>
        <w:tc>
          <w:tcPr/>
          <w:p>
            <w:pPr>
              <w:pStyle w:val="Compact"/>
              <w:jc w:val="left"/>
            </w:pPr>
            <w:r>
              <w:t xml:space="preserve">Positioning</w:t>
            </w:r>
          </w:p>
        </w:tc>
        <w:tc>
          <w:tcPr/>
          <w:p>
            <w:pPr>
              <w:pStyle w:val="Compact"/>
              <w:jc w:val="left"/>
            </w:pPr>
            <w:r>
              <w:t xml:space="preserve">Lean, accessible, professional</w:t>
            </w:r>
          </w:p>
        </w:tc>
        <w:tc>
          <w:tcPr/>
          <w:p>
            <w:pPr>
              <w:pStyle w:val="Compact"/>
              <w:jc w:val="left"/>
            </w:pPr>
            <w:r>
              <w:t xml:space="preserve">Premium mid-market, sustainable growth</w:t>
            </w:r>
          </w:p>
        </w:tc>
        <w:tc>
          <w:tcPr/>
          <w:p>
            <w:pPr>
              <w:pStyle w:val="Compact"/>
              <w:jc w:val="left"/>
            </w:pPr>
            <w:r>
              <w:t xml:space="preserve">Flagship, luxury patient experience, medical-tourism ready</w:t>
            </w:r>
          </w:p>
        </w:tc>
      </w:tr>
      <w:tr>
        <w:tc>
          <w:tcPr/>
          <w:p>
            <w:pPr>
              <w:pStyle w:val="Compact"/>
              <w:jc w:val="left"/>
            </w:pPr>
            <w:r>
              <w:t xml:space="preserve">Year-3 revenue (indicative)</w:t>
            </w:r>
          </w:p>
        </w:tc>
        <w:tc>
          <w:tcPr/>
          <w:p>
            <w:pPr>
              <w:pStyle w:val="Compact"/>
              <w:jc w:val="left"/>
            </w:pPr>
            <w:r>
              <w:t xml:space="preserve">EGP 4.6M</w:t>
            </w:r>
          </w:p>
        </w:tc>
        <w:tc>
          <w:tcPr/>
          <w:p>
            <w:pPr>
              <w:pStyle w:val="Compact"/>
              <w:jc w:val="left"/>
            </w:pPr>
            <w:r>
              <w:t xml:space="preserve">EGP 15.7M</w:t>
            </w:r>
          </w:p>
        </w:tc>
        <w:tc>
          <w:tcPr/>
          <w:p>
            <w:pPr>
              <w:pStyle w:val="Compact"/>
              <w:jc w:val="left"/>
            </w:pPr>
            <w:r>
              <w:t xml:space="preserve">EGP 45.4M</w:t>
            </w:r>
          </w:p>
        </w:tc>
      </w:tr>
      <w:tr>
        <w:tc>
          <w:tcPr/>
          <w:p>
            <w:pPr>
              <w:pStyle w:val="Compact"/>
              <w:jc w:val="left"/>
            </w:pPr>
            <w:r>
              <w:t xml:space="preserve">Year-3 EBITDA margin</w:t>
            </w:r>
          </w:p>
        </w:tc>
        <w:tc>
          <w:tcPr/>
          <w:p>
            <w:pPr>
              <w:pStyle w:val="Compact"/>
              <w:jc w:val="left"/>
            </w:pPr>
            <w:r>
              <w:t xml:space="preserve">≈ 26%</w:t>
            </w:r>
          </w:p>
        </w:tc>
        <w:tc>
          <w:tcPr/>
          <w:p>
            <w:pPr>
              <w:pStyle w:val="Compact"/>
              <w:jc w:val="left"/>
            </w:pPr>
            <w:r>
              <w:t xml:space="preserve">≈ 27%</w:t>
            </w:r>
          </w:p>
        </w:tc>
        <w:tc>
          <w:tcPr/>
          <w:p>
            <w:pPr>
              <w:pStyle w:val="Compact"/>
              <w:jc w:val="left"/>
            </w:pPr>
            <w:r>
              <w:t xml:space="preserve">≈ 24%</w:t>
            </w:r>
          </w:p>
        </w:tc>
      </w:tr>
      <w:tr>
        <w:tc>
          <w:tcPr/>
          <w:p>
            <w:pPr>
              <w:pStyle w:val="Compact"/>
              <w:jc w:val="left"/>
            </w:pPr>
            <w:r>
              <w:t xml:space="preserve">Stabilised payback (from Year-3 run-rate)</w:t>
            </w:r>
          </w:p>
        </w:tc>
        <w:tc>
          <w:tcPr/>
          <w:p>
            <w:pPr>
              <w:pStyle w:val="Compact"/>
              <w:jc w:val="left"/>
            </w:pPr>
            <w:r>
              <w:t xml:space="preserve">≈ 2.7 years</w:t>
            </w:r>
          </w:p>
        </w:tc>
        <w:tc>
          <w:tcPr/>
          <w:p>
            <w:pPr>
              <w:pStyle w:val="Compact"/>
              <w:jc w:val="left"/>
            </w:pPr>
            <w:r>
              <w:t xml:space="preserve">≈ 2.6 years</w:t>
            </w:r>
          </w:p>
        </w:tc>
        <w:tc>
          <w:tcPr/>
          <w:p>
            <w:pPr>
              <w:pStyle w:val="Compact"/>
              <w:jc w:val="left"/>
            </w:pPr>
            <w:r>
              <w:t xml:space="preserve">≈ 4.8 years</w:t>
            </w:r>
          </w:p>
        </w:tc>
      </w:tr>
    </w:tbl>
    <w:p>
      <w:pPr>
        <w:pStyle w:val="BodyText"/>
      </w:pPr>
      <w:r>
        <w:t xml:space="preserve">We recommend</w:t>
      </w:r>
      <w:r>
        <w:t xml:space="preserve"> </w:t>
      </w:r>
      <w:r>
        <w:rPr>
          <w:bCs/>
          <w:b/>
        </w:rPr>
        <w:t xml:space="preserve">Option 2 (Moderate)</w:t>
      </w:r>
      <w:r>
        <w:t xml:space="preserve"> </w:t>
      </w:r>
      <w:r>
        <w:t xml:space="preserve">as the base case: it is large enough to give each department a genuine dedicated identity and growth runway, while keeping capital exposure manageable and payback fast. Option 1 is a credible bootstrap path if capital is constrained; Option 3 is presented for an investor seeking to build the definitive luxury rehabilitation brand in Cairo, with medical-tourism upside.</w:t>
      </w:r>
    </w:p>
    <w:p>
      <w:pPr>
        <w:pStyle w:val="BodyText"/>
      </w:pPr>
      <w:r>
        <w:t xml:space="preserve">The remainder of this document sets out the market opportunity, competitive landscape, clinical and operational design, staffing, facility and equipment plans, marketing and branding strategy, complete financial models for all three options, risk assessment and a phased implementation timeline.</w:t>
      </w:r>
    </w:p>
    <w:p>
      <w:r>
        <w:pict>
          <v:rect style="width:0;height:1.5pt" o:hralign="center" o:hrstd="t" o:hr="t"/>
        </w:pict>
      </w:r>
    </w:p>
    <w:bookmarkEnd w:id="21"/>
    <w:bookmarkStart w:id="25" w:name="vision-mission-core-values"/>
    <w:p>
      <w:pPr>
        <w:pStyle w:val="Heading1"/>
      </w:pPr>
      <w:r>
        <w:t xml:space="preserve">2. Vision, Mission &amp; Core Values</w:t>
      </w:r>
    </w:p>
    <w:bookmarkStart w:id="22" w:name="vision"/>
    <w:p>
      <w:pPr>
        <w:pStyle w:val="Heading2"/>
      </w:pPr>
      <w:r>
        <w:t xml:space="preserve">2.1 Vision</w:t>
      </w:r>
    </w:p>
    <w:p>
      <w:pPr>
        <w:pStyle w:val="FirstParagraph"/>
      </w:pPr>
      <w:r>
        <w:t xml:space="preserve">To become the leading multidisciplinary rehabilitation destination in Egypt and the wider MENA region — where orthopaedic, neurological and pediatric patients receive world-class, evidence-based care under one roof, delivered with the compassion of a family practice and the rigor of an academic center.</w:t>
      </w:r>
    </w:p>
    <w:bookmarkEnd w:id="22"/>
    <w:bookmarkStart w:id="23" w:name="mission"/>
    <w:p>
      <w:pPr>
        <w:pStyle w:val="Heading2"/>
      </w:pPr>
      <w:r>
        <w:t xml:space="preserve">2.2 Mission</w:t>
      </w:r>
    </w:p>
    <w:p>
      <w:pPr>
        <w:pStyle w:val="FirstParagraph"/>
      </w:pPr>
      <w:r>
        <w:t xml:space="preserve">To restore movement, independence and quality of life for every patient — child or adult, post-surgical or post-stroke — through personalised, multidisciplinary, evidence-based rehabilitation delivered by senior specialists who collaborate as one clinical team.</w:t>
      </w:r>
    </w:p>
    <w:bookmarkEnd w:id="23"/>
    <w:bookmarkStart w:id="24" w:name="core-values"/>
    <w:p>
      <w:pPr>
        <w:pStyle w:val="Heading2"/>
      </w:pPr>
      <w:r>
        <w:t xml:space="preserve">2.3 Core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What it means in practice</w:t>
            </w:r>
          </w:p>
        </w:tc>
      </w:tr>
      <w:tr>
        <w:tc>
          <w:tcPr/>
          <w:p>
            <w:pPr>
              <w:pStyle w:val="Compact"/>
              <w:jc w:val="left"/>
            </w:pPr>
            <w:r>
              <w:rPr>
                <w:bCs/>
                <w:b/>
              </w:rPr>
              <w:t xml:space="preserve">Clinical Excellence</w:t>
            </w:r>
          </w:p>
        </w:tc>
        <w:tc>
          <w:tcPr/>
          <w:p>
            <w:pPr>
              <w:pStyle w:val="Compact"/>
              <w:jc w:val="left"/>
            </w:pPr>
            <w:r>
              <w:t xml:space="preserve">Evidence-based protocols, standardised outcome measures, continuous professional development, senior-clinician-led care</w:t>
            </w:r>
          </w:p>
        </w:tc>
      </w:tr>
      <w:tr>
        <w:tc>
          <w:tcPr/>
          <w:p>
            <w:pPr>
              <w:pStyle w:val="Compact"/>
              <w:jc w:val="left"/>
            </w:pPr>
            <w:r>
              <w:rPr>
                <w:bCs/>
                <w:b/>
              </w:rPr>
              <w:t xml:space="preserve">Compassion &amp; Dignity</w:t>
            </w:r>
          </w:p>
        </w:tc>
        <w:tc>
          <w:tcPr/>
          <w:p>
            <w:pPr>
              <w:pStyle w:val="Compact"/>
              <w:jc w:val="left"/>
            </w:pPr>
            <w:r>
              <w:t xml:space="preserve">Every patient and family treated with empathy, patience and respect for their pace of recovery</w:t>
            </w:r>
          </w:p>
        </w:tc>
      </w:tr>
      <w:tr>
        <w:tc>
          <w:tcPr/>
          <w:p>
            <w:pPr>
              <w:pStyle w:val="Compact"/>
              <w:jc w:val="left"/>
            </w:pPr>
            <w:r>
              <w:rPr>
                <w:bCs/>
                <w:b/>
              </w:rPr>
              <w:t xml:space="preserve">Collaboration</w:t>
            </w:r>
          </w:p>
        </w:tc>
        <w:tc>
          <w:tcPr/>
          <w:p>
            <w:pPr>
              <w:pStyle w:val="Compact"/>
              <w:jc w:val="left"/>
            </w:pPr>
            <w:r>
              <w:t xml:space="preserve">Three departments function as one integrated team — joint case conferences, shared records, seamless internal referral</w:t>
            </w:r>
          </w:p>
        </w:tc>
      </w:tr>
      <w:tr>
        <w:tc>
          <w:tcPr/>
          <w:p>
            <w:pPr>
              <w:pStyle w:val="Compact"/>
              <w:jc w:val="left"/>
            </w:pPr>
            <w:r>
              <w:rPr>
                <w:bCs/>
                <w:b/>
              </w:rPr>
              <w:t xml:space="preserve">Integrity &amp; Transparency</w:t>
            </w:r>
          </w:p>
        </w:tc>
        <w:tc>
          <w:tcPr/>
          <w:p>
            <w:pPr>
              <w:pStyle w:val="Compact"/>
              <w:jc w:val="left"/>
            </w:pPr>
            <w:r>
              <w:t xml:space="preserve">Honest prognosis-setting, transparent pricing, no over-treatment</w:t>
            </w:r>
          </w:p>
        </w:tc>
      </w:tr>
      <w:tr>
        <w:tc>
          <w:tcPr/>
          <w:p>
            <w:pPr>
              <w:pStyle w:val="Compact"/>
              <w:jc w:val="left"/>
            </w:pPr>
            <w:r>
              <w:rPr>
                <w:bCs/>
                <w:b/>
              </w:rPr>
              <w:t xml:space="preserve">Continuous Growth</w:t>
            </w:r>
          </w:p>
        </w:tc>
        <w:tc>
          <w:tcPr/>
          <w:p>
            <w:pPr>
              <w:pStyle w:val="Compact"/>
              <w:jc w:val="left"/>
            </w:pPr>
            <w:r>
              <w:t xml:space="preserve">Ongoing investment in staff training, technology and outcome measurement to keep pace with global rehabilitation science</w:t>
            </w:r>
          </w:p>
        </w:tc>
      </w:tr>
    </w:tbl>
    <w:p>
      <w:r>
        <w:pict>
          <v:rect style="width:0;height:1.5pt" o:hralign="center" o:hrstd="t" o:hr="t"/>
        </w:pict>
      </w:r>
    </w:p>
    <w:bookmarkEnd w:id="24"/>
    <w:bookmarkEnd w:id="25"/>
    <w:bookmarkStart w:id="26" w:name="company-overview"/>
    <w:p>
      <w:pPr>
        <w:pStyle w:val="Heading1"/>
      </w:pPr>
      <w:r>
        <w:t xml:space="preserve">3. Company Overview</w:t>
      </w:r>
    </w:p>
    <w:p>
      <w:pPr>
        <w:pStyle w:val="FirstParagraph"/>
      </w:pPr>
      <w:r>
        <w:rPr>
          <w:bCs/>
          <w:b/>
        </w:rPr>
        <w:t xml:space="preserve">Proposed legal name:</w:t>
      </w:r>
      <w:r>
        <w:t xml:space="preserve"> </w:t>
      </w:r>
      <w:r>
        <w:t xml:space="preserve">TRIAD Multidisciplinary Rehabilitation &amp; Therapy Center</w:t>
      </w:r>
      <w:r>
        <w:t xml:space="preserve"> </w:t>
      </w:r>
      <w:r>
        <w:rPr>
          <w:iCs/>
          <w:i/>
        </w:rPr>
        <w:t xml:space="preserve">(working brand name — to be finalised and trademark-cleared with the Egyptian Trademark Office before launch)</w:t>
      </w:r>
    </w:p>
    <w:p>
      <w:pPr>
        <w:pStyle w:val="BodyText"/>
      </w:pPr>
      <w:r>
        <w:rPr>
          <w:bCs/>
          <w:b/>
        </w:rPr>
        <w:t xml:space="preserve">Proposed legal structure:</w:t>
      </w:r>
      <w:r>
        <w:t xml:space="preserve"> </w:t>
      </w:r>
      <w:r>
        <w:t xml:space="preserve">Limited Liability Company (LLC —</w:t>
      </w:r>
      <w:r>
        <w:t xml:space="preserve"> </w:t>
      </w:r>
      <w:r>
        <w:rPr>
          <w:iCs/>
          <w:i/>
        </w:rPr>
        <w:t xml:space="preserve">شركة ذات مسؤولية محدودة</w:t>
      </w:r>
      <w:r>
        <w:t xml:space="preserve">) registered with the General Authority for Investment and Free Zones (GAFI), with the three founders as managing partners holding clinical directorship roles, and provision for an investor equity or convertible-note tranche.</w:t>
      </w:r>
    </w:p>
    <w:p>
      <w:pPr>
        <w:pStyle w:val="BodyText"/>
      </w:pPr>
      <w:r>
        <w:rPr>
          <w:bCs/>
          <w:b/>
        </w:rPr>
        <w:t xml:space="preserve">Location:</w:t>
      </w:r>
      <w:r>
        <w:t xml:space="preserve"> </w:t>
      </w:r>
      <w:r>
        <w:t xml:space="preserve">Fifth Settlement (El Tagamoa El Khames), New Cairo — targeting the medical/commercial corridor around 90th Street (South/North Teseen), Choueifat/Katameya axis, or a compound-adjacent commercial strip, chosen for high visibility, ease of parking, and proximity to schools, compounds and existing medical infrastructure (e.g., the Cairo Medical Center cluster).</w:t>
      </w:r>
    </w:p>
    <w:p>
      <w:pPr>
        <w:pStyle w:val="BodyText"/>
      </w:pPr>
      <w:r>
        <w:rPr>
          <w:bCs/>
          <w:b/>
        </w:rPr>
        <w:t xml:space="preserve">Ownership:</w:t>
      </w:r>
      <w:r>
        <w:t xml:space="preserve"> </w:t>
      </w:r>
      <w:r>
        <w:t xml:space="preserve">Nagham Reda, Saja Khader and Saja Ali as founding managing partners and clinical directors of their respective departments, each holding an equal equity stake unless otherwise negotiated with an incoming investor.</w:t>
      </w:r>
    </w:p>
    <w:p>
      <w:pPr>
        <w:pStyle w:val="BodyText"/>
      </w:pPr>
      <w:r>
        <w:rPr>
          <w:bCs/>
          <w:b/>
        </w:rPr>
        <w:t xml:space="preserve">Governance:</w:t>
      </w:r>
      <w:r>
        <w:t xml:space="preserve"> </w:t>
      </w:r>
      <w:r>
        <w:t xml:space="preserve">A three-person</w:t>
      </w:r>
      <w:r>
        <w:t xml:space="preserve"> </w:t>
      </w:r>
      <w:r>
        <w:rPr>
          <w:bCs/>
          <w:b/>
        </w:rPr>
        <w:t xml:space="preserve">Founders’ Executive Committee</w:t>
      </w:r>
      <w:r>
        <w:t xml:space="preserve"> </w:t>
      </w:r>
      <w:r>
        <w:t xml:space="preserve">(one seat per founder) sets strategy and approves budgets; day-to-day operations are run by a hired</w:t>
      </w:r>
      <w:r>
        <w:t xml:space="preserve"> </w:t>
      </w:r>
      <w:r>
        <w:rPr>
          <w:bCs/>
          <w:b/>
        </w:rPr>
        <w:t xml:space="preserve">Clinic/General Manager</w:t>
      </w:r>
      <w:r>
        <w:t xml:space="preserve"> </w:t>
      </w:r>
      <w:r>
        <w:t xml:space="preserve">(Option 2 and 3) or directly by the founders on a rotating basis (Option 1). A part-time</w:t>
      </w:r>
      <w:r>
        <w:t xml:space="preserve"> </w:t>
      </w:r>
      <w:r>
        <w:rPr>
          <w:bCs/>
          <w:b/>
        </w:rPr>
        <w:t xml:space="preserve">Medical Director</w:t>
      </w:r>
      <w:r>
        <w:t xml:space="preserve"> </w:t>
      </w:r>
      <w:r>
        <w:t xml:space="preserve">(consulting physiatrist) provides medical oversight as required for licensing and clinical governance.</w:t>
      </w:r>
    </w:p>
    <w:p>
      <w:pPr>
        <w:pStyle w:val="BodyText"/>
      </w:pPr>
      <w:r>
        <w:rPr>
          <w:bCs/>
          <w:b/>
        </w:rPr>
        <w:t xml:space="preserve">Regulatory framework:</w:t>
      </w:r>
      <w:r>
        <w:t xml:space="preserve"> </w:t>
      </w:r>
      <w:r>
        <w:t xml:space="preserve">The Center will be licensed as a private outpatient rehabilitation/physiotherapy facility under the Ministry of Health and Population (MOHP) Curative Care Sector, with each treating clinician registered with their respective professional syndicate (Physical Therapy Syndicate / Occupational Therapy professional register). Company incorporation via GAFI; commercial registration and tax registration with the Egyptian Tax Authority; biomedical waste disposal contracted to a MOHP-licensed handler; data handling compliant with Law 151/2020 (Personal Data Protection).</w:t>
      </w:r>
    </w:p>
    <w:p>
      <w:r>
        <w:pict>
          <v:rect style="width:0;height:1.5pt" o:hralign="center" o:hrstd="t" o:hr="t"/>
        </w:pict>
      </w:r>
    </w:p>
    <w:bookmarkEnd w:id="26"/>
    <w:bookmarkStart w:id="30" w:name="market-analysis"/>
    <w:p>
      <w:pPr>
        <w:pStyle w:val="Heading1"/>
      </w:pPr>
      <w:r>
        <w:t xml:space="preserve">4. Market Analysis</w:t>
      </w:r>
    </w:p>
    <w:bookmarkStart w:id="27" w:name="macro-drivers"/>
    <w:p>
      <w:pPr>
        <w:pStyle w:val="Heading2"/>
      </w:pPr>
      <w:r>
        <w:t xml:space="preserve">4.1 Macro drivers</w:t>
      </w:r>
    </w:p>
    <w:p>
      <w:pPr>
        <w:numPr>
          <w:ilvl w:val="0"/>
          <w:numId w:val="1002"/>
        </w:numPr>
        <w:pStyle w:val="Compact"/>
      </w:pPr>
      <w:r>
        <w:rPr>
          <w:bCs/>
          <w:b/>
        </w:rPr>
        <w:t xml:space="preserve">Demographics &amp; urban growth:</w:t>
      </w:r>
      <w:r>
        <w:t xml:space="preserve"> </w:t>
      </w:r>
      <w:r>
        <w:t xml:space="preserve">New Cairo/Fifth Settlement is one of Greater Cairo’s largest and fastest-growing high-income residential zones, with continuous influx of young families into large compounds (Mivida, Katameya Heights, Village Gate, Rehab City, Al Rehab, Lake View, Taj City, and dozens more), driving demand for both pediatric developmental services and adult orthopaedic/sports care.</w:t>
      </w:r>
    </w:p>
    <w:p>
      <w:pPr>
        <w:numPr>
          <w:ilvl w:val="0"/>
          <w:numId w:val="1002"/>
        </w:numPr>
        <w:pStyle w:val="Compact"/>
      </w:pPr>
      <w:r>
        <w:rPr>
          <w:bCs/>
          <w:b/>
        </w:rPr>
        <w:t xml:space="preserve">Aging-in-place &amp; lifestyle injury growth:</w:t>
      </w:r>
      <w:r>
        <w:t xml:space="preserve"> </w:t>
      </w:r>
      <w:r>
        <w:t xml:space="preserve">Rising participation in padel, gym culture, running and organised sport in New Cairo (numerous sports clubs, padel courts and gyms) is driving a steady stream of sports and musculoskeletal injuries requiring rehabilitation — Nagham Reda’s specialty.</w:t>
      </w:r>
    </w:p>
    <w:p>
      <w:pPr>
        <w:numPr>
          <w:ilvl w:val="0"/>
          <w:numId w:val="1002"/>
        </w:numPr>
        <w:pStyle w:val="Compact"/>
      </w:pPr>
      <w:r>
        <w:rPr>
          <w:bCs/>
          <w:b/>
        </w:rPr>
        <w:t xml:space="preserve">Stroke &amp; non-communicable disease burden:</w:t>
      </w:r>
      <w:r>
        <w:t xml:space="preserve"> </w:t>
      </w:r>
      <w:r>
        <w:t xml:space="preserve">Egypt has a high and rising burden of stroke and cardiovascular disease, and MOHP has been actively expanding physiotherapy and rehabilitation capacity nationally (the Ministry reported delivering c. 4.9 million physiotherapy sessions and opening 75 new physiotherapy/rehabilitation units across 19 governorates in FY2025/26) — evidence of both unmet demand and government prioritisation of the sector, which supports licensing and public legitimacy for private providers.</w:t>
      </w:r>
    </w:p>
    <w:p>
      <w:pPr>
        <w:numPr>
          <w:ilvl w:val="0"/>
          <w:numId w:val="1002"/>
        </w:numPr>
        <w:pStyle w:val="Compact"/>
      </w:pPr>
      <w:r>
        <w:rPr>
          <w:bCs/>
          <w:b/>
        </w:rPr>
        <w:t xml:space="preserve">Underserved pediatric developmental/autism services:</w:t>
      </w:r>
      <w:r>
        <w:t xml:space="preserve"> </w:t>
      </w:r>
      <w:r>
        <w:t xml:space="preserve">Demand for pediatric occupational therapy, sensory integration and developmental services in Cairo significantly outstrips the supply of senior, credentialed pediatric specialists; most existing capacity is fragmented across small practices and long waitlists are common.</w:t>
      </w:r>
    </w:p>
    <w:p>
      <w:pPr>
        <w:numPr>
          <w:ilvl w:val="0"/>
          <w:numId w:val="1002"/>
        </w:numPr>
        <w:pStyle w:val="Compact"/>
      </w:pPr>
      <w:r>
        <w:rPr>
          <w:bCs/>
          <w:b/>
        </w:rPr>
        <w:t xml:space="preserve">Insurance &amp; corporate health trends:</w:t>
      </w:r>
      <w:r>
        <w:t xml:space="preserve"> </w:t>
      </w:r>
      <w:r>
        <w:t xml:space="preserve">Growth of private health insurance penetration and corporate wellness budgets among New Cairo’s dense concentration of corporate campuses (New Administrative Capital business district nearby, AUC, multinational offices) creates a channel for B2B contracts (occupational injury rehab, ergonomic/wellness programmes).</w:t>
      </w:r>
    </w:p>
    <w:p>
      <w:pPr>
        <w:numPr>
          <w:ilvl w:val="0"/>
          <w:numId w:val="1002"/>
        </w:numPr>
        <w:pStyle w:val="Compact"/>
      </w:pPr>
      <w:r>
        <w:rPr>
          <w:bCs/>
          <w:b/>
        </w:rPr>
        <w:t xml:space="preserve">Currency &amp; cost environment:</w:t>
      </w:r>
      <w:r>
        <w:t xml:space="preserve"> </w:t>
      </w:r>
      <w:r>
        <w:t xml:space="preserve">The EGP has depreciated materially in recent years (≈ EGP 50–51/USD as of July 2026), which raises the EGP cost of imported equipment and consumables but simultaneously makes Egypt an increasingly attractive destination for medical tourism from the Gulf, priced in hard currency — a strategic angle for the Luxury option.</w:t>
      </w:r>
    </w:p>
    <w:bookmarkEnd w:id="27"/>
    <w:bookmarkStart w:id="28" w:name="target-market-segments"/>
    <w:p>
      <w:pPr>
        <w:pStyle w:val="Heading2"/>
      </w:pPr>
      <w:r>
        <w:t xml:space="preserve">4.2 Target market segments</w:t>
      </w:r>
    </w:p>
    <w:p>
      <w:pPr>
        <w:numPr>
          <w:ilvl w:val="0"/>
          <w:numId w:val="1003"/>
        </w:numPr>
        <w:pStyle w:val="Compact"/>
      </w:pPr>
      <w:r>
        <w:rPr>
          <w:bCs/>
          <w:b/>
        </w:rPr>
        <w:t xml:space="preserve">Post-surgical &amp; sports-injury adults (25–55)</w:t>
      </w:r>
      <w:r>
        <w:t xml:space="preserve"> </w:t>
      </w:r>
      <w:r>
        <w:t xml:space="preserve">— residents of New Cairo compounds, referred by orthopaedic surgeons or self-referred after injury; typically insured or self-pay, price-tolerant.</w:t>
      </w:r>
    </w:p>
    <w:p>
      <w:pPr>
        <w:numPr>
          <w:ilvl w:val="0"/>
          <w:numId w:val="1003"/>
        </w:numPr>
        <w:pStyle w:val="Compact"/>
      </w:pPr>
      <w:r>
        <w:rPr>
          <w:bCs/>
          <w:b/>
        </w:rPr>
        <w:t xml:space="preserve">Adult neurological patients &amp; families (40–75)</w:t>
      </w:r>
      <w:r>
        <w:t xml:space="preserve"> </w:t>
      </w:r>
      <w:r>
        <w:t xml:space="preserve">— post-stroke, post-TBI, post-SCI patients requiring intensive, often long-course rehabilitation; referred by neurologists and hospitals at discharge; caregivers are key secondary decision-makers.</w:t>
      </w:r>
    </w:p>
    <w:p>
      <w:pPr>
        <w:numPr>
          <w:ilvl w:val="0"/>
          <w:numId w:val="1003"/>
        </w:numPr>
        <w:pStyle w:val="Compact"/>
      </w:pPr>
      <w:r>
        <w:rPr>
          <w:bCs/>
          <w:b/>
        </w:rPr>
        <w:t xml:space="preserve">Children (0–12) with developmental, sensory or neurological needs</w:t>
      </w:r>
      <w:r>
        <w:t xml:space="preserve"> </w:t>
      </w:r>
      <w:r>
        <w:t xml:space="preserve">— referred by pediatricians, schools and pediatric neurologists; parents in this catchment are highly engaged, research-driven, and willing to pay a premium for senior, credentialed specialists.</w:t>
      </w:r>
    </w:p>
    <w:p>
      <w:pPr>
        <w:numPr>
          <w:ilvl w:val="0"/>
          <w:numId w:val="1003"/>
        </w:numPr>
        <w:pStyle w:val="Compact"/>
      </w:pPr>
      <w:r>
        <w:rPr>
          <w:bCs/>
          <w:b/>
        </w:rPr>
        <w:t xml:space="preserve">Corporate &amp; insurance channel</w:t>
      </w:r>
      <w:r>
        <w:t xml:space="preserve"> </w:t>
      </w:r>
      <w:r>
        <w:t xml:space="preserve">— companies seeking occupational injury management and wellness contracts; insurers seeking a credentialed network provider.</w:t>
      </w:r>
    </w:p>
    <w:p>
      <w:pPr>
        <w:numPr>
          <w:ilvl w:val="0"/>
          <w:numId w:val="1003"/>
        </w:numPr>
        <w:pStyle w:val="Compact"/>
      </w:pPr>
      <w:r>
        <w:rPr>
          <w:bCs/>
          <w:b/>
        </w:rPr>
        <w:t xml:space="preserve">(Option 3 only) Medical tourism / Gulf patients</w:t>
      </w:r>
      <w:r>
        <w:t xml:space="preserve"> </w:t>
      </w:r>
      <w:r>
        <w:t xml:space="preserve">— seeking premium rehabilitation (especially orthopaedic/sports and neuro) at a fraction of European/Gulf private cost, in a luxury setting.</w:t>
      </w:r>
    </w:p>
    <w:bookmarkEnd w:id="28"/>
    <w:bookmarkStart w:id="29" w:name="market-size-illustrative"/>
    <w:p>
      <w:pPr>
        <w:pStyle w:val="Heading2"/>
      </w:pPr>
      <w:r>
        <w:t xml:space="preserve">4.3 Market size (illustrative)</w:t>
      </w:r>
    </w:p>
    <w:p>
      <w:pPr>
        <w:pStyle w:val="FirstParagraph"/>
      </w:pPr>
      <w:r>
        <w:t xml:space="preserve">A conservative planning estimate: the Fifth Settlement and adjoining New Cairo districts (Fifth Settlement, Rehab, Katameya, Mostakbal City) house an estimated 400,000–600,000 residents across a predominantly A/B socio-economic profile. Applying typical incidence/prevalence rates for musculoskeletal injury (≈8–10%/year seeking care), neurological rehabilitation need (≈1–2% prevalence with a subset requiring outpatient follow-up), and developmental/pediatric therapy need (≈6–8% of children under 12), the addressable annual demand for rehabilitation sessions in the catchment is estimated in the</w:t>
      </w:r>
      <w:r>
        <w:t xml:space="preserve"> </w:t>
      </w:r>
      <w:r>
        <w:rPr>
          <w:bCs/>
          <w:b/>
        </w:rPr>
        <w:t xml:space="preserve">low millions of sessions per year</w:t>
      </w:r>
      <w:r>
        <w:t xml:space="preserve">, against which even the Luxury option’s Year-3 capacity (≈ 29,000 sessions/year) represents a small single-digit share — indicating ample room for a well-positioned entrant without requiring market-share assumptions that strain credibility.</w:t>
      </w:r>
    </w:p>
    <w:p>
      <w:r>
        <w:pict>
          <v:rect style="width:0;height:1.5pt" o:hralign="center" o:hrstd="t" o:hr="t"/>
        </w:pict>
      </w:r>
    </w:p>
    <w:bookmarkEnd w:id="29"/>
    <w:bookmarkEnd w:id="30"/>
    <w:bookmarkStart w:id="31" w:name="competitor-analysis"/>
    <w:p>
      <w:pPr>
        <w:pStyle w:val="Heading1"/>
      </w:pPr>
      <w:r>
        <w:t xml:space="preserve">5. Competitor Analysis</w:t>
      </w:r>
    </w:p>
    <w:p>
      <w:pPr>
        <w:pStyle w:val="FirstParagraph"/>
      </w:pPr>
      <w:r>
        <w:t xml:space="preserve">The Fifth Settlement / New Cairo rehabilitation landscape is fragmented, with no single multidisciplinary brand yet dominating all three of orthopaedic, neurological and pediatric rehabilitation under one roof.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Examples (publicly known providers)</w:t>
            </w:r>
          </w:p>
        </w:tc>
        <w:tc>
          <w:tcPr/>
          <w:p>
            <w:pPr>
              <w:pStyle w:val="Compact"/>
              <w:jc w:val="left"/>
            </w:pPr>
            <w:r>
              <w:t xml:space="preserve">Strengths</w:t>
            </w:r>
          </w:p>
        </w:tc>
        <w:tc>
          <w:tcPr/>
          <w:p>
            <w:pPr>
              <w:pStyle w:val="Compact"/>
              <w:jc w:val="left"/>
            </w:pPr>
            <w:r>
              <w:t xml:space="preserve">Gaps TRIAD exploits</w:t>
            </w:r>
          </w:p>
        </w:tc>
      </w:tr>
      <w:tr>
        <w:tc>
          <w:tcPr/>
          <w:p>
            <w:pPr>
              <w:pStyle w:val="Compact"/>
              <w:jc w:val="left"/>
            </w:pPr>
            <w:r>
              <w:t xml:space="preserve">Hospital-based rehab/polyclinics</w:t>
            </w:r>
          </w:p>
        </w:tc>
        <w:tc>
          <w:tcPr/>
          <w:p>
            <w:pPr>
              <w:pStyle w:val="Compact"/>
              <w:jc w:val="left"/>
            </w:pPr>
            <w:r>
              <w:t xml:space="preserve">Cleopatra Hospitals Group New Cairo Polyclinic; Town Hospital physiotherapy department; GMHC (German Medical Healthcare Corporation)</w:t>
            </w:r>
          </w:p>
        </w:tc>
        <w:tc>
          <w:tcPr/>
          <w:p>
            <w:pPr>
              <w:pStyle w:val="Compact"/>
              <w:jc w:val="left"/>
            </w:pPr>
            <w:r>
              <w:t xml:space="preserve">Brand trust, insurance panels, co-located specialists</w:t>
            </w:r>
          </w:p>
        </w:tc>
        <w:tc>
          <w:tcPr/>
          <w:p>
            <w:pPr>
              <w:pStyle w:val="Compact"/>
              <w:jc w:val="left"/>
            </w:pPr>
            <w:r>
              <w:t xml:space="preserve">Rehab is a secondary service line, not the core focus; less specialised, hospital-priced overhead, longer wait times</w:t>
            </w:r>
          </w:p>
        </w:tc>
      </w:tr>
      <w:tr>
        <w:tc>
          <w:tcPr/>
          <w:p>
            <w:pPr>
              <w:pStyle w:val="Compact"/>
              <w:jc w:val="left"/>
            </w:pPr>
            <w:r>
              <w:t xml:space="preserve">Established physiotherapy/sports clinics</w:t>
            </w:r>
          </w:p>
        </w:tc>
        <w:tc>
          <w:tcPr/>
          <w:p>
            <w:pPr>
              <w:pStyle w:val="Compact"/>
              <w:jc w:val="left"/>
            </w:pPr>
            <w:r>
              <w:t xml:space="preserve">Kinetic Health; Techno Clinic; Alnada Clinic</w:t>
            </w:r>
          </w:p>
        </w:tc>
        <w:tc>
          <w:tcPr/>
          <w:p>
            <w:pPr>
              <w:pStyle w:val="Compact"/>
              <w:jc w:val="left"/>
            </w:pPr>
            <w:r>
              <w:t xml:space="preserve">Good orthopaedic/sports reputation, modern equipment</w:t>
            </w:r>
          </w:p>
        </w:tc>
        <w:tc>
          <w:tcPr/>
          <w:p>
            <w:pPr>
              <w:pStyle w:val="Compact"/>
              <w:jc w:val="left"/>
            </w:pPr>
            <w:r>
              <w:t xml:space="preserve">Limited or no dedicated neurological or pediatric specialisation; single-founder dependency</w:t>
            </w:r>
          </w:p>
        </w:tc>
      </w:tr>
      <w:tr>
        <w:tc>
          <w:tcPr/>
          <w:p>
            <w:pPr>
              <w:pStyle w:val="Compact"/>
              <w:jc w:val="left"/>
            </w:pPr>
            <w:r>
              <w:t xml:space="preserve">Pediatric-focused therapy centers</w:t>
            </w:r>
          </w:p>
        </w:tc>
        <w:tc>
          <w:tcPr/>
          <w:p>
            <w:pPr>
              <w:pStyle w:val="Compact"/>
              <w:jc w:val="left"/>
            </w:pPr>
            <w:r>
              <w:t xml:space="preserve">We Care Special Needs; Fizik Center; Cairo Care Center</w:t>
            </w:r>
          </w:p>
        </w:tc>
        <w:tc>
          <w:tcPr/>
          <w:p>
            <w:pPr>
              <w:pStyle w:val="Compact"/>
              <w:jc w:val="left"/>
            </w:pPr>
            <w:r>
              <w:t xml:space="preserve">Deep pediatric focus, sensory integration expertise</w:t>
            </w:r>
          </w:p>
        </w:tc>
        <w:tc>
          <w:tcPr/>
          <w:p>
            <w:pPr>
              <w:pStyle w:val="Compact"/>
              <w:jc w:val="left"/>
            </w:pPr>
            <w:r>
              <w:t xml:space="preserve">No adult orthopaedic/neuro offering; families with both a child in therapy and an adult family member (post-stroke parent, athlete sibling) must use multiple providers</w:t>
            </w:r>
          </w:p>
        </w:tc>
      </w:tr>
      <w:tr>
        <w:tc>
          <w:tcPr/>
          <w:p>
            <w:pPr>
              <w:pStyle w:val="Compact"/>
              <w:jc w:val="left"/>
            </w:pPr>
            <w:r>
              <w:t xml:space="preserve">Solo practitioners / home-visit therapists</w:t>
            </w:r>
          </w:p>
        </w:tc>
        <w:tc>
          <w:tcPr/>
          <w:p>
            <w:pPr>
              <w:pStyle w:val="Compact"/>
              <w:jc w:val="left"/>
            </w:pPr>
            <w:r>
              <w:t xml:space="preserve">Numerous independent PTs/OTs (Vezeeta-listed)</w:t>
            </w:r>
          </w:p>
        </w:tc>
        <w:tc>
          <w:tcPr/>
          <w:p>
            <w:pPr>
              <w:pStyle w:val="Compact"/>
              <w:jc w:val="left"/>
            </w:pPr>
            <w:r>
              <w:t xml:space="preserve">Low overhead, personal relationships</w:t>
            </w:r>
          </w:p>
        </w:tc>
        <w:tc>
          <w:tcPr/>
          <w:p>
            <w:pPr>
              <w:pStyle w:val="Compact"/>
              <w:jc w:val="left"/>
            </w:pPr>
            <w:r>
              <w:t xml:space="preserve">No multidisciplinary bench, no standardised equipment, inconsistent quality, no institutional continuity</w:t>
            </w:r>
          </w:p>
        </w:tc>
      </w:tr>
    </w:tbl>
    <w:p>
      <w:pPr>
        <w:pStyle w:val="BodyText"/>
      </w:pPr>
      <w:r>
        <w:rPr>
          <w:bCs/>
          <w:b/>
        </w:rPr>
        <w:t xml:space="preserve">TRIAD’s differentiated position:</w:t>
      </w:r>
      <w:r>
        <w:t xml:space="preserve"> </w:t>
      </w:r>
      <w:r>
        <w:t xml:space="preserve">the only Fifth Settlement provider offering</w:t>
      </w:r>
      <w:r>
        <w:t xml:space="preserve"> </w:t>
      </w:r>
      <w:r>
        <w:rPr>
          <w:iCs/>
          <w:i/>
        </w:rPr>
        <w:t xml:space="preserve">three</w:t>
      </w:r>
      <w:r>
        <w:t xml:space="preserve"> </w:t>
      </w:r>
      <w:r>
        <w:t xml:space="preserve">senior-clinician-led specialties (ortho/sports, adult neuro, pediatric) under one address, one brand and one patient record — enabling a household to bring the grandparent recovering from stroke, the teenager with an ACL tear, and the toddler with a developmental delay to a single trusted destination.</w:t>
      </w:r>
    </w:p>
    <w:p>
      <w:r>
        <w:pict>
          <v:rect style="width:0;height:1.5pt" o:hralign="center" o:hrstd="t" o:hr="t"/>
        </w:pict>
      </w:r>
    </w:p>
    <w:bookmarkEnd w:id="31"/>
    <w:bookmarkStart w:id="32" w:name="swot-analysis"/>
    <w:p>
      <w:pPr>
        <w:pStyle w:val="Heading1"/>
      </w:pPr>
      <w:r>
        <w:t xml:space="preserve">6. SWOT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Strengths</w:t>
            </w:r>
          </w:p>
        </w:tc>
        <w:tc>
          <w:tcPr/>
          <w:p>
            <w:pPr>
              <w:pStyle w:val="Compact"/>
              <w:jc w:val="left"/>
            </w:pPr>
            <w:r>
              <w:t xml:space="preserve">Weaknesses</w:t>
            </w:r>
          </w:p>
        </w:tc>
      </w:tr>
      <w:tr>
        <w:tc>
          <w:tcPr/>
          <w:p>
            <w:pPr>
              <w:pStyle w:val="Compact"/>
              <w:jc w:val="left"/>
            </w:pPr>
            <w:r>
              <w:t xml:space="preserve">Three credentialed founders each with 6 years’ specialist experience and distinct, complementary specialties</w:t>
            </w:r>
          </w:p>
        </w:tc>
        <w:tc>
          <w:tcPr/>
          <w:p>
            <w:pPr>
              <w:pStyle w:val="Compact"/>
              <w:jc w:val="left"/>
            </w:pPr>
            <w:r>
              <w:t xml:space="preserve">New brand with no existing patient base or referral network at launch</w:t>
            </w:r>
          </w:p>
        </w:tc>
      </w:tr>
      <w:tr>
        <w:tc>
          <w:tcPr/>
          <w:p>
            <w:pPr>
              <w:pStyle w:val="Compact"/>
              <w:jc w:val="left"/>
            </w:pPr>
            <w:r>
              <w:t xml:space="preserve">Multidisciplinary</w:t>
            </w:r>
            <w:r>
              <w:t xml:space="preserve"> </w:t>
            </w:r>
            <w:r>
              <w:t xml:space="preserve">“</w:t>
            </w:r>
            <w:r>
              <w:t xml:space="preserve">one roof</w:t>
            </w:r>
            <w:r>
              <w:t xml:space="preserve">”</w:t>
            </w:r>
            <w:r>
              <w:t xml:space="preserve"> </w:t>
            </w:r>
            <w:r>
              <w:t xml:space="preserve">model creates cross-referral and stickiness</w:t>
            </w:r>
          </w:p>
        </w:tc>
        <w:tc>
          <w:tcPr/>
          <w:p>
            <w:pPr>
              <w:pStyle w:val="Compact"/>
              <w:jc w:val="left"/>
            </w:pPr>
            <w:r>
              <w:t xml:space="preserve">Founders will initially combine clinical delivery with business management — bandwidth risk</w:t>
            </w:r>
          </w:p>
        </w:tc>
      </w:tr>
      <w:tr>
        <w:tc>
          <w:tcPr/>
          <w:p>
            <w:pPr>
              <w:pStyle w:val="Compact"/>
              <w:jc w:val="left"/>
            </w:pPr>
            <w:r>
              <w:t xml:space="preserve">Prime, high-growth, high-income catchment (Fifth Settlement)</w:t>
            </w:r>
          </w:p>
        </w:tc>
        <w:tc>
          <w:tcPr/>
          <w:p>
            <w:pPr>
              <w:pStyle w:val="Compact"/>
              <w:jc w:val="left"/>
            </w:pPr>
            <w:r>
              <w:t xml:space="preserve">High capital intensity for premium equipment (especially neuro and Option 3 luxury tier)</w:t>
            </w:r>
          </w:p>
        </w:tc>
      </w:tr>
      <w:tr>
        <w:tc>
          <w:tcPr/>
          <w:p>
            <w:pPr>
              <w:pStyle w:val="Compact"/>
              <w:jc w:val="left"/>
            </w:pPr>
            <w:r>
              <w:t xml:space="preserve">Scalable department-based structure suited to phased investment (3 tiers)</w:t>
            </w:r>
          </w:p>
        </w:tc>
        <w:tc>
          <w:tcPr/>
          <w:p>
            <w:pPr>
              <w:pStyle w:val="Compact"/>
              <w:jc w:val="left"/>
            </w:pPr>
            <w:r>
              <w:t xml:space="preserve">Key-person dependency on three specific individuals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Opportunities</w:t>
            </w:r>
          </w:p>
        </w:tc>
        <w:tc>
          <w:tcPr/>
          <w:p>
            <w:pPr>
              <w:pStyle w:val="Compact"/>
              <w:jc w:val="left"/>
            </w:pPr>
            <w:r>
              <w:t xml:space="preserve">Threats</w:t>
            </w:r>
          </w:p>
        </w:tc>
      </w:tr>
      <w:tr>
        <w:tc>
          <w:tcPr/>
          <w:p>
            <w:pPr>
              <w:pStyle w:val="Compact"/>
              <w:jc w:val="left"/>
            </w:pPr>
            <w:r>
              <w:t xml:space="preserve">Underserved pediatric and adult-neuro segments in the catchment</w:t>
            </w:r>
          </w:p>
        </w:tc>
        <w:tc>
          <w:tcPr/>
          <w:p>
            <w:pPr>
              <w:pStyle w:val="Compact"/>
              <w:jc w:val="left"/>
            </w:pPr>
            <w:r>
              <w:t xml:space="preserve">New entrants / hospital groups expanding rehab service lines</w:t>
            </w:r>
          </w:p>
        </w:tc>
      </w:tr>
      <w:tr>
        <w:tc>
          <w:tcPr/>
          <w:p>
            <w:pPr>
              <w:pStyle w:val="Compact"/>
              <w:jc w:val="left"/>
            </w:pPr>
            <w:r>
              <w:t xml:space="preserve">Government expansion of rehabilitation services signals rising sector legitimacy and referral pipeline (public–private complementarity)</w:t>
            </w:r>
          </w:p>
        </w:tc>
        <w:tc>
          <w:tcPr/>
          <w:p>
            <w:pPr>
              <w:pStyle w:val="Compact"/>
              <w:jc w:val="left"/>
            </w:pPr>
            <w:r>
              <w:t xml:space="preserve">EGP depreciation raising imported-equipment and consumable costs</w:t>
            </w:r>
          </w:p>
        </w:tc>
      </w:tr>
      <w:tr>
        <w:tc>
          <w:tcPr/>
          <w:p>
            <w:pPr>
              <w:pStyle w:val="Compact"/>
              <w:jc w:val="left"/>
            </w:pPr>
            <w:r>
              <w:t xml:space="preserve">Corporate wellness &amp; insurance panel contracts</w:t>
            </w:r>
          </w:p>
        </w:tc>
        <w:tc>
          <w:tcPr/>
          <w:p>
            <w:pPr>
              <w:pStyle w:val="Compact"/>
              <w:jc w:val="left"/>
            </w:pPr>
            <w:r>
              <w:t xml:space="preserve">Talent retention — Egyptian PT/OT emigration to Gulf markets is a well-documented risk</w:t>
            </w:r>
          </w:p>
        </w:tc>
      </w:tr>
      <w:tr>
        <w:tc>
          <w:tcPr/>
          <w:p>
            <w:pPr>
              <w:pStyle w:val="Compact"/>
              <w:jc w:val="left"/>
            </w:pPr>
            <w:r>
              <w:t xml:space="preserve">Medical tourism (Gulf patients) for the Luxury tier</w:t>
            </w:r>
          </w:p>
        </w:tc>
        <w:tc>
          <w:tcPr/>
          <w:p>
            <w:pPr>
              <w:pStyle w:val="Compact"/>
              <w:jc w:val="left"/>
            </w:pPr>
            <w:r>
              <w:t xml:space="preserve">Reimbursement delays from insurers affecting cash flow</w:t>
            </w:r>
          </w:p>
        </w:tc>
      </w:tr>
      <w:tr>
        <w:tc>
          <w:tcPr/>
          <w:p>
            <w:pPr>
              <w:pStyle w:val="Compact"/>
              <w:jc w:val="left"/>
            </w:pPr>
            <w:r>
              <w:t xml:space="preserve">Expansion into a training academy / CE courses, franchising, tele-rehab</w:t>
            </w:r>
          </w:p>
        </w:tc>
        <w:tc>
          <w:tcPr/>
          <w:p>
            <w:pPr>
              <w:pStyle w:val="Compact"/>
              <w:jc w:val="left"/>
            </w:pPr>
            <w:r>
              <w:t xml:space="preserve">Regulatory/licensing timeline risk delaying opening</w:t>
            </w:r>
          </w:p>
        </w:tc>
      </w:tr>
    </w:tbl>
    <w:p>
      <w:r>
        <w:pict>
          <v:rect style="width:0;height:1.5pt" o:hralign="center" o:hrstd="t" o:hr="t"/>
        </w:pict>
      </w:r>
    </w:p>
    <w:bookmarkEnd w:id="32"/>
    <w:bookmarkStart w:id="37" w:name="detailed-clinical-services"/>
    <w:p>
      <w:pPr>
        <w:pStyle w:val="Heading1"/>
      </w:pPr>
      <w:r>
        <w:t xml:space="preserve">7. Detailed Clinical Services</w:t>
      </w:r>
    </w:p>
    <w:bookmarkStart w:id="33" w:name="X3bd715d82b6c04177ff7a5931f8e6d0dc96a73d"/>
    <w:p>
      <w:pPr>
        <w:pStyle w:val="Heading2"/>
      </w:pPr>
      <w:r>
        <w:t xml:space="preserve">7.1 Orthopaedic &amp; Sports Rehabilitation Department (Nagham Reda)</w:t>
      </w:r>
    </w:p>
    <w:p>
      <w:pPr>
        <w:numPr>
          <w:ilvl w:val="0"/>
          <w:numId w:val="1004"/>
        </w:numPr>
        <w:pStyle w:val="Compact"/>
      </w:pPr>
      <w:r>
        <w:t xml:space="preserve">Post-surgical rehabilitation: rotator cuff repair, ACL/PCL reconstruction, meniscus repair, total knee/hip replacement, fracture fixation</w:t>
      </w:r>
    </w:p>
    <w:p>
      <w:pPr>
        <w:numPr>
          <w:ilvl w:val="0"/>
          <w:numId w:val="1004"/>
        </w:numPr>
        <w:pStyle w:val="Compact"/>
      </w:pPr>
      <w:r>
        <w:t xml:space="preserve">Sports injury rehabilitation: ligament sprains, tendinopathies, return-to-play conditioning, hamstring/muscle strain rehab</w:t>
      </w:r>
    </w:p>
    <w:p>
      <w:pPr>
        <w:numPr>
          <w:ilvl w:val="0"/>
          <w:numId w:val="1004"/>
        </w:numPr>
        <w:pStyle w:val="Compact"/>
      </w:pPr>
      <w:r>
        <w:t xml:space="preserve">Manual therapy, myofascial release, dry needling</w:t>
      </w:r>
      <w:r>
        <w:t xml:space="preserve"> </w:t>
      </w:r>
      <w:r>
        <w:rPr>
          <w:iCs/>
          <w:i/>
        </w:rPr>
        <w:t xml:space="preserve">(where within scope of practice)</w:t>
      </w:r>
    </w:p>
    <w:p>
      <w:pPr>
        <w:numPr>
          <w:ilvl w:val="0"/>
          <w:numId w:val="1004"/>
        </w:numPr>
        <w:pStyle w:val="Compact"/>
      </w:pPr>
      <w:r>
        <w:t xml:space="preserve">Therapeutic exercise prescription, functional movement screening, isokinetic strength testing</w:t>
      </w:r>
    </w:p>
    <w:p>
      <w:pPr>
        <w:numPr>
          <w:ilvl w:val="0"/>
          <w:numId w:val="1004"/>
        </w:numPr>
        <w:pStyle w:val="Compact"/>
      </w:pPr>
      <w:r>
        <w:t xml:space="preserve">Shockwave therapy, therapeutic ultrasound, laser therapy, neuromuscular electrical stimulation</w:t>
      </w:r>
    </w:p>
    <w:p>
      <w:pPr>
        <w:numPr>
          <w:ilvl w:val="0"/>
          <w:numId w:val="1004"/>
        </w:numPr>
        <w:pStyle w:val="Compact"/>
      </w:pPr>
      <w:r>
        <w:t xml:space="preserve">Return-to-sport testing and performance optimisation for amateur/semi-professional athletes</w:t>
      </w:r>
    </w:p>
    <w:p>
      <w:pPr>
        <w:numPr>
          <w:ilvl w:val="0"/>
          <w:numId w:val="1004"/>
        </w:numPr>
        <w:pStyle w:val="Compact"/>
      </w:pPr>
      <w:r>
        <w:t xml:space="preserve">Ergonomic and ADL retraining for post-surgical patients</w:t>
      </w:r>
    </w:p>
    <w:bookmarkEnd w:id="33"/>
    <w:bookmarkStart w:id="34" w:name="X84a06ef2395005bbe380470e287464b4b97cdfb"/>
    <w:p>
      <w:pPr>
        <w:pStyle w:val="Heading2"/>
      </w:pPr>
      <w:r>
        <w:t xml:space="preserve">7.2 Adult Neurological Rehabilitation Department (Saja Khader)</w:t>
      </w:r>
    </w:p>
    <w:p>
      <w:pPr>
        <w:numPr>
          <w:ilvl w:val="0"/>
          <w:numId w:val="1005"/>
        </w:numPr>
        <w:pStyle w:val="Compact"/>
      </w:pPr>
      <w:r>
        <w:t xml:space="preserve">Stroke rehabilitation (acute-discharge through chronic phase): motor re-education, upper-limb function, ADL retraining</w:t>
      </w:r>
    </w:p>
    <w:p>
      <w:pPr>
        <w:numPr>
          <w:ilvl w:val="0"/>
          <w:numId w:val="1005"/>
        </w:numPr>
        <w:pStyle w:val="Compact"/>
      </w:pPr>
      <w:r>
        <w:t xml:space="preserve">Traumatic Brain Injury (TBI) rehabilitation: cognitive-perceptual retraining, executive function, community reintegration</w:t>
      </w:r>
    </w:p>
    <w:p>
      <w:pPr>
        <w:numPr>
          <w:ilvl w:val="0"/>
          <w:numId w:val="1005"/>
        </w:numPr>
        <w:pStyle w:val="Compact"/>
      </w:pPr>
      <w:r>
        <w:t xml:space="preserve">Spinal Cord Injury (SCI) rehabilitation: functional mobility training, wheelchair skills, adaptive equipment prescription, bowel/bladder and skin-care education (in coordination with nursing/medical partners)</w:t>
      </w:r>
    </w:p>
    <w:p>
      <w:pPr>
        <w:numPr>
          <w:ilvl w:val="0"/>
          <w:numId w:val="1005"/>
        </w:numPr>
        <w:pStyle w:val="Compact"/>
      </w:pPr>
      <w:r>
        <w:t xml:space="preserve">Neurological gait training, balance and fall-prevention programmes</w:t>
      </w:r>
    </w:p>
    <w:p>
      <w:pPr>
        <w:numPr>
          <w:ilvl w:val="0"/>
          <w:numId w:val="1005"/>
        </w:numPr>
        <w:pStyle w:val="Compact"/>
      </w:pPr>
      <w:r>
        <w:t xml:space="preserve">Cognitive rehabilitation and caregiver training/education</w:t>
      </w:r>
    </w:p>
    <w:p>
      <w:pPr>
        <w:numPr>
          <w:ilvl w:val="0"/>
          <w:numId w:val="1005"/>
        </w:numPr>
        <w:pStyle w:val="Compact"/>
      </w:pPr>
      <w:r>
        <w:t xml:space="preserve">Home and vehicle modification assessments; return-to-work/return-to-driving assessments (Option 2/3)</w:t>
      </w:r>
    </w:p>
    <w:bookmarkEnd w:id="34"/>
    <w:bookmarkStart w:id="35" w:name="X5cdd050da517223e98c01ed72110b58edd60ad6"/>
    <w:p>
      <w:pPr>
        <w:pStyle w:val="Heading2"/>
      </w:pPr>
      <w:r>
        <w:t xml:space="preserve">7.3 Pediatric Rehabilitation Department (Saja Ali)</w:t>
      </w:r>
    </w:p>
    <w:p>
      <w:pPr>
        <w:numPr>
          <w:ilvl w:val="0"/>
          <w:numId w:val="1006"/>
        </w:numPr>
        <w:pStyle w:val="Compact"/>
      </w:pPr>
      <w:r>
        <w:t xml:space="preserve">Sensory integration therapy for sensory processing disorders</w:t>
      </w:r>
    </w:p>
    <w:p>
      <w:pPr>
        <w:numPr>
          <w:ilvl w:val="0"/>
          <w:numId w:val="1006"/>
        </w:numPr>
        <w:pStyle w:val="Compact"/>
      </w:pPr>
      <w:r>
        <w:t xml:space="preserve">Developmental delay and fine/gross motor skill intervention</w:t>
      </w:r>
    </w:p>
    <w:p>
      <w:pPr>
        <w:numPr>
          <w:ilvl w:val="0"/>
          <w:numId w:val="1006"/>
        </w:numPr>
        <w:pStyle w:val="Compact"/>
      </w:pPr>
      <w:r>
        <w:t xml:space="preserve">Pediatric neurological conditions (cerebral palsy, developmental coordination disorder, hypotonia)</w:t>
      </w:r>
    </w:p>
    <w:p>
      <w:pPr>
        <w:numPr>
          <w:ilvl w:val="0"/>
          <w:numId w:val="1006"/>
        </w:numPr>
        <w:pStyle w:val="Compact"/>
      </w:pPr>
      <w:r>
        <w:t xml:space="preserve">Feeding therapy and oral-motor intervention</w:t>
      </w:r>
    </w:p>
    <w:p>
      <w:pPr>
        <w:numPr>
          <w:ilvl w:val="0"/>
          <w:numId w:val="1006"/>
        </w:numPr>
        <w:pStyle w:val="Compact"/>
      </w:pPr>
      <w:r>
        <w:t xml:space="preserve">Handwriting and school-readiness / academic-skills support</w:t>
      </w:r>
    </w:p>
    <w:p>
      <w:pPr>
        <w:numPr>
          <w:ilvl w:val="0"/>
          <w:numId w:val="1006"/>
        </w:numPr>
        <w:pStyle w:val="Compact"/>
      </w:pPr>
      <w:r>
        <w:t xml:space="preserve">Autism spectrum support (occupational therapy component; behavioural/ABA and speech therapy via partner referral or in-house addition at Option 2/3)</w:t>
      </w:r>
    </w:p>
    <w:p>
      <w:pPr>
        <w:numPr>
          <w:ilvl w:val="0"/>
          <w:numId w:val="1006"/>
        </w:numPr>
        <w:pStyle w:val="Compact"/>
      </w:pPr>
      <w:r>
        <w:t xml:space="preserve">Parent coaching and home-programme design</w:t>
      </w:r>
    </w:p>
    <w:bookmarkEnd w:id="35"/>
    <w:bookmarkStart w:id="36" w:name="X34d59315e2b5c11ffb0fdb5fd3db4a2296137e1"/>
    <w:p>
      <w:pPr>
        <w:pStyle w:val="Heading2"/>
      </w:pPr>
      <w:r>
        <w:t xml:space="preserve">7.4 Shared / cross-departmental services (all options)</w:t>
      </w:r>
    </w:p>
    <w:p>
      <w:pPr>
        <w:numPr>
          <w:ilvl w:val="0"/>
          <w:numId w:val="1007"/>
        </w:numPr>
        <w:pStyle w:val="Compact"/>
      </w:pPr>
      <w:r>
        <w:t xml:space="preserve">Multidisciplinary case conferences for patients spanning departments (e.g., a stroke patient with a concurrent orthopaedic fracture)</w:t>
      </w:r>
    </w:p>
    <w:p>
      <w:pPr>
        <w:numPr>
          <w:ilvl w:val="0"/>
          <w:numId w:val="1007"/>
        </w:numPr>
        <w:pStyle w:val="Compact"/>
      </w:pPr>
      <w:r>
        <w:t xml:space="preserve">Unified electronic medical record accessible (with appropriate permissions) across departments</w:t>
      </w:r>
    </w:p>
    <w:p>
      <w:pPr>
        <w:numPr>
          <w:ilvl w:val="0"/>
          <w:numId w:val="1007"/>
        </w:numPr>
        <w:pStyle w:val="Compact"/>
      </w:pPr>
      <w:r>
        <w:t xml:space="preserve">Shared gym/functional training area for graduated, supervised group sessions</w:t>
      </w:r>
    </w:p>
    <w:p>
      <w:pPr>
        <w:numPr>
          <w:ilvl w:val="0"/>
          <w:numId w:val="1007"/>
        </w:numPr>
        <w:pStyle w:val="Compact"/>
      </w:pPr>
      <w:r>
        <w:t xml:space="preserve">Family education workshops</w:t>
      </w:r>
    </w:p>
    <w:p>
      <w:r>
        <w:pict>
          <v:rect style="width:0;height:1.5pt" o:hralign="center" o:hrstd="t" o:hr="t"/>
        </w:pict>
      </w:r>
    </w:p>
    <w:bookmarkEnd w:id="36"/>
    <w:bookmarkEnd w:id="37"/>
    <w:bookmarkStart w:id="41" w:name="department-structure"/>
    <w:p>
      <w:pPr>
        <w:pStyle w:val="Heading1"/>
      </w:pPr>
      <w:r>
        <w:t xml:space="preserve">8. Department Structure</w:t>
      </w:r>
    </w:p>
    <w:p>
      <w:pPr>
        <w:pStyle w:val="FirstParagraph"/>
      </w:pPr>
      <w:r>
        <w:t xml:space="preserve">Each department operates as a semi-autonomous business unit with its own clinical leadership, dedicated space and equipment, while sharing the Center’s brand, reception, admin, marketing and facilities budget.</w:t>
      </w:r>
    </w:p>
    <w:bookmarkStart w:id="38" w:name="X46d274931282dd84097082be99e31c64f234b80"/>
    <w:p>
      <w:pPr>
        <w:pStyle w:val="Heading2"/>
      </w:pPr>
      <w:r>
        <w:t xml:space="preserve">8.1 Orthopaedic &amp; Sports Rehabilitation — led by Nagham Reda</w:t>
      </w:r>
    </w:p>
    <w:p>
      <w:pPr>
        <w:numPr>
          <w:ilvl w:val="0"/>
          <w:numId w:val="1008"/>
        </w:numPr>
        <w:pStyle w:val="Compact"/>
      </w:pPr>
      <w:r>
        <w:rPr>
          <w:bCs/>
          <w:b/>
        </w:rPr>
        <w:t xml:space="preserve">Dedicated space:</w:t>
      </w:r>
      <w:r>
        <w:t xml:space="preserve"> </w:t>
      </w:r>
      <w:r>
        <w:t xml:space="preserve">treatment plinths/cubicles, exercise/functional gym bay, modality room (ultrasound/e-stim/shockwave/laser)</w:t>
      </w:r>
    </w:p>
    <w:p>
      <w:pPr>
        <w:numPr>
          <w:ilvl w:val="0"/>
          <w:numId w:val="1008"/>
        </w:numPr>
        <w:pStyle w:val="Compact"/>
      </w:pPr>
      <w:r>
        <w:rPr>
          <w:bCs/>
          <w:b/>
        </w:rPr>
        <w:t xml:space="preserve">Team:</w:t>
      </w:r>
      <w:r>
        <w:t xml:space="preserve"> </w:t>
      </w:r>
      <w:r>
        <w:t xml:space="preserve">Department Head (Nagham Reda) → Senior PT → PTs → Rehab Assistant/Aide → (Option 3) Sports Performance Coach, visiting Orthopaedic Surgeon (consulting)</w:t>
      </w:r>
    </w:p>
    <w:p>
      <w:pPr>
        <w:numPr>
          <w:ilvl w:val="0"/>
          <w:numId w:val="1008"/>
        </w:numPr>
        <w:pStyle w:val="Compact"/>
      </w:pPr>
      <w:r>
        <w:rPr>
          <w:bCs/>
          <w:b/>
        </w:rPr>
        <w:t xml:space="preserve">Workflow:</w:t>
      </w:r>
      <w:r>
        <w:t xml:space="preserve"> </w:t>
      </w:r>
      <w:r>
        <w:t xml:space="preserve">Referral/self-referral → initial evaluation (45–60 min) → treatment plan &amp; goal-setting → course of sessions (2–3×/week typical) → progress re-assessment every 2 weeks → discharge with home programme / return-to-sport clearance</w:t>
      </w:r>
    </w:p>
    <w:p>
      <w:pPr>
        <w:numPr>
          <w:ilvl w:val="0"/>
          <w:numId w:val="1008"/>
        </w:numPr>
        <w:pStyle w:val="Compact"/>
      </w:pPr>
      <w:r>
        <w:rPr>
          <w:bCs/>
          <w:b/>
        </w:rPr>
        <w:t xml:space="preserve">Growth plan:</w:t>
      </w:r>
      <w:r>
        <w:t xml:space="preserve"> </w:t>
      </w:r>
      <w:r>
        <w:t xml:space="preserve">Year 1 build local orthopaedic-surgeon referral network (target 10–15 referring surgeons); Year 2 add sports-club and gym partnerships; Year 3 add a sports-performance/return-to-play testing service line and corporate athlete contracts</w:t>
      </w:r>
    </w:p>
    <w:bookmarkEnd w:id="38"/>
    <w:bookmarkStart w:id="39" w:name="X00408bc65098e2f45eb911853faa5d80296a684"/>
    <w:p>
      <w:pPr>
        <w:pStyle w:val="Heading2"/>
      </w:pPr>
      <w:r>
        <w:t xml:space="preserve">8.2 Adult Neurological Rehabilitation — led by Saja Khader</w:t>
      </w:r>
    </w:p>
    <w:p>
      <w:pPr>
        <w:numPr>
          <w:ilvl w:val="0"/>
          <w:numId w:val="1009"/>
        </w:numPr>
        <w:pStyle w:val="Compact"/>
      </w:pPr>
      <w:r>
        <w:rPr>
          <w:bCs/>
          <w:b/>
        </w:rPr>
        <w:t xml:space="preserve">Dedicated space:</w:t>
      </w:r>
      <w:r>
        <w:t xml:space="preserve"> </w:t>
      </w:r>
      <w:r>
        <w:t xml:space="preserve">neuro gym with parallel bars/gait training lane, mat treatment area, ADL/kitchen simulation bay, quiet cognitive-therapy room</w:t>
      </w:r>
    </w:p>
    <w:p>
      <w:pPr>
        <w:numPr>
          <w:ilvl w:val="0"/>
          <w:numId w:val="1009"/>
        </w:numPr>
        <w:pStyle w:val="Compact"/>
      </w:pPr>
      <w:r>
        <w:rPr>
          <w:bCs/>
          <w:b/>
        </w:rPr>
        <w:t xml:space="preserve">Team:</w:t>
      </w:r>
      <w:r>
        <w:t xml:space="preserve"> </w:t>
      </w:r>
      <w:r>
        <w:t xml:space="preserve">Department Head (Saja Khader) → Senior OT/Neuro PT → Therapists → Rehab Assistant → (Option 2/3) Speech-Language Pathologist partner/in-house → (Option 3) consulting Neurologist/Physiatrist, robotics technician</w:t>
      </w:r>
    </w:p>
    <w:p>
      <w:pPr>
        <w:numPr>
          <w:ilvl w:val="0"/>
          <w:numId w:val="1009"/>
        </w:numPr>
        <w:pStyle w:val="Compact"/>
      </w:pPr>
      <w:r>
        <w:rPr>
          <w:bCs/>
          <w:b/>
        </w:rPr>
        <w:t xml:space="preserve">Workflow:</w:t>
      </w:r>
      <w:r>
        <w:t xml:space="preserve"> </w:t>
      </w:r>
      <w:r>
        <w:t xml:space="preserve">Hospital-discharge or neurologist referral → comprehensive neuro assessment (standardised scales: FIM, Berg Balance, Fugl-Meyer) → intensive-phase programme (often 3–5×/week) → milestone re-assessment → transition to maintenance/home programme; caregiver training throughout</w:t>
      </w:r>
    </w:p>
    <w:p>
      <w:pPr>
        <w:numPr>
          <w:ilvl w:val="0"/>
          <w:numId w:val="1009"/>
        </w:numPr>
        <w:pStyle w:val="Compact"/>
      </w:pPr>
      <w:r>
        <w:rPr>
          <w:bCs/>
          <w:b/>
        </w:rPr>
        <w:t xml:space="preserve">Growth plan:</w:t>
      </w:r>
      <w:r>
        <w:t xml:space="preserve"> </w:t>
      </w:r>
      <w:r>
        <w:t xml:space="preserve">Year 1 build referral relationships with New Cairo hospitals/neurologists and discharge planners; Year 2 add speech-language therapy in-house and a caregiver-support programme; Year 3 add advanced technology (robotic gait training / VR) as a premium service line</w:t>
      </w:r>
    </w:p>
    <w:bookmarkEnd w:id="39"/>
    <w:bookmarkStart w:id="40" w:name="pediatric-rehabilitation-led-by-saja-ali"/>
    <w:p>
      <w:pPr>
        <w:pStyle w:val="Heading2"/>
      </w:pPr>
      <w:r>
        <w:t xml:space="preserve">8.3 Pediatric Rehabilitation — led by Saja Ali</w:t>
      </w:r>
    </w:p>
    <w:p>
      <w:pPr>
        <w:numPr>
          <w:ilvl w:val="0"/>
          <w:numId w:val="1010"/>
        </w:numPr>
        <w:pStyle w:val="Compact"/>
      </w:pPr>
      <w:r>
        <w:rPr>
          <w:bCs/>
          <w:b/>
        </w:rPr>
        <w:t xml:space="preserve">Dedicated space:</w:t>
      </w:r>
      <w:r>
        <w:t xml:space="preserve"> </w:t>
      </w:r>
      <w:r>
        <w:t xml:space="preserve">sensory integration room (suspended swings, ball pit, crash mat), fine-motor/pre-academic room, feeding-therapy area, family observation window</w:t>
      </w:r>
    </w:p>
    <w:p>
      <w:pPr>
        <w:numPr>
          <w:ilvl w:val="0"/>
          <w:numId w:val="1010"/>
        </w:numPr>
        <w:pStyle w:val="Compact"/>
      </w:pPr>
      <w:r>
        <w:rPr>
          <w:bCs/>
          <w:b/>
        </w:rPr>
        <w:t xml:space="preserve">Team:</w:t>
      </w:r>
      <w:r>
        <w:t xml:space="preserve"> </w:t>
      </w:r>
      <w:r>
        <w:t xml:space="preserve">Department Head (Saja Ali) → Senior Pediatric OT → Pediatric Therapists → Therapy Assistants → (Option 2/3) Speech Therapist, Behavioural/ABA Specialist → (Option 3) Pediatric Neurologist (consulting), aquatic/hydrotherapy specialist</w:t>
      </w:r>
    </w:p>
    <w:p>
      <w:pPr>
        <w:numPr>
          <w:ilvl w:val="0"/>
          <w:numId w:val="1010"/>
        </w:numPr>
        <w:pStyle w:val="Compact"/>
      </w:pPr>
      <w:r>
        <w:rPr>
          <w:bCs/>
          <w:b/>
        </w:rPr>
        <w:t xml:space="preserve">Workflow:</w:t>
      </w:r>
      <w:r>
        <w:t xml:space="preserve"> </w:t>
      </w:r>
      <w:r>
        <w:t xml:space="preserve">Pediatrician/school/parent referral → developmental screening &amp; standardised assessment (e.g., PEDI, Sensory Profile) → individualised therapy plan with parent goal-setting → weekly sessions + structured home programme → quarterly progress review with parents and referring pediatrician</w:t>
      </w:r>
    </w:p>
    <w:p>
      <w:pPr>
        <w:numPr>
          <w:ilvl w:val="0"/>
          <w:numId w:val="1010"/>
        </w:numPr>
        <w:pStyle w:val="Compact"/>
      </w:pPr>
      <w:r>
        <w:rPr>
          <w:bCs/>
          <w:b/>
        </w:rPr>
        <w:t xml:space="preserve">Growth plan:</w:t>
      </w:r>
      <w:r>
        <w:t xml:space="preserve"> </w:t>
      </w:r>
      <w:r>
        <w:t xml:space="preserve">Year 1 build referral relationships with pediatricians and New Cairo international/national schools; Year 2 add speech therapy and a parent-workshop series; Year 3 add group social-skills programmes, school-holiday intensive camps, and (Option 3) a pediatric hydrotherapy programme</w:t>
      </w:r>
    </w:p>
    <w:p>
      <w:r>
        <w:pict>
          <v:rect style="width:0;height:1.5pt" o:hralign="center" o:hrstd="t" o:hr="t"/>
        </w:pict>
      </w:r>
    </w:p>
    <w:bookmarkEnd w:id="40"/>
    <w:bookmarkEnd w:id="41"/>
    <w:bookmarkStart w:id="42" w:name="organisational-chart"/>
    <w:p>
      <w:pPr>
        <w:pStyle w:val="Heading1"/>
      </w:pPr>
      <w:r>
        <w:t xml:space="preserve">9. Organisational Chart</w:t>
      </w:r>
    </w:p>
    <w:p>
      <w:pPr>
        <w:pStyle w:val="FirstParagraph"/>
      </w:pPr>
      <w:r>
        <w:rPr>
          <w:bCs/>
          <w:b/>
        </w:rPr>
        <w:t xml:space="preserve">Founders’ Executive Committee</w:t>
      </w:r>
      <w:r>
        <w:t xml:space="preserve"> </w:t>
      </w:r>
      <w:r>
        <w:t xml:space="preserve">(Nagham Reda · Saja Khader · Saja Ali) — sets strategy, approves budgets, holds ultimate accountability for the Center</w:t>
      </w:r>
    </w:p>
    <w:p>
      <w:pPr>
        <w:numPr>
          <w:ilvl w:val="0"/>
          <w:numId w:val="1011"/>
        </w:numPr>
        <w:pStyle w:val="Compact"/>
      </w:pPr>
      <w:r>
        <w:rPr>
          <w:bCs/>
          <w:b/>
        </w:rPr>
        <w:t xml:space="preserve">Clinic / General Manager</w:t>
      </w:r>
      <w:r>
        <w:t xml:space="preserve"> </w:t>
      </w:r>
      <w:r>
        <w:rPr>
          <w:iCs/>
          <w:i/>
        </w:rPr>
        <w:t xml:space="preserve">(Option 2 &amp; 3)</w:t>
      </w:r>
      <w:r>
        <w:t xml:space="preserve"> </w:t>
      </w:r>
      <w:r>
        <w:t xml:space="preserve">— Operations, Finance, HR, Compliance</w:t>
      </w:r>
    </w:p>
    <w:p>
      <w:pPr>
        <w:numPr>
          <w:ilvl w:val="1"/>
          <w:numId w:val="1012"/>
        </w:numPr>
        <w:pStyle w:val="Compact"/>
      </w:pPr>
      <w:r>
        <w:t xml:space="preserve">Front Office &amp; Patient Coordination</w:t>
      </w:r>
    </w:p>
    <w:p>
      <w:pPr>
        <w:numPr>
          <w:ilvl w:val="1"/>
          <w:numId w:val="1012"/>
        </w:numPr>
        <w:pStyle w:val="Compact"/>
      </w:pPr>
      <w:r>
        <w:t xml:space="preserve">Billing, Insurance &amp; Accounts</w:t>
      </w:r>
    </w:p>
    <w:p>
      <w:pPr>
        <w:numPr>
          <w:ilvl w:val="1"/>
          <w:numId w:val="1012"/>
        </w:numPr>
        <w:pStyle w:val="Compact"/>
      </w:pPr>
      <w:r>
        <w:t xml:space="preserve">Marketing &amp; Patient Experience</w:t>
      </w:r>
    </w:p>
    <w:p>
      <w:pPr>
        <w:numPr>
          <w:ilvl w:val="1"/>
          <w:numId w:val="1012"/>
        </w:numPr>
        <w:pStyle w:val="Compact"/>
      </w:pPr>
      <w:r>
        <w:t xml:space="preserve">Facilities, IT &amp; Procurement</w:t>
      </w:r>
    </w:p>
    <w:p>
      <w:pPr>
        <w:numPr>
          <w:ilvl w:val="1"/>
          <w:numId w:val="1012"/>
        </w:numPr>
        <w:pStyle w:val="Compact"/>
      </w:pPr>
      <w:r>
        <w:t xml:space="preserve">Medical Director</w:t>
      </w:r>
      <w:r>
        <w:t xml:space="preserve"> </w:t>
      </w:r>
      <w:r>
        <w:rPr>
          <w:iCs/>
          <w:i/>
        </w:rPr>
        <w:t xml:space="preserve">(consulting Physiatrist)</w:t>
      </w:r>
      <w:r>
        <w:t xml:space="preserve"> </w:t>
      </w:r>
      <w:r>
        <w:t xml:space="preserve">— clinical governance</w:t>
      </w:r>
    </w:p>
    <w:p>
      <w:pPr>
        <w:numPr>
          <w:ilvl w:val="0"/>
          <w:numId w:val="1011"/>
        </w:numPr>
        <w:pStyle w:val="Compact"/>
      </w:pPr>
      <w:r>
        <w:rPr>
          <w:bCs/>
          <w:b/>
        </w:rPr>
        <w:t xml:space="preserve">Orthopaedic &amp; Sports Rehabilitation Department</w:t>
      </w:r>
      <w:r>
        <w:t xml:space="preserve"> </w:t>
      </w:r>
      <w:r>
        <w:t xml:space="preserve">— Head: Nagham Reda</w:t>
      </w:r>
    </w:p>
    <w:p>
      <w:pPr>
        <w:numPr>
          <w:ilvl w:val="1"/>
          <w:numId w:val="1013"/>
        </w:numPr>
        <w:pStyle w:val="Compact"/>
      </w:pPr>
      <w:r>
        <w:t xml:space="preserve">Senior PT → PTs → Rehab Assistants →</w:t>
      </w:r>
      <w:r>
        <w:t xml:space="preserve"> </w:t>
      </w:r>
      <w:r>
        <w:rPr>
          <w:iCs/>
          <w:i/>
        </w:rPr>
        <w:t xml:space="preserve">(Opt. 3)</w:t>
      </w:r>
      <w:r>
        <w:t xml:space="preserve"> </w:t>
      </w:r>
      <w:r>
        <w:t xml:space="preserve">Sports Performance Coach</w:t>
      </w:r>
    </w:p>
    <w:p>
      <w:pPr>
        <w:numPr>
          <w:ilvl w:val="0"/>
          <w:numId w:val="1011"/>
        </w:numPr>
        <w:pStyle w:val="Compact"/>
      </w:pPr>
      <w:r>
        <w:rPr>
          <w:bCs/>
          <w:b/>
        </w:rPr>
        <w:t xml:space="preserve">Adult Neurological Rehabilitation Department</w:t>
      </w:r>
      <w:r>
        <w:t xml:space="preserve"> </w:t>
      </w:r>
      <w:r>
        <w:t xml:space="preserve">— Head: Saja Khader</w:t>
      </w:r>
    </w:p>
    <w:p>
      <w:pPr>
        <w:numPr>
          <w:ilvl w:val="1"/>
          <w:numId w:val="1014"/>
        </w:numPr>
        <w:pStyle w:val="Compact"/>
      </w:pPr>
      <w:r>
        <w:t xml:space="preserve">Senior OT/PT (Neuro) → Therapists → Rehab Assistants →</w:t>
      </w:r>
      <w:r>
        <w:t xml:space="preserve"> </w:t>
      </w:r>
      <w:r>
        <w:rPr>
          <w:iCs/>
          <w:i/>
        </w:rPr>
        <w:t xml:space="preserve">(Opt. 2/3)</w:t>
      </w:r>
      <w:r>
        <w:t xml:space="preserve"> </w:t>
      </w:r>
      <w:r>
        <w:t xml:space="preserve">Speech-Language Pathologist →</w:t>
      </w:r>
      <w:r>
        <w:t xml:space="preserve"> </w:t>
      </w:r>
      <w:r>
        <w:rPr>
          <w:iCs/>
          <w:i/>
        </w:rPr>
        <w:t xml:space="preserve">(Opt. 3)</w:t>
      </w:r>
      <w:r>
        <w:t xml:space="preserve"> </w:t>
      </w:r>
      <w:r>
        <w:t xml:space="preserve">Robotics Technician</w:t>
      </w:r>
    </w:p>
    <w:p>
      <w:pPr>
        <w:numPr>
          <w:ilvl w:val="0"/>
          <w:numId w:val="1011"/>
        </w:numPr>
        <w:pStyle w:val="Compact"/>
      </w:pPr>
      <w:r>
        <w:rPr>
          <w:bCs/>
          <w:b/>
        </w:rPr>
        <w:t xml:space="preserve">Pediatric Rehabilitation Department</w:t>
      </w:r>
      <w:r>
        <w:t xml:space="preserve"> </w:t>
      </w:r>
      <w:r>
        <w:t xml:space="preserve">— Head: Saja Ali</w:t>
      </w:r>
    </w:p>
    <w:p>
      <w:pPr>
        <w:numPr>
          <w:ilvl w:val="1"/>
          <w:numId w:val="1015"/>
        </w:numPr>
        <w:pStyle w:val="Compact"/>
      </w:pPr>
      <w:r>
        <w:t xml:space="preserve">Senior Pediatric OT → Pediatric Therapists → Therapy Assistants →</w:t>
      </w:r>
      <w:r>
        <w:t xml:space="preserve"> </w:t>
      </w:r>
      <w:r>
        <w:rPr>
          <w:iCs/>
          <w:i/>
        </w:rPr>
        <w:t xml:space="preserve">(Opt. 2/3)</w:t>
      </w:r>
      <w:r>
        <w:t xml:space="preserve"> </w:t>
      </w:r>
      <w:r>
        <w:t xml:space="preserve">Speech Therapist / ABA Specialist</w:t>
      </w:r>
    </w:p>
    <w:p>
      <w:pPr>
        <w:pStyle w:val="FirstParagraph"/>
      </w:pPr>
      <w:r>
        <w:t xml:space="preserve">In</w:t>
      </w:r>
      <w:r>
        <w:t xml:space="preserve"> </w:t>
      </w:r>
      <w:r>
        <w:rPr>
          <w:bCs/>
          <w:b/>
        </w:rPr>
        <w:t xml:space="preserve">Option 1</w:t>
      </w:r>
      <w:r>
        <w:t xml:space="preserve">, the Clinic Manager role and Medical Director are combined/outsourced and the three founders rotate weekly responsibility for operations, in addition to their clinical caseload.</w:t>
      </w:r>
    </w:p>
    <w:p>
      <w:r>
        <w:pict>
          <v:rect style="width:0;height:1.5pt" o:hralign="center" o:hrstd="t" o:hr="t"/>
        </w:pict>
      </w:r>
    </w:p>
    <w:bookmarkEnd w:id="42"/>
    <w:bookmarkStart w:id="43" w:name="staffing-plan"/>
    <w:p>
      <w:pPr>
        <w:pStyle w:val="Heading1"/>
      </w:pPr>
      <w:r>
        <w:t xml:space="preserve">10. Staffing Plan</w:t>
      </w:r>
    </w:p>
    <w:p>
      <w:pPr>
        <w:pStyle w:val="FirstParagraph"/>
      </w:pPr>
      <w:r>
        <w:t xml:space="preserve">Headcount scales with the investment tier. Founders are counted as working clinical staff (each carries a substantial caseload in addition to leadership duties).</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Role</w:t>
            </w:r>
          </w:p>
        </w:tc>
        <w:tc>
          <w:tcPr/>
          <w:p>
            <w:pPr>
              <w:pStyle w:val="Compact"/>
              <w:jc w:val="right"/>
            </w:pPr>
            <w:r>
              <w:t xml:space="preserve">Option 1 (Low)</w:t>
            </w:r>
          </w:p>
        </w:tc>
        <w:tc>
          <w:tcPr/>
          <w:p>
            <w:pPr>
              <w:pStyle w:val="Compact"/>
              <w:jc w:val="right"/>
            </w:pPr>
            <w:r>
              <w:t xml:space="preserve">Option 2 (Moderate)</w:t>
            </w:r>
          </w:p>
        </w:tc>
        <w:tc>
          <w:tcPr/>
          <w:p>
            <w:pPr>
              <w:pStyle w:val="Compact"/>
              <w:jc w:val="right"/>
            </w:pPr>
            <w:r>
              <w:t xml:space="preserve">Option 3 (Luxury)</w:t>
            </w:r>
          </w:p>
        </w:tc>
      </w:tr>
      <w:tr>
        <w:tc>
          <w:tcPr/>
          <w:p>
            <w:pPr>
              <w:pStyle w:val="Compact"/>
              <w:jc w:val="left"/>
            </w:pPr>
            <w:r>
              <w:t xml:space="preserve">Founders / Department Heads</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r>
      <w:tr>
        <w:tc>
          <w:tcPr/>
          <w:p>
            <w:pPr>
              <w:pStyle w:val="Compact"/>
              <w:jc w:val="left"/>
            </w:pPr>
            <w:r>
              <w:rPr>
                <w:bCs/>
                <w:b/>
              </w:rPr>
              <w:t xml:space="preserve">Orthopaedic &amp; Sports Dept</w:t>
            </w:r>
          </w:p>
        </w:tc>
        <w:tc>
          <w:tcPr/>
          <w:p>
            <w:pPr>
              <w:pStyle w:val="Compact"/>
            </w:pPr>
          </w:p>
        </w:tc>
        <w:tc>
          <w:tcPr/>
          <w:p>
            <w:pPr>
              <w:pStyle w:val="Compact"/>
            </w:pPr>
          </w:p>
        </w:tc>
        <w:tc>
          <w:tcPr/>
          <w:p>
            <w:pPr>
              <w:pStyle w:val="Compact"/>
            </w:pPr>
          </w:p>
        </w:tc>
      </w:tr>
      <w:tr>
        <w:tc>
          <w:tcPr/>
          <w:p>
            <w:pPr>
              <w:pStyle w:val="Compact"/>
              <w:jc w:val="left"/>
            </w:pPr>
            <w:r>
              <w:t xml:space="preserve">Senior PT</w:t>
            </w:r>
          </w:p>
        </w:tc>
        <w:tc>
          <w:tcPr/>
          <w:p>
            <w:pPr>
              <w:pStyle w:val="Compact"/>
              <w:jc w:val="right"/>
            </w:pPr>
            <w:r>
              <w:t xml:space="preserve">–</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PT</w:t>
            </w:r>
          </w:p>
        </w:tc>
        <w:tc>
          <w:tcPr/>
          <w:p>
            <w:pPr>
              <w:pStyle w:val="Compact"/>
              <w:jc w:val="right"/>
            </w:pPr>
            <w:r>
              <w:t xml:space="preserve">–</w:t>
            </w:r>
          </w:p>
        </w:tc>
        <w:tc>
          <w:tcPr/>
          <w:p>
            <w:pPr>
              <w:pStyle w:val="Compact"/>
              <w:jc w:val="right"/>
            </w:pPr>
            <w:r>
              <w:t xml:space="preserve">2</w:t>
            </w:r>
          </w:p>
        </w:tc>
        <w:tc>
          <w:tcPr/>
          <w:p>
            <w:pPr>
              <w:pStyle w:val="Compact"/>
              <w:jc w:val="right"/>
            </w:pPr>
            <w:r>
              <w:t xml:space="preserve">4</w:t>
            </w:r>
          </w:p>
        </w:tc>
      </w:tr>
      <w:tr>
        <w:tc>
          <w:tcPr/>
          <w:p>
            <w:pPr>
              <w:pStyle w:val="Compact"/>
              <w:jc w:val="left"/>
            </w:pPr>
            <w:r>
              <w:t xml:space="preserve">Rehab Assistant/Aide</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Sports Performance Coach</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jc w:val="left"/>
            </w:pPr>
            <w:r>
              <w:rPr>
                <w:bCs/>
                <w:b/>
              </w:rPr>
              <w:t xml:space="preserve">Adult Neuro Dept</w:t>
            </w:r>
          </w:p>
        </w:tc>
        <w:tc>
          <w:tcPr/>
          <w:p>
            <w:pPr>
              <w:pStyle w:val="Compact"/>
            </w:pPr>
          </w:p>
        </w:tc>
        <w:tc>
          <w:tcPr/>
          <w:p>
            <w:pPr>
              <w:pStyle w:val="Compact"/>
            </w:pPr>
          </w:p>
        </w:tc>
        <w:tc>
          <w:tcPr/>
          <w:p>
            <w:pPr>
              <w:pStyle w:val="Compact"/>
            </w:pPr>
          </w:p>
        </w:tc>
      </w:tr>
      <w:tr>
        <w:tc>
          <w:tcPr/>
          <w:p>
            <w:pPr>
              <w:pStyle w:val="Compact"/>
              <w:jc w:val="left"/>
            </w:pPr>
            <w:r>
              <w:t xml:space="preserve">Senior OT/PT (Neuro)</w:t>
            </w:r>
          </w:p>
        </w:tc>
        <w:tc>
          <w:tcPr/>
          <w:p>
            <w:pPr>
              <w:pStyle w:val="Compact"/>
              <w:jc w:val="right"/>
            </w:pPr>
            <w:r>
              <w:t xml:space="preserve">–</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Therapist</w:t>
            </w:r>
          </w:p>
        </w:tc>
        <w:tc>
          <w:tcPr/>
          <w:p>
            <w:pPr>
              <w:pStyle w:val="Compact"/>
              <w:jc w:val="right"/>
            </w:pPr>
            <w:r>
              <w:t xml:space="preserve">–</w:t>
            </w:r>
          </w:p>
        </w:tc>
        <w:tc>
          <w:tcPr/>
          <w:p>
            <w:pPr>
              <w:pStyle w:val="Compact"/>
              <w:jc w:val="right"/>
            </w:pPr>
            <w:r>
              <w:t xml:space="preserve">2</w:t>
            </w:r>
          </w:p>
        </w:tc>
        <w:tc>
          <w:tcPr/>
          <w:p>
            <w:pPr>
              <w:pStyle w:val="Compact"/>
              <w:jc w:val="right"/>
            </w:pPr>
            <w:r>
              <w:t xml:space="preserve">4</w:t>
            </w:r>
          </w:p>
        </w:tc>
      </w:tr>
      <w:tr>
        <w:tc>
          <w:tcPr/>
          <w:p>
            <w:pPr>
              <w:pStyle w:val="Compact"/>
              <w:jc w:val="left"/>
            </w:pPr>
            <w:r>
              <w:t xml:space="preserve">Rehab Assistant</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Speech-Language Pathologist</w:t>
            </w:r>
          </w:p>
        </w:tc>
        <w:tc>
          <w:tcPr/>
          <w:p>
            <w:pPr>
              <w:pStyle w:val="Compact"/>
              <w:jc w:val="right"/>
            </w:pPr>
            <w:r>
              <w:t xml:space="preserve">–</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Robotics/Rehab-tech Technician</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jc w:val="left"/>
            </w:pPr>
            <w:r>
              <w:rPr>
                <w:bCs/>
                <w:b/>
              </w:rPr>
              <w:t xml:space="preserve">Pediatric Dept</w:t>
            </w:r>
          </w:p>
        </w:tc>
        <w:tc>
          <w:tcPr/>
          <w:p>
            <w:pPr>
              <w:pStyle w:val="Compact"/>
            </w:pPr>
          </w:p>
        </w:tc>
        <w:tc>
          <w:tcPr/>
          <w:p>
            <w:pPr>
              <w:pStyle w:val="Compact"/>
            </w:pPr>
          </w:p>
        </w:tc>
        <w:tc>
          <w:tcPr/>
          <w:p>
            <w:pPr>
              <w:pStyle w:val="Compact"/>
            </w:pPr>
          </w:p>
        </w:tc>
      </w:tr>
      <w:tr>
        <w:tc>
          <w:tcPr/>
          <w:p>
            <w:pPr>
              <w:pStyle w:val="Compact"/>
              <w:jc w:val="left"/>
            </w:pPr>
            <w:r>
              <w:t xml:space="preserve">Senior Pediatric OT</w:t>
            </w:r>
          </w:p>
        </w:tc>
        <w:tc>
          <w:tcPr/>
          <w:p>
            <w:pPr>
              <w:pStyle w:val="Compact"/>
              <w:jc w:val="right"/>
            </w:pPr>
            <w:r>
              <w:t xml:space="preserve">–</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Pediatric Therapist</w:t>
            </w:r>
          </w:p>
        </w:tc>
        <w:tc>
          <w:tcPr/>
          <w:p>
            <w:pPr>
              <w:pStyle w:val="Compact"/>
              <w:jc w:val="right"/>
            </w:pPr>
            <w:r>
              <w:t xml:space="preserve">–</w:t>
            </w:r>
          </w:p>
        </w:tc>
        <w:tc>
          <w:tcPr/>
          <w:p>
            <w:pPr>
              <w:pStyle w:val="Compact"/>
              <w:jc w:val="right"/>
            </w:pPr>
            <w:r>
              <w:t xml:space="preserve">2</w:t>
            </w:r>
          </w:p>
        </w:tc>
        <w:tc>
          <w:tcPr/>
          <w:p>
            <w:pPr>
              <w:pStyle w:val="Compact"/>
              <w:jc w:val="right"/>
            </w:pPr>
            <w:r>
              <w:t xml:space="preserve">4</w:t>
            </w:r>
          </w:p>
        </w:tc>
      </w:tr>
      <w:tr>
        <w:tc>
          <w:tcPr/>
          <w:p>
            <w:pPr>
              <w:pStyle w:val="Compact"/>
              <w:jc w:val="left"/>
            </w:pPr>
            <w:r>
              <w:t xml:space="preserve">Therapy Assistant</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Speech Therapist</w:t>
            </w:r>
          </w:p>
        </w:tc>
        <w:tc>
          <w:tcPr/>
          <w:p>
            <w:pPr>
              <w:pStyle w:val="Compact"/>
              <w:jc w:val="right"/>
            </w:pPr>
            <w:r>
              <w:t xml:space="preserve">–</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Behavioural/ABA Specialist</w:t>
            </w:r>
          </w:p>
        </w:tc>
        <w:tc>
          <w:tcPr/>
          <w:p>
            <w:pPr>
              <w:pStyle w:val="Compact"/>
              <w:jc w:val="right"/>
            </w:pPr>
            <w:r>
              <w:t xml:space="preserve">–</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Aquatic/Hydrotherapy Specialist</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jc w:val="left"/>
            </w:pPr>
            <w:r>
              <w:rPr>
                <w:bCs/>
                <w:b/>
              </w:rPr>
              <w:t xml:space="preserve">Shared / Support Services</w:t>
            </w:r>
          </w:p>
        </w:tc>
        <w:tc>
          <w:tcPr/>
          <w:p>
            <w:pPr>
              <w:pStyle w:val="Compact"/>
            </w:pPr>
          </w:p>
        </w:tc>
        <w:tc>
          <w:tcPr/>
          <w:p>
            <w:pPr>
              <w:pStyle w:val="Compact"/>
            </w:pPr>
          </w:p>
        </w:tc>
        <w:tc>
          <w:tcPr/>
          <w:p>
            <w:pPr>
              <w:pStyle w:val="Compact"/>
            </w:pPr>
          </w:p>
        </w:tc>
      </w:tr>
      <w:tr>
        <w:tc>
          <w:tcPr/>
          <w:p>
            <w:pPr>
              <w:pStyle w:val="Compact"/>
              <w:jc w:val="left"/>
            </w:pPr>
            <w:r>
              <w:t xml:space="preserve">Clinic / General Manager</w:t>
            </w:r>
          </w:p>
        </w:tc>
        <w:tc>
          <w:tcPr/>
          <w:p>
            <w:pPr>
              <w:pStyle w:val="Compact"/>
              <w:jc w:val="right"/>
            </w:pPr>
            <w:r>
              <w:t xml:space="preserve">–</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Medical Director (consulting Physiatrist, part-time)</w:t>
            </w:r>
          </w:p>
        </w:tc>
        <w:tc>
          <w:tcPr/>
          <w:p>
            <w:pPr>
              <w:pStyle w:val="Compact"/>
              <w:jc w:val="right"/>
            </w:pPr>
            <w:r>
              <w:t xml:space="preserve">1 (part-time)</w:t>
            </w:r>
          </w:p>
        </w:tc>
        <w:tc>
          <w:tcPr/>
          <w:p>
            <w:pPr>
              <w:pStyle w:val="Compact"/>
              <w:jc w:val="right"/>
            </w:pPr>
            <w:r>
              <w:t xml:space="preserve">1 (part-time)</w:t>
            </w:r>
          </w:p>
        </w:tc>
        <w:tc>
          <w:tcPr/>
          <w:p>
            <w:pPr>
              <w:pStyle w:val="Compact"/>
              <w:jc w:val="right"/>
            </w:pPr>
            <w:r>
              <w:t xml:space="preserve">1 (full-time)</w:t>
            </w:r>
          </w:p>
        </w:tc>
      </w:tr>
      <w:tr>
        <w:tc>
          <w:tcPr/>
          <w:p>
            <w:pPr>
              <w:pStyle w:val="Compact"/>
              <w:jc w:val="left"/>
            </w:pPr>
            <w:r>
              <w:t xml:space="preserve">Front Office / Reception</w:t>
            </w:r>
          </w:p>
        </w:tc>
        <w:tc>
          <w:tcPr/>
          <w:p>
            <w:pPr>
              <w:pStyle w:val="Compact"/>
              <w:jc w:val="right"/>
            </w:pPr>
            <w:r>
              <w:t xml:space="preserve">1</w:t>
            </w:r>
          </w:p>
        </w:tc>
        <w:tc>
          <w:tcPr/>
          <w:p>
            <w:pPr>
              <w:pStyle w:val="Compact"/>
              <w:jc w:val="right"/>
            </w:pPr>
            <w:r>
              <w:t xml:space="preserve">3</w:t>
            </w:r>
          </w:p>
        </w:tc>
        <w:tc>
          <w:tcPr/>
          <w:p>
            <w:pPr>
              <w:pStyle w:val="Compact"/>
              <w:jc w:val="right"/>
            </w:pPr>
            <w:r>
              <w:t xml:space="preserve">5</w:t>
            </w:r>
          </w:p>
        </w:tc>
      </w:tr>
      <w:tr>
        <w:tc>
          <w:tcPr/>
          <w:p>
            <w:pPr>
              <w:pStyle w:val="Compact"/>
              <w:jc w:val="left"/>
            </w:pPr>
            <w:r>
              <w:t xml:space="preserve">Patient Coordinator / Case Manager</w:t>
            </w:r>
          </w:p>
        </w:tc>
        <w:tc>
          <w:tcPr/>
          <w:p>
            <w:pPr>
              <w:pStyle w:val="Compact"/>
              <w:jc w:val="right"/>
            </w:pPr>
            <w:r>
              <w:t xml:space="preserve">–</w:t>
            </w:r>
          </w:p>
        </w:tc>
        <w:tc>
          <w:tcPr/>
          <w:p>
            <w:pPr>
              <w:pStyle w:val="Compact"/>
              <w:jc w:val="right"/>
            </w:pPr>
            <w:r>
              <w:t xml:space="preserve">2</w:t>
            </w:r>
          </w:p>
        </w:tc>
        <w:tc>
          <w:tcPr/>
          <w:p>
            <w:pPr>
              <w:pStyle w:val="Compact"/>
              <w:jc w:val="right"/>
            </w:pPr>
            <w:r>
              <w:t xml:space="preserve">4</w:t>
            </w:r>
          </w:p>
        </w:tc>
      </w:tr>
      <w:tr>
        <w:tc>
          <w:tcPr/>
          <w:p>
            <w:pPr>
              <w:pStyle w:val="Compact"/>
              <w:jc w:val="left"/>
            </w:pPr>
            <w:r>
              <w:t xml:space="preserve">Billing &amp; Insurance</w:t>
            </w:r>
          </w:p>
        </w:tc>
        <w:tc>
          <w:tcPr/>
          <w:p>
            <w:pPr>
              <w:pStyle w:val="Compact"/>
              <w:jc w:val="right"/>
            </w:pPr>
            <w:r>
              <w:t xml:space="preserve">–</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HR / Admin</w:t>
            </w:r>
          </w:p>
        </w:tc>
        <w:tc>
          <w:tcPr/>
          <w:p>
            <w:pPr>
              <w:pStyle w:val="Compact"/>
              <w:jc w:val="right"/>
            </w:pPr>
            <w:r>
              <w:t xml:space="preserve">–</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Marketing &amp; Patient Experience</w:t>
            </w:r>
          </w:p>
        </w:tc>
        <w:tc>
          <w:tcPr/>
          <w:p>
            <w:pPr>
              <w:pStyle w:val="Compact"/>
              <w:jc w:val="right"/>
            </w:pPr>
            <w:r>
              <w:t xml:space="preserve">–</w:t>
            </w:r>
          </w:p>
        </w:tc>
        <w:tc>
          <w:tcPr/>
          <w:p>
            <w:pPr>
              <w:pStyle w:val="Compact"/>
              <w:jc w:val="right"/>
            </w:pPr>
            <w:r>
              <w:t xml:space="preserve">2</w:t>
            </w:r>
          </w:p>
        </w:tc>
        <w:tc>
          <w:tcPr/>
          <w:p>
            <w:pPr>
              <w:pStyle w:val="Compact"/>
              <w:jc w:val="right"/>
            </w:pPr>
            <w:r>
              <w:t xml:space="preserve">3</w:t>
            </w:r>
          </w:p>
        </w:tc>
      </w:tr>
      <w:tr>
        <w:tc>
          <w:tcPr/>
          <w:p>
            <w:pPr>
              <w:pStyle w:val="Compact"/>
              <w:jc w:val="left"/>
            </w:pPr>
            <w:r>
              <w:t xml:space="preserve">IT Support</w:t>
            </w:r>
          </w:p>
        </w:tc>
        <w:tc>
          <w:tcPr/>
          <w:p>
            <w:pPr>
              <w:pStyle w:val="Compact"/>
              <w:jc w:val="right"/>
            </w:pPr>
            <w:r>
              <w:t xml:space="preserve">– (outsourced)</w:t>
            </w:r>
          </w:p>
        </w:tc>
        <w:tc>
          <w:tcPr/>
          <w:p>
            <w:pPr>
              <w:pStyle w:val="Compact"/>
              <w:jc w:val="right"/>
            </w:pPr>
            <w:r>
              <w:t xml:space="preserve">1 (part-time)</w:t>
            </w:r>
          </w:p>
        </w:tc>
        <w:tc>
          <w:tcPr/>
          <w:p>
            <w:pPr>
              <w:pStyle w:val="Compact"/>
              <w:jc w:val="right"/>
            </w:pPr>
            <w:r>
              <w:t xml:space="preserve">2</w:t>
            </w:r>
          </w:p>
        </w:tc>
      </w:tr>
      <w:tr>
        <w:tc>
          <w:tcPr/>
          <w:p>
            <w:pPr>
              <w:pStyle w:val="Compact"/>
              <w:jc w:val="left"/>
            </w:pPr>
            <w:r>
              <w:t xml:space="preserve">Housekeeping / Facilities</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r>
      <w:tr>
        <w:tc>
          <w:tcPr/>
          <w:p>
            <w:pPr>
              <w:pStyle w:val="Compact"/>
              <w:jc w:val="left"/>
            </w:pPr>
            <w:r>
              <w:t xml:space="preserve">Accountant / Finance</w:t>
            </w:r>
          </w:p>
        </w:tc>
        <w:tc>
          <w:tcPr/>
          <w:p>
            <w:pPr>
              <w:pStyle w:val="Compact"/>
              <w:jc w:val="right"/>
            </w:pPr>
            <w:r>
              <w:t xml:space="preserve">1 (outsourced)</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International Patient Liaison</w:t>
            </w:r>
          </w:p>
        </w:tc>
        <w:tc>
          <w:tcPr/>
          <w:p>
            <w:pPr>
              <w:pStyle w:val="Compact"/>
              <w:jc w:val="right"/>
            </w:pPr>
            <w:r>
              <w:t xml:space="preserve">–</w:t>
            </w:r>
          </w:p>
        </w:tc>
        <w:tc>
          <w:tcPr/>
          <w:p>
            <w:pPr>
              <w:pStyle w:val="Compact"/>
              <w:jc w:val="right"/>
            </w:pPr>
            <w:r>
              <w:t xml:space="preserve">–</w:t>
            </w:r>
          </w:p>
        </w:tc>
        <w:tc>
          <w:tcPr/>
          <w:p>
            <w:pPr>
              <w:pStyle w:val="Compact"/>
              <w:jc w:val="right"/>
            </w:pPr>
            <w:r>
              <w:t xml:space="preserve">1</w:t>
            </w:r>
          </w:p>
        </w:tc>
      </w:tr>
      <w:tr>
        <w:tc>
          <w:tcPr/>
          <w:p>
            <w:pPr>
              <w:pStyle w:val="Compact"/>
              <w:jc w:val="left"/>
            </w:pPr>
            <w:r>
              <w:rPr>
                <w:bCs/>
                <w:b/>
              </w:rPr>
              <w:t xml:space="preserve">Total headcount (approx.)</w:t>
            </w:r>
          </w:p>
        </w:tc>
        <w:tc>
          <w:tcPr/>
          <w:p>
            <w:pPr>
              <w:pStyle w:val="Compact"/>
              <w:jc w:val="right"/>
            </w:pPr>
            <w:r>
              <w:rPr>
                <w:bCs/>
                <w:b/>
              </w:rPr>
              <w:t xml:space="preserve">≈ 10</w:t>
            </w:r>
          </w:p>
        </w:tc>
        <w:tc>
          <w:tcPr/>
          <w:p>
            <w:pPr>
              <w:pStyle w:val="Compact"/>
              <w:jc w:val="right"/>
            </w:pPr>
            <w:r>
              <w:rPr>
                <w:bCs/>
                <w:b/>
              </w:rPr>
              <w:t xml:space="preserve">≈ 32</w:t>
            </w:r>
          </w:p>
        </w:tc>
        <w:tc>
          <w:tcPr/>
          <w:p>
            <w:pPr>
              <w:pStyle w:val="Compact"/>
              <w:jc w:val="right"/>
            </w:pPr>
            <w:r>
              <w:rPr>
                <w:bCs/>
                <w:b/>
              </w:rPr>
              <w:t xml:space="preserve">≈ 62</w:t>
            </w:r>
          </w:p>
        </w:tc>
      </w:tr>
    </w:tbl>
    <w:p>
      <w:pPr>
        <w:pStyle w:val="BodyText"/>
      </w:pPr>
      <w:r>
        <w:t xml:space="preserve">All clinical staff must hold valid syndicate registration and are subject to mandatory continuing-education requirements (minimum annual CPD hours defined in the Center’s SOPs). Pediatric and neuro departments maintain a minimum supervision ratio of one licensed therapist to two assistants/aides.</w:t>
      </w:r>
    </w:p>
    <w:p>
      <w:r>
        <w:pict>
          <v:rect style="width:0;height:1.5pt" o:hralign="center" o:hrstd="t" o:hr="t"/>
        </w:pict>
      </w:r>
    </w:p>
    <w:bookmarkEnd w:id="43"/>
    <w:bookmarkStart w:id="44" w:name="facility-layout"/>
    <w:p>
      <w:pPr>
        <w:pStyle w:val="Heading1"/>
      </w:pPr>
      <w:r>
        <w:t xml:space="preserve">11. Facility Layout</w:t>
      </w:r>
    </w:p>
    <w:p>
      <w:pPr>
        <w:pStyle w:val="FirstParagraph"/>
      </w:pPr>
      <w:r>
        <w:t xml:space="preserve">Indicative space allocation by option (percentage of total leased area):</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Zone</w:t>
            </w:r>
          </w:p>
        </w:tc>
        <w:tc>
          <w:tcPr/>
          <w:p>
            <w:pPr>
              <w:pStyle w:val="Compact"/>
              <w:jc w:val="right"/>
            </w:pPr>
            <w:r>
              <w:t xml:space="preserve">Option 1 (200 m²)</w:t>
            </w:r>
          </w:p>
        </w:tc>
        <w:tc>
          <w:tcPr/>
          <w:p>
            <w:pPr>
              <w:pStyle w:val="Compact"/>
              <w:jc w:val="right"/>
            </w:pPr>
            <w:r>
              <w:t xml:space="preserve">Option 2 (450 m²)</w:t>
            </w:r>
          </w:p>
        </w:tc>
        <w:tc>
          <w:tcPr/>
          <w:p>
            <w:pPr>
              <w:pStyle w:val="Compact"/>
              <w:jc w:val="right"/>
            </w:pPr>
            <w:r>
              <w:t xml:space="preserve">Option 3 (900 m²)</w:t>
            </w:r>
          </w:p>
        </w:tc>
      </w:tr>
      <w:tr>
        <w:tc>
          <w:tcPr/>
          <w:p>
            <w:pPr>
              <w:pStyle w:val="Compact"/>
              <w:jc w:val="left"/>
            </w:pPr>
            <w:r>
              <w:t xml:space="preserve">Reception, waiting &amp; patient check-in</w:t>
            </w:r>
          </w:p>
        </w:tc>
        <w:tc>
          <w:tcPr/>
          <w:p>
            <w:pPr>
              <w:pStyle w:val="Compact"/>
              <w:jc w:val="right"/>
            </w:pPr>
            <w:r>
              <w:t xml:space="preserve">10% (20 m²)</w:t>
            </w:r>
          </w:p>
        </w:tc>
        <w:tc>
          <w:tcPr/>
          <w:p>
            <w:pPr>
              <w:pStyle w:val="Compact"/>
              <w:jc w:val="right"/>
            </w:pPr>
            <w:r>
              <w:t xml:space="preserve">8% (36 m²)</w:t>
            </w:r>
          </w:p>
        </w:tc>
        <w:tc>
          <w:tcPr/>
          <w:p>
            <w:pPr>
              <w:pStyle w:val="Compact"/>
              <w:jc w:val="right"/>
            </w:pPr>
            <w:r>
              <w:t xml:space="preserve">8% (72 m²) — includes café/lounge corner</w:t>
            </w:r>
          </w:p>
        </w:tc>
      </w:tr>
      <w:tr>
        <w:tc>
          <w:tcPr/>
          <w:p>
            <w:pPr>
              <w:pStyle w:val="Compact"/>
              <w:jc w:val="left"/>
            </w:pPr>
            <w:r>
              <w:t xml:space="preserve">Orthopaedic &amp; Sports Dept (treatment bays + gym)</w:t>
            </w:r>
          </w:p>
        </w:tc>
        <w:tc>
          <w:tcPr/>
          <w:p>
            <w:pPr>
              <w:pStyle w:val="Compact"/>
              <w:jc w:val="right"/>
            </w:pPr>
            <w:r>
              <w:t xml:space="preserve">25% (50 m²)</w:t>
            </w:r>
          </w:p>
        </w:tc>
        <w:tc>
          <w:tcPr/>
          <w:p>
            <w:pPr>
              <w:pStyle w:val="Compact"/>
              <w:jc w:val="right"/>
            </w:pPr>
            <w:r>
              <w:t xml:space="preserve">24% (108 m²)</w:t>
            </w:r>
          </w:p>
        </w:tc>
        <w:tc>
          <w:tcPr/>
          <w:p>
            <w:pPr>
              <w:pStyle w:val="Compact"/>
              <w:jc w:val="right"/>
            </w:pPr>
            <w:r>
              <w:t xml:space="preserve">24% (216 m²)</w:t>
            </w:r>
          </w:p>
        </w:tc>
      </w:tr>
      <w:tr>
        <w:tc>
          <w:tcPr/>
          <w:p>
            <w:pPr>
              <w:pStyle w:val="Compact"/>
              <w:jc w:val="left"/>
            </w:pPr>
            <w:r>
              <w:t xml:space="preserve">Adult Neuro Dept (gym, mat area, ADL bay, cognitive room)</w:t>
            </w:r>
          </w:p>
        </w:tc>
        <w:tc>
          <w:tcPr/>
          <w:p>
            <w:pPr>
              <w:pStyle w:val="Compact"/>
              <w:jc w:val="right"/>
            </w:pPr>
            <w:r>
              <w:t xml:space="preserve">22% (44 m²)</w:t>
            </w:r>
          </w:p>
        </w:tc>
        <w:tc>
          <w:tcPr/>
          <w:p>
            <w:pPr>
              <w:pStyle w:val="Compact"/>
              <w:jc w:val="right"/>
            </w:pPr>
            <w:r>
              <w:t xml:space="preserve">22% (99 m²)</w:t>
            </w:r>
          </w:p>
        </w:tc>
        <w:tc>
          <w:tcPr/>
          <w:p>
            <w:pPr>
              <w:pStyle w:val="Compact"/>
              <w:jc w:val="right"/>
            </w:pPr>
            <w:r>
              <w:t xml:space="preserve">22% (198 m²)</w:t>
            </w:r>
          </w:p>
        </w:tc>
      </w:tr>
      <w:tr>
        <w:tc>
          <w:tcPr/>
          <w:p>
            <w:pPr>
              <w:pStyle w:val="Compact"/>
              <w:jc w:val="left"/>
            </w:pPr>
            <w:r>
              <w:t xml:space="preserve">Pediatric Dept (sensory room, fine-motor room, feeding area)</w:t>
            </w:r>
          </w:p>
        </w:tc>
        <w:tc>
          <w:tcPr/>
          <w:p>
            <w:pPr>
              <w:pStyle w:val="Compact"/>
              <w:jc w:val="right"/>
            </w:pPr>
            <w:r>
              <w:t xml:space="preserve">20% (40 m²)</w:t>
            </w:r>
          </w:p>
        </w:tc>
        <w:tc>
          <w:tcPr/>
          <w:p>
            <w:pPr>
              <w:pStyle w:val="Compact"/>
              <w:jc w:val="right"/>
            </w:pPr>
            <w:r>
              <w:t xml:space="preserve">20% (90 m²)</w:t>
            </w:r>
          </w:p>
        </w:tc>
        <w:tc>
          <w:tcPr/>
          <w:p>
            <w:pPr>
              <w:pStyle w:val="Compact"/>
              <w:jc w:val="right"/>
            </w:pPr>
            <w:r>
              <w:t xml:space="preserve">18% (162 m²)</w:t>
            </w:r>
          </w:p>
        </w:tc>
      </w:tr>
      <w:tr>
        <w:tc>
          <w:tcPr/>
          <w:p>
            <w:pPr>
              <w:pStyle w:val="Compact"/>
              <w:jc w:val="left"/>
            </w:pPr>
            <w:r>
              <w:t xml:space="preserve">Shared functional gym / group training</w:t>
            </w:r>
          </w:p>
        </w:tc>
        <w:tc>
          <w:tcPr/>
          <w:p>
            <w:pPr>
              <w:pStyle w:val="Compact"/>
              <w:jc w:val="right"/>
            </w:pPr>
            <w:r>
              <w:t xml:space="preserve">8% (16 m²)</w:t>
            </w:r>
          </w:p>
        </w:tc>
        <w:tc>
          <w:tcPr/>
          <w:p>
            <w:pPr>
              <w:pStyle w:val="Compact"/>
              <w:jc w:val="right"/>
            </w:pPr>
            <w:r>
              <w:t xml:space="preserve">8% (36 m²)</w:t>
            </w:r>
          </w:p>
        </w:tc>
        <w:tc>
          <w:tcPr/>
          <w:p>
            <w:pPr>
              <w:pStyle w:val="Compact"/>
              <w:jc w:val="right"/>
            </w:pPr>
            <w:r>
              <w:t xml:space="preserve">8% (72 m²)</w:t>
            </w:r>
          </w:p>
        </w:tc>
      </w:tr>
      <w:tr>
        <w:tc>
          <w:tcPr/>
          <w:p>
            <w:pPr>
              <w:pStyle w:val="Compact"/>
              <w:jc w:val="left"/>
            </w:pPr>
            <w:r>
              <w:t xml:space="preserve">Hydrotherapy pool / aquatic zone</w:t>
            </w:r>
          </w:p>
        </w:tc>
        <w:tc>
          <w:tcPr/>
          <w:p>
            <w:pPr>
              <w:pStyle w:val="Compact"/>
              <w:jc w:val="right"/>
            </w:pPr>
            <w:r>
              <w:t xml:space="preserve">–</w:t>
            </w:r>
          </w:p>
        </w:tc>
        <w:tc>
          <w:tcPr/>
          <w:p>
            <w:pPr>
              <w:pStyle w:val="Compact"/>
              <w:jc w:val="right"/>
            </w:pPr>
            <w:r>
              <w:t xml:space="preserve">4% (18 m² — therapy tub)</w:t>
            </w:r>
          </w:p>
        </w:tc>
        <w:tc>
          <w:tcPr/>
          <w:p>
            <w:pPr>
              <w:pStyle w:val="Compact"/>
              <w:jc w:val="right"/>
            </w:pPr>
            <w:r>
              <w:t xml:space="preserve">8% (72 m² — full pediatric + adult pool)</w:t>
            </w:r>
          </w:p>
        </w:tc>
      </w:tr>
      <w:tr>
        <w:tc>
          <w:tcPr/>
          <w:p>
            <w:pPr>
              <w:pStyle w:val="Compact"/>
              <w:jc w:val="left"/>
            </w:pPr>
            <w:r>
              <w:t xml:space="preserve">Admin offices, staff room, storage</w:t>
            </w:r>
          </w:p>
        </w:tc>
        <w:tc>
          <w:tcPr/>
          <w:p>
            <w:pPr>
              <w:pStyle w:val="Compact"/>
              <w:jc w:val="right"/>
            </w:pPr>
            <w:r>
              <w:t xml:space="preserve">10% (20 m²)</w:t>
            </w:r>
          </w:p>
        </w:tc>
        <w:tc>
          <w:tcPr/>
          <w:p>
            <w:pPr>
              <w:pStyle w:val="Compact"/>
              <w:jc w:val="right"/>
            </w:pPr>
            <w:r>
              <w:t xml:space="preserve">9% (40 m²)</w:t>
            </w:r>
          </w:p>
        </w:tc>
        <w:tc>
          <w:tcPr/>
          <w:p>
            <w:pPr>
              <w:pStyle w:val="Compact"/>
              <w:jc w:val="right"/>
            </w:pPr>
            <w:r>
              <w:t xml:space="preserve">8% (72 m²)</w:t>
            </w:r>
          </w:p>
        </w:tc>
      </w:tr>
      <w:tr>
        <w:tc>
          <w:tcPr/>
          <w:p>
            <w:pPr>
              <w:pStyle w:val="Compact"/>
              <w:jc w:val="left"/>
            </w:pPr>
            <w:r>
              <w:t xml:space="preserve">Circulation, accessibility ramps, restrooms (incl. accessible WC)</w:t>
            </w:r>
          </w:p>
        </w:tc>
        <w:tc>
          <w:tcPr/>
          <w:p>
            <w:pPr>
              <w:pStyle w:val="Compact"/>
              <w:jc w:val="right"/>
            </w:pPr>
            <w:r>
              <w:t xml:space="preserve">5% (10 m²)</w:t>
            </w:r>
          </w:p>
        </w:tc>
        <w:tc>
          <w:tcPr/>
          <w:p>
            <w:pPr>
              <w:pStyle w:val="Compact"/>
              <w:jc w:val="right"/>
            </w:pPr>
            <w:r>
              <w:t xml:space="preserve">5% (23 m²)</w:t>
            </w:r>
          </w:p>
        </w:tc>
        <w:tc>
          <w:tcPr/>
          <w:p>
            <w:pPr>
              <w:pStyle w:val="Compact"/>
              <w:jc w:val="right"/>
            </w:pPr>
            <w:r>
              <w:t xml:space="preserve">4% (36 m²)</w:t>
            </w:r>
          </w:p>
        </w:tc>
      </w:tr>
    </w:tbl>
    <w:p>
      <w:pPr>
        <w:pStyle w:val="BodyText"/>
      </w:pPr>
      <w:r>
        <w:rPr>
          <w:bCs/>
          <w:b/>
        </w:rPr>
        <w:t xml:space="preserve">Design principles (all options):</w:t>
      </w:r>
      <w:r>
        <w:t xml:space="preserve"> </w:t>
      </w:r>
      <w:r>
        <w:t xml:space="preserve">step-free access throughout, wide corridors for wheelchairs/gait trainers, non-slip medical-grade flooring, acoustic separation between the pediatric zone and adult neuro zone (sensory sensitivity), natural light in waiting and therapy areas, a discreet family/observation window into the pediatric room, and clear wayfinding signage in Arabic and English. Option 3 additionally features a biophilic/luxury interior design concept, a dedicated international-patient welcome lounge, and premium acoustic and lighting design throughout.</w:t>
      </w:r>
    </w:p>
    <w:p>
      <w:r>
        <w:pict>
          <v:rect style="width:0;height:1.5pt" o:hralign="center" o:hrstd="t" o:hr="t"/>
        </w:pict>
      </w:r>
    </w:p>
    <w:bookmarkEnd w:id="44"/>
    <w:bookmarkStart w:id="49" w:name="equipment-lists-by-department"/>
    <w:p>
      <w:pPr>
        <w:pStyle w:val="Heading1"/>
      </w:pPr>
      <w:r>
        <w:t xml:space="preserve">12. Equipment Lists by Department</w:t>
      </w:r>
    </w:p>
    <w:p>
      <w:pPr>
        <w:pStyle w:val="FirstParagraph"/>
      </w:pPr>
      <w:r>
        <w:rPr>
          <w:iCs/>
          <w:i/>
        </w:rPr>
        <w:t xml:space="preserve">(✓ = included; qty shown where relevant. Figures below correspond to the cost estimates in Section 20.)</w:t>
      </w:r>
    </w:p>
    <w:bookmarkStart w:id="45" w:name="orthopaedic-sports-rehabilitation"/>
    <w:p>
      <w:pPr>
        <w:pStyle w:val="Heading2"/>
      </w:pPr>
      <w:r>
        <w:t xml:space="preserve">12.1 Orthopaedic &amp; Sports Rehabilitation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Equipment</w:t>
            </w:r>
          </w:p>
        </w:tc>
        <w:tc>
          <w:tcPr/>
          <w:p>
            <w:pPr>
              <w:pStyle w:val="Compact"/>
              <w:jc w:val="left"/>
            </w:pPr>
            <w:r>
              <w:t xml:space="preserve">Option 1</w:t>
            </w:r>
          </w:p>
        </w:tc>
        <w:tc>
          <w:tcPr/>
          <w:p>
            <w:pPr>
              <w:pStyle w:val="Compact"/>
              <w:jc w:val="left"/>
            </w:pPr>
            <w:r>
              <w:t xml:space="preserve">Option 2</w:t>
            </w:r>
          </w:p>
        </w:tc>
        <w:tc>
          <w:tcPr/>
          <w:p>
            <w:pPr>
              <w:pStyle w:val="Compact"/>
              <w:jc w:val="left"/>
            </w:pPr>
            <w:r>
              <w:t xml:space="preserve">Option 3</w:t>
            </w:r>
          </w:p>
        </w:tc>
      </w:tr>
      <w:tr>
        <w:tc>
          <w:tcPr/>
          <w:p>
            <w:pPr>
              <w:pStyle w:val="Compact"/>
              <w:jc w:val="left"/>
            </w:pPr>
            <w:r>
              <w:t xml:space="preserve">Treatment plinths/tables</w:t>
            </w:r>
          </w:p>
        </w:tc>
        <w:tc>
          <w:tcPr/>
          <w:p>
            <w:pPr>
              <w:pStyle w:val="Compact"/>
              <w:jc w:val="left"/>
            </w:pPr>
            <w:r>
              <w:t xml:space="preserve">4</w:t>
            </w:r>
          </w:p>
        </w:tc>
        <w:tc>
          <w:tcPr/>
          <w:p>
            <w:pPr>
              <w:pStyle w:val="Compact"/>
              <w:jc w:val="left"/>
            </w:pPr>
            <w:r>
              <w:t xml:space="preserve">8</w:t>
            </w:r>
          </w:p>
        </w:tc>
        <w:tc>
          <w:tcPr/>
          <w:p>
            <w:pPr>
              <w:pStyle w:val="Compact"/>
              <w:jc w:val="left"/>
            </w:pPr>
            <w:r>
              <w:t xml:space="preserve">14</w:t>
            </w:r>
          </w:p>
        </w:tc>
      </w:tr>
      <w:tr>
        <w:tc>
          <w:tcPr/>
          <w:p>
            <w:pPr>
              <w:pStyle w:val="Compact"/>
              <w:jc w:val="left"/>
            </w:pPr>
            <w:r>
              <w:t xml:space="preserve">Parallel bars</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Therapeutic ultrasound unit</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NMES/TENS electrotherapy unit</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r>
        <w:tc>
          <w:tcPr/>
          <w:p>
            <w:pPr>
              <w:pStyle w:val="Compact"/>
              <w:jc w:val="left"/>
            </w:pPr>
            <w:r>
              <w:t xml:space="preserve">Shockwave therapy device</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Laser therapy device</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Cable/functional trainer</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Pilates reformer</w:t>
            </w:r>
          </w:p>
        </w:tc>
        <w:tc>
          <w:tcPr/>
          <w:p>
            <w:pPr>
              <w:pStyle w:val="Compact"/>
              <w:jc w:val="left"/>
            </w:pPr>
            <w:r>
              <w:t xml:space="preserve">–</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Stationary/recumbent exercise bikes</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r>
        <w:tc>
          <w:tcPr/>
          <w:p>
            <w:pPr>
              <w:pStyle w:val="Compact"/>
              <w:jc w:val="left"/>
            </w:pPr>
            <w:r>
              <w:t xml:space="preserve">Free weights, resistance bands, balance pads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Isokinetic dynamometer</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Anti-gravity treadmill (AlterG-type)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3D motion-capture / gait analysis system</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Cryotherapy unit</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Goniometers, dynamometers, assessment tools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5"/>
    <w:bookmarkStart w:id="46" w:name="adult-neurological-rehabilitation"/>
    <w:p>
      <w:pPr>
        <w:pStyle w:val="Heading2"/>
      </w:pPr>
      <w:r>
        <w:t xml:space="preserve">12.2 Adult Neurological Rehabilitation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Equipment</w:t>
            </w:r>
          </w:p>
        </w:tc>
        <w:tc>
          <w:tcPr/>
          <w:p>
            <w:pPr>
              <w:pStyle w:val="Compact"/>
              <w:jc w:val="left"/>
            </w:pPr>
            <w:r>
              <w:t xml:space="preserve">Option 1</w:t>
            </w:r>
          </w:p>
        </w:tc>
        <w:tc>
          <w:tcPr/>
          <w:p>
            <w:pPr>
              <w:pStyle w:val="Compact"/>
              <w:jc w:val="left"/>
            </w:pPr>
            <w:r>
              <w:t xml:space="preserve">Option 2</w:t>
            </w:r>
          </w:p>
        </w:tc>
        <w:tc>
          <w:tcPr/>
          <w:p>
            <w:pPr>
              <w:pStyle w:val="Compact"/>
              <w:jc w:val="left"/>
            </w:pPr>
            <w:r>
              <w:t xml:space="preserve">Option 3</w:t>
            </w:r>
          </w:p>
        </w:tc>
      </w:tr>
      <w:tr>
        <w:tc>
          <w:tcPr/>
          <w:p>
            <w:pPr>
              <w:pStyle w:val="Compact"/>
              <w:jc w:val="left"/>
            </w:pPr>
            <w:r>
              <w:t xml:space="preserve">Mat treatment tables</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Tilt table</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Standing frame</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Parallel bars / gait-training lane</w:t>
            </w:r>
          </w:p>
        </w:tc>
        <w:tc>
          <w:tcPr/>
          <w:p>
            <w:pPr>
              <w:pStyle w:val="Compact"/>
              <w:jc w:val="left"/>
            </w:pPr>
            <w:r>
              <w:t xml:space="preserve">shared with ortho</w:t>
            </w:r>
          </w:p>
        </w:tc>
        <w:tc>
          <w:tcPr/>
          <w:p>
            <w:pPr>
              <w:pStyle w:val="Compact"/>
              <w:jc w:val="left"/>
            </w:pPr>
            <w:r>
              <w:t xml:space="preserve">1 dedicated</w:t>
            </w:r>
          </w:p>
        </w:tc>
        <w:tc>
          <w:tcPr/>
          <w:p>
            <w:pPr>
              <w:pStyle w:val="Compact"/>
              <w:jc w:val="left"/>
            </w:pPr>
            <w:r>
              <w:t xml:space="preserve">1 dedicated</w:t>
            </w:r>
          </w:p>
        </w:tc>
      </w:tr>
      <w:tr>
        <w:tc>
          <w:tcPr/>
          <w:p>
            <w:pPr>
              <w:pStyle w:val="Compact"/>
              <w:jc w:val="left"/>
            </w:pPr>
            <w:r>
              <w:t xml:space="preserve">Manual/basic gait trainer</w:t>
            </w:r>
          </w:p>
        </w:tc>
        <w:tc>
          <w:tcPr/>
          <w:p>
            <w:pPr>
              <w:pStyle w:val="Compact"/>
              <w:jc w:val="left"/>
            </w:pPr>
            <w:r>
              <w:t xml:space="preserve">1</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Body-weight-support ceiling track system</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Robotic gait-training device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NMES/FES (functional electrical stimulation) unit</w:t>
            </w:r>
          </w:p>
        </w:tc>
        <w:tc>
          <w:tcPr/>
          <w:p>
            <w:pPr>
              <w:pStyle w:val="Compact"/>
              <w:jc w:val="left"/>
            </w:pPr>
            <w:r>
              <w:t xml:space="preserve">1</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ADL/kitchen simulation bay</w:t>
            </w:r>
          </w:p>
        </w:tc>
        <w:tc>
          <w:tcPr/>
          <w:p>
            <w:pPr>
              <w:pStyle w:val="Compact"/>
              <w:jc w:val="left"/>
            </w:pPr>
            <w:r>
              <w:t xml:space="preserve">basic</w:t>
            </w:r>
          </w:p>
        </w:tc>
        <w:tc>
          <w:tcPr/>
          <w:p>
            <w:pPr>
              <w:pStyle w:val="Compact"/>
              <w:jc w:val="left"/>
            </w:pPr>
            <w:r>
              <w:t xml:space="preserve">full</w:t>
            </w:r>
          </w:p>
        </w:tc>
        <w:tc>
          <w:tcPr/>
          <w:p>
            <w:pPr>
              <w:pStyle w:val="Compact"/>
              <w:jc w:val="left"/>
            </w:pPr>
            <w:r>
              <w:t xml:space="preserve">full + smart-home module</w:t>
            </w:r>
          </w:p>
        </w:tc>
      </w:tr>
      <w:tr>
        <w:tc>
          <w:tcPr/>
          <w:p>
            <w:pPr>
              <w:pStyle w:val="Compact"/>
              <w:jc w:val="left"/>
            </w:pPr>
            <w:r>
              <w:t xml:space="preserve">Cognitive rehabilitation software/tablets</w:t>
            </w:r>
          </w:p>
        </w:tc>
        <w:tc>
          <w:tcPr/>
          <w:p>
            <w:pPr>
              <w:pStyle w:val="Compact"/>
              <w:jc w:val="left"/>
            </w:pPr>
            <w:r>
              <w:t xml:space="preserve">1 station</w:t>
            </w:r>
          </w:p>
        </w:tc>
        <w:tc>
          <w:tcPr/>
          <w:p>
            <w:pPr>
              <w:pStyle w:val="Compact"/>
              <w:jc w:val="left"/>
            </w:pPr>
            <w:r>
              <w:t xml:space="preserve">3 stations</w:t>
            </w:r>
          </w:p>
        </w:tc>
        <w:tc>
          <w:tcPr/>
          <w:p>
            <w:pPr>
              <w:pStyle w:val="Compact"/>
              <w:jc w:val="left"/>
            </w:pPr>
            <w:r>
              <w:t xml:space="preserve">6 stations + VR rehab system</w:t>
            </w:r>
          </w:p>
        </w:tc>
      </w:tr>
      <w:tr>
        <w:tc>
          <w:tcPr/>
          <w:p>
            <w:pPr>
              <w:pStyle w:val="Compact"/>
              <w:jc w:val="left"/>
            </w:pPr>
            <w:r>
              <w:t xml:space="preserve">Wheelchair/mobility assessment tools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Standardised assessment kits (FIM, Berg, Fugl-Meyer)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6"/>
    <w:bookmarkStart w:id="47" w:name="pediatric-rehabilitation"/>
    <w:p>
      <w:pPr>
        <w:pStyle w:val="Heading2"/>
      </w:pPr>
      <w:r>
        <w:t xml:space="preserve">12.3 Pediatric Rehabilitation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Equipment</w:t>
            </w:r>
          </w:p>
        </w:tc>
        <w:tc>
          <w:tcPr/>
          <w:p>
            <w:pPr>
              <w:pStyle w:val="Compact"/>
              <w:jc w:val="left"/>
            </w:pPr>
            <w:r>
              <w:t xml:space="preserve">Option 1</w:t>
            </w:r>
          </w:p>
        </w:tc>
        <w:tc>
          <w:tcPr/>
          <w:p>
            <w:pPr>
              <w:pStyle w:val="Compact"/>
              <w:jc w:val="left"/>
            </w:pPr>
            <w:r>
              <w:t xml:space="preserve">Option 2</w:t>
            </w:r>
          </w:p>
        </w:tc>
        <w:tc>
          <w:tcPr/>
          <w:p>
            <w:pPr>
              <w:pStyle w:val="Compact"/>
              <w:jc w:val="left"/>
            </w:pPr>
            <w:r>
              <w:t xml:space="preserve">Option 3</w:t>
            </w:r>
          </w:p>
        </w:tc>
      </w:tr>
      <w:tr>
        <w:tc>
          <w:tcPr/>
          <w:p>
            <w:pPr>
              <w:pStyle w:val="Compact"/>
              <w:jc w:val="left"/>
            </w:pPr>
            <w:r>
              <w:t xml:space="preserve">Suspended therapy swings/frames</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Ball pit / crash mats</w:t>
            </w:r>
          </w:p>
        </w:tc>
        <w:tc>
          <w:tcPr/>
          <w:p>
            <w:pPr>
              <w:pStyle w:val="Compact"/>
              <w:jc w:val="left"/>
            </w:pPr>
            <w:r>
              <w:t xml:space="preserve">1 set</w:t>
            </w:r>
          </w:p>
        </w:tc>
        <w:tc>
          <w:tcPr/>
          <w:p>
            <w:pPr>
              <w:pStyle w:val="Compact"/>
              <w:jc w:val="left"/>
            </w:pPr>
            <w:r>
              <w:t xml:space="preserve">2 sets</w:t>
            </w:r>
          </w:p>
        </w:tc>
        <w:tc>
          <w:tcPr/>
          <w:p>
            <w:pPr>
              <w:pStyle w:val="Compact"/>
              <w:jc w:val="left"/>
            </w:pPr>
            <w:r>
              <w:t xml:space="preserve">3 sets + Snoezelen multi-sensory room</w:t>
            </w:r>
          </w:p>
        </w:tc>
      </w:tr>
      <w:tr>
        <w:tc>
          <w:tcPr/>
          <w:p>
            <w:pPr>
              <w:pStyle w:val="Compact"/>
              <w:jc w:val="left"/>
            </w:pPr>
            <w:r>
              <w:t xml:space="preserve">Fine-motor &amp; pre-academic skills toolkit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Therapeutic listening / auditory integration system</w:t>
            </w:r>
          </w:p>
        </w:tc>
        <w:tc>
          <w:tcPr/>
          <w:p>
            <w:pPr>
              <w:pStyle w:val="Compact"/>
              <w:jc w:val="left"/>
            </w:pPr>
            <w:r>
              <w:t xml:space="preserv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Feeding-therapy tools</w:t>
            </w:r>
          </w:p>
        </w:tc>
        <w:tc>
          <w:tcPr/>
          <w:p>
            <w:pPr>
              <w:pStyle w:val="Compact"/>
              <w:jc w:val="left"/>
            </w:pPr>
            <w:r>
              <w:t xml:space="preserve">basic</w:t>
            </w:r>
          </w:p>
        </w:tc>
        <w:tc>
          <w:tcPr/>
          <w:p>
            <w:pPr>
              <w:pStyle w:val="Compact"/>
              <w:jc w:val="left"/>
            </w:pPr>
            <w:r>
              <w:t xml:space="preserve">full</w:t>
            </w:r>
          </w:p>
        </w:tc>
        <w:tc>
          <w:tcPr/>
          <w:p>
            <w:pPr>
              <w:pStyle w:val="Compact"/>
              <w:jc w:val="left"/>
            </w:pPr>
            <w:r>
              <w:t xml:space="preserve">full</w:t>
            </w:r>
          </w:p>
        </w:tc>
      </w:tr>
      <w:tr>
        <w:tc>
          <w:tcPr/>
          <w:p>
            <w:pPr>
              <w:pStyle w:val="Compact"/>
              <w:jc w:val="left"/>
            </w:pPr>
            <w:r>
              <w:t xml:space="preserve">Weighted vests/blankets, brushing kits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Gross-motor gym mats &amp; equipment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Pediatric hydrotherapy pool</w:t>
            </w:r>
          </w:p>
        </w:tc>
        <w:tc>
          <w:tcPr/>
          <w:p>
            <w:pPr>
              <w:pStyle w:val="Compact"/>
              <w:jc w:val="left"/>
            </w:pPr>
            <w:r>
              <w:t xml:space="preserve">–</w:t>
            </w:r>
          </w:p>
        </w:tc>
        <w:tc>
          <w:tcPr/>
          <w:p>
            <w:pPr>
              <w:pStyle w:val="Compact"/>
              <w:jc w:val="left"/>
            </w:pPr>
            <w:r>
              <w:t xml:space="preserve">shared adult tub</w:t>
            </w:r>
          </w:p>
        </w:tc>
        <w:tc>
          <w:tcPr/>
          <w:p>
            <w:pPr>
              <w:pStyle w:val="Compact"/>
              <w:jc w:val="left"/>
            </w:pPr>
            <w:r>
              <w:t xml:space="preserve">dedicated pediatric pool</w:t>
            </w:r>
          </w:p>
        </w:tc>
      </w:tr>
      <w:tr>
        <w:tc>
          <w:tcPr/>
          <w:p>
            <w:pPr>
              <w:pStyle w:val="Compact"/>
              <w:jc w:val="left"/>
            </w:pPr>
            <w:r>
              <w:t xml:space="preserve">VR/gamified therapy system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Robotic pediatric gait-training device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Standardised assessment kits (PEDI, Sensory Profile)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7"/>
    <w:bookmarkStart w:id="48" w:name="shared-facility-wide"/>
    <w:p>
      <w:pPr>
        <w:pStyle w:val="Heading2"/>
      </w:pPr>
      <w:r>
        <w:t xml:space="preserve">12.4 Shared / Facility-wide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Equipment</w:t>
            </w:r>
          </w:p>
        </w:tc>
        <w:tc>
          <w:tcPr/>
          <w:p>
            <w:pPr>
              <w:pStyle w:val="Compact"/>
              <w:jc w:val="left"/>
            </w:pPr>
            <w:r>
              <w:t xml:space="preserve">Option 1</w:t>
            </w:r>
          </w:p>
        </w:tc>
        <w:tc>
          <w:tcPr/>
          <w:p>
            <w:pPr>
              <w:pStyle w:val="Compact"/>
              <w:jc w:val="left"/>
            </w:pPr>
            <w:r>
              <w:t xml:space="preserve">Option 2</w:t>
            </w:r>
          </w:p>
        </w:tc>
        <w:tc>
          <w:tcPr/>
          <w:p>
            <w:pPr>
              <w:pStyle w:val="Compact"/>
              <w:jc w:val="left"/>
            </w:pPr>
            <w:r>
              <w:t xml:space="preserve">Option 3</w:t>
            </w:r>
          </w:p>
        </w:tc>
      </w:tr>
      <w:tr>
        <w:tc>
          <w:tcPr/>
          <w:p>
            <w:pPr>
              <w:pStyle w:val="Compact"/>
              <w:jc w:val="left"/>
            </w:pPr>
            <w:r>
              <w:t xml:space="preserve">Reception &amp; waiting furniture</w:t>
            </w:r>
          </w:p>
        </w:tc>
        <w:tc>
          <w:tcPr/>
          <w:p>
            <w:pPr>
              <w:pStyle w:val="Compact"/>
              <w:jc w:val="left"/>
            </w:pPr>
            <w:r>
              <w:t xml:space="preserve">basic</w:t>
            </w:r>
          </w:p>
        </w:tc>
        <w:tc>
          <w:tcPr/>
          <w:p>
            <w:pPr>
              <w:pStyle w:val="Compact"/>
              <w:jc w:val="left"/>
            </w:pPr>
            <w:r>
              <w:t xml:space="preserve">mid-range</w:t>
            </w:r>
          </w:p>
        </w:tc>
        <w:tc>
          <w:tcPr/>
          <w:p>
            <w:pPr>
              <w:pStyle w:val="Compact"/>
              <w:jc w:val="left"/>
            </w:pPr>
            <w:r>
              <w:t xml:space="preserve">premium + café corner</w:t>
            </w:r>
          </w:p>
        </w:tc>
      </w:tr>
      <w:tr>
        <w:tc>
          <w:tcPr/>
          <w:p>
            <w:pPr>
              <w:pStyle w:val="Compact"/>
              <w:jc w:val="left"/>
            </w:pPr>
            <w:r>
              <w:t xml:space="preserve">EMR/clinic-management terminals</w:t>
            </w:r>
          </w:p>
        </w:tc>
        <w:tc>
          <w:tcPr/>
          <w:p>
            <w:pPr>
              <w:pStyle w:val="Compact"/>
              <w:jc w:val="left"/>
            </w:pPr>
            <w:r>
              <w:t xml:space="preserve">2</w:t>
            </w:r>
          </w:p>
        </w:tc>
        <w:tc>
          <w:tcPr/>
          <w:p>
            <w:pPr>
              <w:pStyle w:val="Compact"/>
              <w:jc w:val="left"/>
            </w:pPr>
            <w:r>
              <w:t xml:space="preserve">6</w:t>
            </w:r>
          </w:p>
        </w:tc>
        <w:tc>
          <w:tcPr/>
          <w:p>
            <w:pPr>
              <w:pStyle w:val="Compact"/>
              <w:jc w:val="left"/>
            </w:pPr>
            <w:r>
              <w:t xml:space="preserve">12</w:t>
            </w:r>
          </w:p>
        </w:tc>
      </w:tr>
      <w:tr>
        <w:tc>
          <w:tcPr/>
          <w:p>
            <w:pPr>
              <w:pStyle w:val="Compact"/>
              <w:jc w:val="left"/>
            </w:pPr>
            <w:r>
              <w:t xml:space="preserve">CCTV &amp; access control</w:t>
            </w:r>
          </w:p>
        </w:tc>
        <w:tc>
          <w:tcPr/>
          <w:p>
            <w:pPr>
              <w:pStyle w:val="Compact"/>
              <w:jc w:val="left"/>
            </w:pPr>
            <w:r>
              <w:t xml:space="preserve">basic</w:t>
            </w:r>
          </w:p>
        </w:tc>
        <w:tc>
          <w:tcPr/>
          <w:p>
            <w:pPr>
              <w:pStyle w:val="Compact"/>
              <w:jc w:val="left"/>
            </w:pPr>
            <w:r>
              <w:t xml:space="preserve">standard</w:t>
            </w:r>
          </w:p>
        </w:tc>
        <w:tc>
          <w:tcPr/>
          <w:p>
            <w:pPr>
              <w:pStyle w:val="Compact"/>
              <w:jc w:val="left"/>
            </w:pPr>
            <w:r>
              <w:t xml:space="preserve">biometric access + advanced CCTV</w:t>
            </w:r>
          </w:p>
        </w:tc>
      </w:tr>
      <w:tr>
        <w:tc>
          <w:tcPr/>
          <w:p>
            <w:pPr>
              <w:pStyle w:val="Compact"/>
              <w:jc w:val="left"/>
            </w:pPr>
            <w:r>
              <w:t xml:space="preserve">Hydrotherapy pool (shared)</w:t>
            </w:r>
          </w:p>
        </w:tc>
        <w:tc>
          <w:tcPr/>
          <w:p>
            <w:pPr>
              <w:pStyle w:val="Compact"/>
              <w:jc w:val="left"/>
            </w:pPr>
            <w:r>
              <w:t xml:space="preserve">–</w:t>
            </w:r>
          </w:p>
        </w:tc>
        <w:tc>
          <w:tcPr/>
          <w:p>
            <w:pPr>
              <w:pStyle w:val="Compact"/>
              <w:jc w:val="left"/>
            </w:pPr>
            <w:r>
              <w:t xml:space="preserve">18 m² tub</w:t>
            </w:r>
          </w:p>
        </w:tc>
        <w:tc>
          <w:tcPr/>
          <w:p>
            <w:pPr>
              <w:pStyle w:val="Compact"/>
              <w:jc w:val="left"/>
            </w:pPr>
            <w:r>
              <w:t xml:space="preserve">72 m² pool (adult + pediatric zones)</w:t>
            </w:r>
          </w:p>
        </w:tc>
      </w:tr>
      <w:tr>
        <w:tc>
          <w:tcPr/>
          <w:p>
            <w:pPr>
              <w:pStyle w:val="Compact"/>
              <w:jc w:val="left"/>
            </w:pPr>
            <w:r>
              <w:t xml:space="preserve">Telehealth studio</w:t>
            </w:r>
          </w:p>
        </w:tc>
        <w:tc>
          <w:tcPr/>
          <w:p>
            <w:pPr>
              <w:pStyle w:val="Compact"/>
              <w:jc w:val="left"/>
            </w:pPr>
            <w:r>
              <w:t xml:space="preserve">–</w:t>
            </w:r>
          </w:p>
        </w:tc>
        <w:tc>
          <w:tcPr/>
          <w:p>
            <w:pPr>
              <w:pStyle w:val="Compact"/>
              <w:jc w:val="left"/>
            </w:pPr>
            <w:r>
              <w:t xml:space="preserve">1 room</w:t>
            </w:r>
          </w:p>
        </w:tc>
        <w:tc>
          <w:tcPr/>
          <w:p>
            <w:pPr>
              <w:pStyle w:val="Compact"/>
              <w:jc w:val="left"/>
            </w:pPr>
            <w:r>
              <w:t xml:space="preserve">2 rooms</w:t>
            </w:r>
          </w:p>
        </w:tc>
      </w:tr>
      <w:tr>
        <w:tc>
          <w:tcPr/>
          <w:p>
            <w:pPr>
              <w:pStyle w:val="Compact"/>
              <w:jc w:val="left"/>
            </w:pPr>
            <w:r>
              <w:t xml:space="preserve">Staff room &amp; lockers</w:t>
            </w:r>
          </w:p>
        </w:tc>
        <w:tc>
          <w:tcPr/>
          <w:p>
            <w:pPr>
              <w:pStyle w:val="Compact"/>
              <w:jc w:val="left"/>
            </w:pPr>
            <w:r>
              <w:t xml:space="preserve">basic</w:t>
            </w:r>
          </w:p>
        </w:tc>
        <w:tc>
          <w:tcPr/>
          <w:p>
            <w:pPr>
              <w:pStyle w:val="Compact"/>
              <w:jc w:val="left"/>
            </w:pPr>
            <w:r>
              <w:t xml:space="preserve">full</w:t>
            </w:r>
          </w:p>
        </w:tc>
        <w:tc>
          <w:tcPr/>
          <w:p>
            <w:pPr>
              <w:pStyle w:val="Compact"/>
              <w:jc w:val="left"/>
            </w:pPr>
            <w:r>
              <w:t xml:space="preserve">full + wellness room</w:t>
            </w:r>
          </w:p>
        </w:tc>
      </w:tr>
    </w:tbl>
    <w:p>
      <w:r>
        <w:pict>
          <v:rect style="width:0;height:1.5pt" o:hralign="center" o:hrstd="t" o:hr="t"/>
        </w:pict>
      </w:r>
    </w:p>
    <w:bookmarkEnd w:id="48"/>
    <w:bookmarkEnd w:id="49"/>
    <w:bookmarkStart w:id="50" w:name="technology-software"/>
    <w:p>
      <w:pPr>
        <w:pStyle w:val="Heading1"/>
      </w:pPr>
      <w:r>
        <w:t xml:space="preserve">13. Technology &amp; Software</w:t>
      </w:r>
    </w:p>
    <w:p>
      <w:pPr>
        <w:numPr>
          <w:ilvl w:val="0"/>
          <w:numId w:val="1016"/>
        </w:numPr>
        <w:pStyle w:val="Compact"/>
      </w:pPr>
      <w:r>
        <w:rPr>
          <w:bCs/>
          <w:b/>
        </w:rPr>
        <w:t xml:space="preserve">Clinic/Practice Management &amp; EMR:</w:t>
      </w:r>
      <w:r>
        <w:t xml:space="preserve"> </w:t>
      </w:r>
      <w:r>
        <w:t xml:space="preserve">cloud-based electronic medical record with scheduling, e-signatures for consent, standardised outcome-measure tracking, and role-based access across departments (Option 1: entry-level SaaS EMR; Option 2/3: comprehensive EMR with patient portal and telehealth module).</w:t>
      </w:r>
    </w:p>
    <w:p>
      <w:pPr>
        <w:numPr>
          <w:ilvl w:val="0"/>
          <w:numId w:val="1016"/>
        </w:numPr>
        <w:pStyle w:val="Compact"/>
      </w:pPr>
      <w:r>
        <w:rPr>
          <w:bCs/>
          <w:b/>
        </w:rPr>
        <w:t xml:space="preserve">Patient engagement:</w:t>
      </w:r>
      <w:r>
        <w:t xml:space="preserve"> </w:t>
      </w:r>
      <w:r>
        <w:t xml:space="preserve">SMS/WhatsApp appointment reminders, online booking widget, patient portal/app for home-exercise-programme delivery (Option 2/3), outcome dashboards shared with patients.</w:t>
      </w:r>
    </w:p>
    <w:p>
      <w:pPr>
        <w:numPr>
          <w:ilvl w:val="0"/>
          <w:numId w:val="1016"/>
        </w:numPr>
        <w:pStyle w:val="Compact"/>
      </w:pPr>
      <w:r>
        <w:rPr>
          <w:bCs/>
          <w:b/>
        </w:rPr>
        <w:t xml:space="preserve">Telehealth module:</w:t>
      </w:r>
      <w:r>
        <w:t xml:space="preserve"> </w:t>
      </w:r>
      <w:r>
        <w:t xml:space="preserve">for follow-up consultations, caregiver coaching, and (Option 3) international patient tele-consultations ahead of travel.</w:t>
      </w:r>
    </w:p>
    <w:p>
      <w:pPr>
        <w:numPr>
          <w:ilvl w:val="0"/>
          <w:numId w:val="1016"/>
        </w:numPr>
        <w:pStyle w:val="Compact"/>
      </w:pPr>
      <w:r>
        <w:rPr>
          <w:bCs/>
          <w:b/>
        </w:rPr>
        <w:t xml:space="preserve">Billing &amp; insurance integration:</w:t>
      </w:r>
      <w:r>
        <w:t xml:space="preserve"> </w:t>
      </w:r>
      <w:r>
        <w:t xml:space="preserve">invoicing, insurance-claim submission tracking, POS payment integration.</w:t>
      </w:r>
    </w:p>
    <w:p>
      <w:pPr>
        <w:numPr>
          <w:ilvl w:val="0"/>
          <w:numId w:val="1016"/>
        </w:numPr>
        <w:pStyle w:val="Compact"/>
      </w:pPr>
      <w:r>
        <w:rPr>
          <w:bCs/>
          <w:b/>
        </w:rPr>
        <w:t xml:space="preserve">Business intelligence:</w:t>
      </w:r>
      <w:r>
        <w:t xml:space="preserve"> </w:t>
      </w:r>
      <w:r>
        <w:t xml:space="preserve">dashboards for occupancy, revenue per department, therapist productivity, and patient-reported outcome trends (Option 2/3), with predictive analytics and AI-assisted scheduling optimisation at Option 3.</w:t>
      </w:r>
    </w:p>
    <w:p>
      <w:pPr>
        <w:numPr>
          <w:ilvl w:val="0"/>
          <w:numId w:val="1016"/>
        </w:numPr>
        <w:pStyle w:val="Compact"/>
      </w:pPr>
      <w:r>
        <w:rPr>
          <w:bCs/>
          <w:b/>
        </w:rPr>
        <w:t xml:space="preserve">Marketing &amp; CRM:</w:t>
      </w:r>
      <w:r>
        <w:t xml:space="preserve"> </w:t>
      </w:r>
      <w:r>
        <w:t xml:space="preserve">lead tracking from digital campaigns through to booked assessment, referral-source tracking per department.</w:t>
      </w:r>
    </w:p>
    <w:p>
      <w:pPr>
        <w:numPr>
          <w:ilvl w:val="0"/>
          <w:numId w:val="1016"/>
        </w:numPr>
        <w:pStyle w:val="Compact"/>
      </w:pPr>
      <w:r>
        <w:rPr>
          <w:bCs/>
          <w:b/>
        </w:rPr>
        <w:t xml:space="preserve">Cybersecurity &amp; compliance:</w:t>
      </w:r>
      <w:r>
        <w:t xml:space="preserve"> </w:t>
      </w:r>
      <w:r>
        <w:t xml:space="preserve">encrypted data storage, access logging, and compliance with Egypt’s Personal Data Protection Law 151/2020; regular backups and a documented data-retention policy.</w:t>
      </w:r>
    </w:p>
    <w:p>
      <w:pPr>
        <w:numPr>
          <w:ilvl w:val="0"/>
          <w:numId w:val="1016"/>
        </w:numPr>
        <w:pStyle w:val="Compact"/>
      </w:pPr>
      <w:r>
        <w:rPr>
          <w:bCs/>
          <w:b/>
        </w:rPr>
        <w:t xml:space="preserve">Biomedical/technical equipment IT (Option 3):</w:t>
      </w:r>
      <w:r>
        <w:t xml:space="preserve"> </w:t>
      </w:r>
      <w:r>
        <w:t xml:space="preserve">integration of robotics and VR rehabilitation systems with the EMR for automated outcome capture; in-house biomedical engineer for maintenance.</w:t>
      </w:r>
    </w:p>
    <w:p>
      <w:r>
        <w:pict>
          <v:rect style="width:0;height:1.5pt" o:hralign="center" o:hrstd="t" o:hr="t"/>
        </w:pict>
      </w:r>
    </w:p>
    <w:bookmarkEnd w:id="50"/>
    <w:bookmarkStart w:id="51" w:name="operational-plan"/>
    <w:p>
      <w:pPr>
        <w:pStyle w:val="Heading1"/>
      </w:pPr>
      <w:r>
        <w:t xml:space="preserve">14. Operational Plan</w:t>
      </w:r>
    </w:p>
    <w:p>
      <w:pPr>
        <w:pStyle w:val="FirstParagraph"/>
      </w:pPr>
      <w:r>
        <w:rPr>
          <w:bCs/>
          <w:b/>
        </w:rPr>
        <w:t xml:space="preserve">Hours of operation:</w:t>
      </w:r>
      <w:r>
        <w:t xml:space="preserve"> </w:t>
      </w:r>
      <w:r>
        <w:t xml:space="preserve">7 days/week coverage recommended (e.g., Saturday–Thursday full hours, Friday reduced hours), 10–12 operating hours/day to maximise equipment and room utilisation across working professionals, school-age children (after-school slots) and stay-at-home patients (morning slots).</w:t>
      </w:r>
    </w:p>
    <w:p>
      <w:pPr>
        <w:pStyle w:val="BodyText"/>
      </w:pPr>
      <w:r>
        <w:rPr>
          <w:bCs/>
          <w:b/>
        </w:rPr>
        <w:t xml:space="preserve">Patient flow:</w:t>
      </w:r>
    </w:p>
    <w:p>
      <w:pPr>
        <w:numPr>
          <w:ilvl w:val="0"/>
          <w:numId w:val="1017"/>
        </w:numPr>
        <w:pStyle w:val="Compact"/>
      </w:pPr>
      <w:r>
        <w:t xml:space="preserve">Referral (physician, hospital, school) or self-referral via phone/WhatsApp/online booking</w:t>
      </w:r>
    </w:p>
    <w:p>
      <w:pPr>
        <w:numPr>
          <w:ilvl w:val="0"/>
          <w:numId w:val="1017"/>
        </w:numPr>
        <w:pStyle w:val="Compact"/>
      </w:pPr>
      <w:r>
        <w:t xml:space="preserve">Front-office intake: registration, insurance verification, consent forms (EMR)</w:t>
      </w:r>
    </w:p>
    <w:p>
      <w:pPr>
        <w:numPr>
          <w:ilvl w:val="0"/>
          <w:numId w:val="1017"/>
        </w:numPr>
        <w:pStyle w:val="Compact"/>
      </w:pPr>
      <w:r>
        <w:t xml:space="preserve">Initial evaluation with the relevant Department Head or Senior Therapist (standardised assessment tools per specialty)</w:t>
      </w:r>
    </w:p>
    <w:p>
      <w:pPr>
        <w:numPr>
          <w:ilvl w:val="0"/>
          <w:numId w:val="1017"/>
        </w:numPr>
        <w:pStyle w:val="Compact"/>
      </w:pPr>
      <w:r>
        <w:t xml:space="preserve">Individualised treatment plan with goals, frequency and expected duration communicated to patient/family</w:t>
      </w:r>
    </w:p>
    <w:p>
      <w:pPr>
        <w:numPr>
          <w:ilvl w:val="0"/>
          <w:numId w:val="1017"/>
        </w:numPr>
        <w:pStyle w:val="Compact"/>
      </w:pPr>
      <w:r>
        <w:t xml:space="preserve">Course of treatment sessions per plan; case-conference flagging for any patient requiring input from a second department</w:t>
      </w:r>
    </w:p>
    <w:p>
      <w:pPr>
        <w:numPr>
          <w:ilvl w:val="0"/>
          <w:numId w:val="1017"/>
        </w:numPr>
        <w:pStyle w:val="Compact"/>
      </w:pPr>
      <w:r>
        <w:t xml:space="preserve">Scheduled re-assessment milestones (every 2–4 weeks depending on department)</w:t>
      </w:r>
    </w:p>
    <w:p>
      <w:pPr>
        <w:numPr>
          <w:ilvl w:val="0"/>
          <w:numId w:val="1017"/>
        </w:numPr>
        <w:pStyle w:val="Compact"/>
      </w:pPr>
      <w:r>
        <w:t xml:space="preserve">Discharge planning: home programme, referral back to physician, or transition to maintenance/wellness plan</w:t>
      </w:r>
    </w:p>
    <w:p>
      <w:pPr>
        <w:pStyle w:val="FirstParagraph"/>
      </w:pPr>
      <w:r>
        <w:rPr>
          <w:bCs/>
          <w:b/>
        </w:rPr>
        <w:t xml:space="preserve">Scheduling &amp; capacity management:</w:t>
      </w:r>
      <w:r>
        <w:t xml:space="preserve"> </w:t>
      </w:r>
      <w:r>
        <w:t xml:space="preserve">centralised EMR scheduling across all therapists and rooms; overbooking buffer for no-shows; a documented no-show/cancellation policy (see Section 15).</w:t>
      </w:r>
    </w:p>
    <w:p>
      <w:pPr>
        <w:pStyle w:val="BodyText"/>
      </w:pPr>
      <w:r>
        <w:rPr>
          <w:bCs/>
          <w:b/>
        </w:rPr>
        <w:t xml:space="preserve">Quality assurance:</w:t>
      </w:r>
      <w:r>
        <w:t xml:space="preserve"> </w:t>
      </w:r>
      <w:r>
        <w:t xml:space="preserve">standardised, validated outcome measures per department (e.g., DASH/Lower Extremity Functional Scale for ortho; FIM/Berg Balance/Fugl-Meyer for neuro; PEDI/Sensory Profile for pediatrics), reviewed quarterly at department and Center level; patient satisfaction surveys after discharge; monthly interdisciplinary case-review meetings.</w:t>
      </w:r>
    </w:p>
    <w:p>
      <w:pPr>
        <w:pStyle w:val="BodyText"/>
      </w:pPr>
      <w:r>
        <w:rPr>
          <w:bCs/>
          <w:b/>
        </w:rPr>
        <w:t xml:space="preserve">Equipment maintenance:</w:t>
      </w:r>
      <w:r>
        <w:t xml:space="preserve"> </w:t>
      </w:r>
      <w:r>
        <w:t xml:space="preserve">documented preventive-maintenance schedule per device, calibration logs for electrotherapy/modality equipment, service contracts with equipment vendors (critical for Option 3 robotics/VR systems).</w:t>
      </w:r>
    </w:p>
    <w:p>
      <w:pPr>
        <w:pStyle w:val="BodyText"/>
      </w:pPr>
      <w:r>
        <w:rPr>
          <w:bCs/>
          <w:b/>
        </w:rPr>
        <w:t xml:space="preserve">Health &amp; safety / infection control:</w:t>
      </w:r>
      <w:r>
        <w:t xml:space="preserve"> </w:t>
      </w:r>
      <w:r>
        <w:t xml:space="preserve">standard infection-control protocol (hand hygiene, equipment sanitisation between patients, PPE where indicated), fire-safety and emergency-evacuation plan, first-aid/CPR-certified staff on every shift, biomedical waste segregation and licensed disposal contract.</w:t>
      </w:r>
    </w:p>
    <w:p>
      <w:r>
        <w:pict>
          <v:rect style="width:0;height:1.5pt" o:hralign="center" o:hrstd="t" o:hr="t"/>
        </w:pict>
      </w:r>
    </w:p>
    <w:bookmarkEnd w:id="51"/>
    <w:bookmarkStart w:id="52" w:name="policies-sops-summary"/>
    <w:p>
      <w:pPr>
        <w:pStyle w:val="Heading1"/>
      </w:pPr>
      <w:r>
        <w:t xml:space="preserve">15. Policies &amp; SOPs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Policy area</w:t>
            </w:r>
          </w:p>
        </w:tc>
        <w:tc>
          <w:tcPr/>
          <w:p>
            <w:pPr>
              <w:pStyle w:val="Compact"/>
              <w:jc w:val="left"/>
            </w:pPr>
            <w:r>
              <w:t xml:space="preserve">Key elements</w:t>
            </w:r>
          </w:p>
        </w:tc>
      </w:tr>
      <w:tr>
        <w:tc>
          <w:tcPr/>
          <w:p>
            <w:pPr>
              <w:pStyle w:val="Compact"/>
              <w:jc w:val="left"/>
            </w:pPr>
            <w:r>
              <w:t xml:space="preserve">Patient intake &amp; consent</w:t>
            </w:r>
          </w:p>
        </w:tc>
        <w:tc>
          <w:tcPr/>
          <w:p>
            <w:pPr>
              <w:pStyle w:val="Compact"/>
              <w:jc w:val="left"/>
            </w:pPr>
            <w:r>
              <w:t xml:space="preserve">Standardised intake forms, informed consent for treatment and for photo/video use in marketing (opt-in only), insurance verification workflow</w:t>
            </w:r>
          </w:p>
        </w:tc>
      </w:tr>
      <w:tr>
        <w:tc>
          <w:tcPr/>
          <w:p>
            <w:pPr>
              <w:pStyle w:val="Compact"/>
              <w:jc w:val="left"/>
            </w:pPr>
            <w:r>
              <w:t xml:space="preserve">Confidentiality &amp; data protection</w:t>
            </w:r>
          </w:p>
        </w:tc>
        <w:tc>
          <w:tcPr/>
          <w:p>
            <w:pPr>
              <w:pStyle w:val="Compact"/>
              <w:jc w:val="left"/>
            </w:pPr>
            <w:r>
              <w:t xml:space="preserve">Compliance with Law 151/2020; role-based EMR access; secure storage; breach-notification protocol</w:t>
            </w:r>
          </w:p>
        </w:tc>
      </w:tr>
      <w:tr>
        <w:tc>
          <w:tcPr/>
          <w:p>
            <w:pPr>
              <w:pStyle w:val="Compact"/>
              <w:jc w:val="left"/>
            </w:pPr>
            <w:r>
              <w:t xml:space="preserve">Cancellation / no-show</w:t>
            </w:r>
          </w:p>
        </w:tc>
        <w:tc>
          <w:tcPr/>
          <w:p>
            <w:pPr>
              <w:pStyle w:val="Compact"/>
              <w:jc w:val="left"/>
            </w:pPr>
            <w:r>
              <w:t xml:space="preserve">24-hour cancellation notice; no-show fee policy after defined threshold; automated reminder system</w:t>
            </w:r>
          </w:p>
        </w:tc>
      </w:tr>
      <w:tr>
        <w:tc>
          <w:tcPr/>
          <w:p>
            <w:pPr>
              <w:pStyle w:val="Compact"/>
              <w:jc w:val="left"/>
            </w:pPr>
            <w:r>
              <w:t xml:space="preserve">Infection control</w:t>
            </w:r>
          </w:p>
        </w:tc>
        <w:tc>
          <w:tcPr/>
          <w:p>
            <w:pPr>
              <w:pStyle w:val="Compact"/>
              <w:jc w:val="left"/>
            </w:pPr>
            <w:r>
              <w:t xml:space="preserve">Standard precautions, equipment cleaning log, linen/PPE protocol</w:t>
            </w:r>
          </w:p>
        </w:tc>
      </w:tr>
      <w:tr>
        <w:tc>
          <w:tcPr/>
          <w:p>
            <w:pPr>
              <w:pStyle w:val="Compact"/>
              <w:jc w:val="left"/>
            </w:pPr>
            <w:r>
              <w:t xml:space="preserve">Clinical supervision</w:t>
            </w:r>
          </w:p>
        </w:tc>
        <w:tc>
          <w:tcPr/>
          <w:p>
            <w:pPr>
              <w:pStyle w:val="Compact"/>
              <w:jc w:val="left"/>
            </w:pPr>
            <w:r>
              <w:t xml:space="preserve">Minimum supervision ratios for assistants/aides (1 licensed therapist : 2 assistants); pediatric sessions never unsupervised</w:t>
            </w:r>
          </w:p>
        </w:tc>
      </w:tr>
      <w:tr>
        <w:tc>
          <w:tcPr/>
          <w:p>
            <w:pPr>
              <w:pStyle w:val="Compact"/>
              <w:jc w:val="left"/>
            </w:pPr>
            <w:r>
              <w:t xml:space="preserve">Staff credentialing &amp; CPD</w:t>
            </w:r>
          </w:p>
        </w:tc>
        <w:tc>
          <w:tcPr/>
          <w:p>
            <w:pPr>
              <w:pStyle w:val="Compact"/>
              <w:jc w:val="left"/>
            </w:pPr>
            <w:r>
              <w:t xml:space="preserve">Syndicate registration verified before hire; minimum annual CPD hours; internal case-based training sessions</w:t>
            </w:r>
          </w:p>
        </w:tc>
      </w:tr>
      <w:tr>
        <w:tc>
          <w:tcPr/>
          <w:p>
            <w:pPr>
              <w:pStyle w:val="Compact"/>
              <w:jc w:val="left"/>
            </w:pPr>
            <w:r>
              <w:t xml:space="preserve">Incident reporting</w:t>
            </w:r>
          </w:p>
        </w:tc>
        <w:tc>
          <w:tcPr/>
          <w:p>
            <w:pPr>
              <w:pStyle w:val="Compact"/>
              <w:jc w:val="left"/>
            </w:pPr>
            <w:r>
              <w:t xml:space="preserve">Standardised incident/near-miss reporting form; monthly safety review at management level</w:t>
            </w:r>
          </w:p>
        </w:tc>
      </w:tr>
      <w:tr>
        <w:tc>
          <w:tcPr/>
          <w:p>
            <w:pPr>
              <w:pStyle w:val="Compact"/>
              <w:jc w:val="left"/>
            </w:pPr>
            <w:r>
              <w:t xml:space="preserve">Billing &amp; insurance</w:t>
            </w:r>
          </w:p>
        </w:tc>
        <w:tc>
          <w:tcPr/>
          <w:p>
            <w:pPr>
              <w:pStyle w:val="Compact"/>
              <w:jc w:val="left"/>
            </w:pPr>
            <w:r>
              <w:t xml:space="preserve">Transparent published price list; pre-authorisation workflow for insured patients; dispute-resolution process</w:t>
            </w:r>
          </w:p>
        </w:tc>
      </w:tr>
      <w:tr>
        <w:tc>
          <w:tcPr/>
          <w:p>
            <w:pPr>
              <w:pStyle w:val="Compact"/>
              <w:jc w:val="left"/>
            </w:pPr>
            <w:r>
              <w:t xml:space="preserve">Discharge &amp; referral</w:t>
            </w:r>
          </w:p>
        </w:tc>
        <w:tc>
          <w:tcPr/>
          <w:p>
            <w:pPr>
              <w:pStyle w:val="Compact"/>
              <w:jc w:val="left"/>
            </w:pPr>
            <w:r>
              <w:t xml:space="preserve">Documented discharge summary shared with referring physician; home-programme hand-off checklist</w:t>
            </w:r>
          </w:p>
        </w:tc>
      </w:tr>
      <w:tr>
        <w:tc>
          <w:tcPr/>
          <w:p>
            <w:pPr>
              <w:pStyle w:val="Compact"/>
              <w:jc w:val="left"/>
            </w:pPr>
            <w:r>
              <w:t xml:space="preserve">Code of conduct</w:t>
            </w:r>
          </w:p>
        </w:tc>
        <w:tc>
          <w:tcPr/>
          <w:p>
            <w:pPr>
              <w:pStyle w:val="Compact"/>
              <w:jc w:val="left"/>
            </w:pPr>
            <w:r>
              <w:t xml:space="preserve">Professional-ethics code aligned with respective syndicate standards; zero-tolerance harassment policy</w:t>
            </w:r>
          </w:p>
        </w:tc>
      </w:tr>
    </w:tbl>
    <w:p>
      <w:r>
        <w:pict>
          <v:rect style="width:0;height:1.5pt" o:hralign="center" o:hrstd="t" o:hr="t"/>
        </w:pict>
      </w:r>
    </w:p>
    <w:bookmarkEnd w:id="52"/>
    <w:bookmarkStart w:id="53" w:name="marketing-strategy"/>
    <w:p>
      <w:pPr>
        <w:pStyle w:val="Heading1"/>
      </w:pPr>
      <w:r>
        <w:t xml:space="preserve">16. Marketing Strategy</w:t>
      </w:r>
    </w:p>
    <w:p>
      <w:pPr>
        <w:numPr>
          <w:ilvl w:val="0"/>
          <w:numId w:val="1018"/>
        </w:numPr>
        <w:pStyle w:val="Compact"/>
      </w:pPr>
      <w:r>
        <w:rPr>
          <w:bCs/>
          <w:b/>
        </w:rPr>
        <w:t xml:space="preserve">Digital-first acquisition:</w:t>
      </w:r>
      <w:r>
        <w:t xml:space="preserve"> </w:t>
      </w:r>
      <w:r>
        <w:t xml:space="preserve">SEO-optimised website and department-specific landing pages; targeted Instagram/Facebook/TikTok campaigns geo-targeted to New Cairo compounds; Google Ads for high-intent searches (</w:t>
      </w:r>
      <w:r>
        <w:t xml:space="preserve">“</w:t>
      </w:r>
      <w:r>
        <w:t xml:space="preserve">physiotherapy New Cairo,</w:t>
      </w:r>
      <w:r>
        <w:t xml:space="preserve">”</w:t>
      </w:r>
      <w:r>
        <w:t xml:space="preserve"> </w:t>
      </w:r>
      <w:r>
        <w:t xml:space="preserve">“</w:t>
      </w:r>
      <w:r>
        <w:t xml:space="preserve">pediatric occupational therapy Fifth Settlement,</w:t>
      </w:r>
      <w:r>
        <w:t xml:space="preserve">”</w:t>
      </w:r>
      <w:r>
        <w:t xml:space="preserve"> </w:t>
      </w:r>
      <w:r>
        <w:t xml:space="preserve">“</w:t>
      </w:r>
      <w:r>
        <w:t xml:space="preserve">stroke rehabilitation Cairo</w:t>
      </w:r>
      <w:r>
        <w:t xml:space="preserve">”</w:t>
      </w:r>
      <w:r>
        <w:t xml:space="preserve">).</w:t>
      </w:r>
    </w:p>
    <w:p>
      <w:pPr>
        <w:numPr>
          <w:ilvl w:val="0"/>
          <w:numId w:val="1018"/>
        </w:numPr>
        <w:pStyle w:val="Compact"/>
      </w:pPr>
      <w:r>
        <w:rPr>
          <w:bCs/>
          <w:b/>
        </w:rPr>
        <w:t xml:space="preserve">Referral-network development:</w:t>
      </w:r>
      <w:r>
        <w:t xml:space="preserve"> </w:t>
      </w:r>
      <w:r>
        <w:t xml:space="preserve">structured outreach to orthopaedic surgeons, neurologists, pediatricians and hospital discharge planners in New Cairo; referral-tracking and physician-liaison visits; co-branded educational material for referring physicians.</w:t>
      </w:r>
    </w:p>
    <w:p>
      <w:pPr>
        <w:numPr>
          <w:ilvl w:val="0"/>
          <w:numId w:val="1018"/>
        </w:numPr>
        <w:pStyle w:val="Compact"/>
      </w:pPr>
      <w:r>
        <w:rPr>
          <w:bCs/>
          <w:b/>
        </w:rPr>
        <w:t xml:space="preserve">School &amp; community partnerships (Pediatric):</w:t>
      </w:r>
      <w:r>
        <w:t xml:space="preserve"> </w:t>
      </w:r>
      <w:r>
        <w:t xml:space="preserve">relationships with New Cairo international/national schools for screening days and teacher-referral pathways; parenting-community engagement (parent WhatsApp groups, compound community pages).</w:t>
      </w:r>
    </w:p>
    <w:p>
      <w:pPr>
        <w:numPr>
          <w:ilvl w:val="0"/>
          <w:numId w:val="1018"/>
        </w:numPr>
        <w:pStyle w:val="Compact"/>
      </w:pPr>
      <w:r>
        <w:rPr>
          <w:bCs/>
          <w:b/>
        </w:rPr>
        <w:t xml:space="preserve">Sports-club &amp; gym partnerships (Ortho/Sports):</w:t>
      </w:r>
      <w:r>
        <w:t xml:space="preserve"> </w:t>
      </w:r>
      <w:r>
        <w:t xml:space="preserve">on-site injury-screening days at New Cairo padel/football/gym clubs; sponsorship of local amateur sports events.</w:t>
      </w:r>
    </w:p>
    <w:p>
      <w:pPr>
        <w:numPr>
          <w:ilvl w:val="0"/>
          <w:numId w:val="1018"/>
        </w:numPr>
        <w:pStyle w:val="Compact"/>
      </w:pPr>
      <w:r>
        <w:rPr>
          <w:bCs/>
          <w:b/>
        </w:rPr>
        <w:t xml:space="preserve">Corporate &amp; insurance channel:</w:t>
      </w:r>
      <w:r>
        <w:t xml:space="preserve"> </w:t>
      </w:r>
      <w:r>
        <w:t xml:space="preserve">direct outreach to corporate HR departments for occupational-health/wellness contracts; applications to become a credentialed network provider for major private insurers.</w:t>
      </w:r>
    </w:p>
    <w:p>
      <w:pPr>
        <w:numPr>
          <w:ilvl w:val="0"/>
          <w:numId w:val="1018"/>
        </w:numPr>
        <w:pStyle w:val="Compact"/>
      </w:pPr>
      <w:r>
        <w:rPr>
          <w:bCs/>
          <w:b/>
        </w:rPr>
        <w:t xml:space="preserve">Content &amp; authority marketing:</w:t>
      </w:r>
      <w:r>
        <w:t xml:space="preserve"> </w:t>
      </w:r>
      <w:r>
        <w:t xml:space="preserve">founder-led educational content (Instagram Reels/YouTube shorts) establishing each founder as the recognised New Cairo authority in her specialty; patient success stories (with consent).</w:t>
      </w:r>
    </w:p>
    <w:p>
      <w:pPr>
        <w:numPr>
          <w:ilvl w:val="0"/>
          <w:numId w:val="1018"/>
        </w:numPr>
        <w:pStyle w:val="Compact"/>
      </w:pPr>
      <w:r>
        <w:rPr>
          <w:bCs/>
          <w:b/>
        </w:rPr>
        <w:t xml:space="preserve">Referral/loyalty programme:</w:t>
      </w:r>
      <w:r>
        <w:t xml:space="preserve"> </w:t>
      </w:r>
      <w:r>
        <w:t xml:space="preserve">patient-referral incentive, family/sibling package pricing, multi-session package discounts.</w:t>
      </w:r>
    </w:p>
    <w:p>
      <w:pPr>
        <w:numPr>
          <w:ilvl w:val="0"/>
          <w:numId w:val="1018"/>
        </w:numPr>
        <w:pStyle w:val="Compact"/>
      </w:pPr>
      <w:r>
        <w:rPr>
          <w:bCs/>
          <w:b/>
        </w:rPr>
        <w:t xml:space="preserve">Launch campaign:</w:t>
      </w:r>
      <w:r>
        <w:t xml:space="preserve"> </w:t>
      </w:r>
      <w:r>
        <w:t xml:space="preserve">open-house/soft-launch event with free screening clinics per department; local press and healthcare-influencer coverage; (Option 3) PR agency-led luxury launch and medical-tourism outreach via Gulf-facing channels.</w:t>
      </w:r>
    </w:p>
    <w:p>
      <w:r>
        <w:pict>
          <v:rect style="width:0;height:1.5pt" o:hralign="center" o:hrstd="t" o:hr="t"/>
        </w:pict>
      </w:r>
    </w:p>
    <w:bookmarkEnd w:id="53"/>
    <w:bookmarkStart w:id="54" w:name="branding-strategy"/>
    <w:p>
      <w:pPr>
        <w:pStyle w:val="Heading1"/>
      </w:pPr>
      <w:r>
        <w:t xml:space="preserve">17. Branding Strategy</w:t>
      </w:r>
    </w:p>
    <w:p>
      <w:pPr>
        <w:numPr>
          <w:ilvl w:val="0"/>
          <w:numId w:val="1019"/>
        </w:numPr>
        <w:pStyle w:val="Compact"/>
      </w:pPr>
      <w:r>
        <w:rPr>
          <w:bCs/>
          <w:b/>
        </w:rPr>
        <w:t xml:space="preserve">Brand name:</w:t>
      </w:r>
      <w:r>
        <w:t xml:space="preserve"> </w:t>
      </w:r>
      <w:r>
        <w:rPr>
          <w:iCs/>
          <w:i/>
        </w:rPr>
        <w:t xml:space="preserve">TRIAD</w:t>
      </w:r>
      <w:r>
        <w:t xml:space="preserve"> </w:t>
      </w:r>
      <w:r>
        <w:t xml:space="preserve">— chosen to reflect the three founders, three departments and three specialties unified under one center (Arabic working name:</w:t>
      </w:r>
      <w:r>
        <w:t xml:space="preserve"> </w:t>
      </w:r>
      <w:r>
        <w:rPr>
          <w:iCs/>
          <w:i/>
        </w:rPr>
        <w:t xml:space="preserve">مركز ترياد للتأهيل والعلاج الطبيعي متعدد التخصصات</w:t>
      </w:r>
      <w:r>
        <w:t xml:space="preserve">, short form</w:t>
      </w:r>
      <w:r>
        <w:t xml:space="preserve"> </w:t>
      </w:r>
      <w:r>
        <w:rPr>
          <w:iCs/>
          <w:i/>
        </w:rPr>
        <w:t xml:space="preserve">مركز ترياد</w:t>
      </w:r>
      <w:r>
        <w:t xml:space="preserve">).</w:t>
      </w:r>
    </w:p>
    <w:p>
      <w:pPr>
        <w:numPr>
          <w:ilvl w:val="0"/>
          <w:numId w:val="1019"/>
        </w:numPr>
        <w:pStyle w:val="Compact"/>
      </w:pPr>
      <w:r>
        <w:rPr>
          <w:bCs/>
          <w:b/>
        </w:rPr>
        <w:t xml:space="preserve">Brand concept:</w:t>
      </w:r>
      <w:r>
        <w:t xml:space="preserve"> </w:t>
      </w:r>
      <w:r>
        <w:t xml:space="preserve">“</w:t>
      </w:r>
      <w:r>
        <w:t xml:space="preserve">Three Specialties. One Journey to Recovery.</w:t>
      </w:r>
      <w:r>
        <w:t xml:space="preserve">”</w:t>
      </w:r>
      <w:r>
        <w:t xml:space="preserve"> </w:t>
      </w:r>
      <w:r>
        <w:t xml:space="preserve">— communicating multidisciplinary depth without fragmentation.</w:t>
      </w:r>
    </w:p>
    <w:p>
      <w:pPr>
        <w:numPr>
          <w:ilvl w:val="0"/>
          <w:numId w:val="1019"/>
        </w:numPr>
        <w:pStyle w:val="Compact"/>
      </w:pPr>
      <w:r>
        <w:rPr>
          <w:bCs/>
          <w:b/>
        </w:rPr>
        <w:t xml:space="preserve">Visual identity:</w:t>
      </w:r>
      <w:r>
        <w:t xml:space="preserve"> </w:t>
      </w:r>
      <w:r>
        <w:t xml:space="preserve">a calm, clinical-yet-warm palette (deep teal/navy paired with a warm coral/amber accent), a logo motif of three interlocking forms, clean modern typography readable in both Latin and Arabic scripts.</w:t>
      </w:r>
    </w:p>
    <w:p>
      <w:pPr>
        <w:numPr>
          <w:ilvl w:val="0"/>
          <w:numId w:val="1019"/>
        </w:numPr>
        <w:pStyle w:val="Compact"/>
      </w:pPr>
      <w:r>
        <w:rPr>
          <w:bCs/>
          <w:b/>
        </w:rPr>
        <w:t xml:space="preserve">Brand pillars:</w:t>
      </w:r>
      <w:r>
        <w:t xml:space="preserve"> </w:t>
      </w:r>
      <w:r>
        <w:t xml:space="preserve">Expertise (senior, credentialed founders), Compassion (patient- and family-centred communication), Collaboration (the multidisciplinary promise).</w:t>
      </w:r>
    </w:p>
    <w:p>
      <w:pPr>
        <w:numPr>
          <w:ilvl w:val="0"/>
          <w:numId w:val="1019"/>
        </w:numPr>
        <w:pStyle w:val="Compact"/>
      </w:pPr>
      <w:r>
        <w:rPr>
          <w:bCs/>
          <w:b/>
        </w:rPr>
        <w:t xml:space="preserve">Tone of voice:</w:t>
      </w:r>
      <w:r>
        <w:t xml:space="preserve"> </w:t>
      </w:r>
      <w:r>
        <w:t xml:space="preserve">warm, reassuring, plain-language (avoiding clinical jargon with patients), confident and evidence-based in physician-facing material.</w:t>
      </w:r>
    </w:p>
    <w:p>
      <w:pPr>
        <w:numPr>
          <w:ilvl w:val="0"/>
          <w:numId w:val="1019"/>
        </w:numPr>
        <w:pStyle w:val="Compact"/>
      </w:pPr>
      <w:r>
        <w:rPr>
          <w:bCs/>
          <w:b/>
        </w:rPr>
        <w:t xml:space="preserve">Experience design:</w:t>
      </w:r>
      <w:r>
        <w:t xml:space="preserve"> </w:t>
      </w:r>
      <w:r>
        <w:t xml:space="preserve">consistent uniform/signage/waiting-room experience across departments so a patient recognises</w:t>
      </w:r>
      <w:r>
        <w:t xml:space="preserve"> </w:t>
      </w:r>
      <w:r>
        <w:t xml:space="preserve">“</w:t>
      </w:r>
      <w:r>
        <w:t xml:space="preserve">one center,</w:t>
      </w:r>
      <w:r>
        <w:t xml:space="preserve">”</w:t>
      </w:r>
      <w:r>
        <w:t xml:space="preserve"> </w:t>
      </w:r>
      <w:r>
        <w:t xml:space="preserve">even while each department retains a distinct sub-identity (colour-coded signage per department, for example).</w:t>
      </w:r>
    </w:p>
    <w:p>
      <w:pPr>
        <w:numPr>
          <w:ilvl w:val="0"/>
          <w:numId w:val="1019"/>
        </w:numPr>
        <w:pStyle w:val="Compact"/>
      </w:pPr>
      <w:r>
        <w:rPr>
          <w:bCs/>
          <w:b/>
        </w:rPr>
        <w:t xml:space="preserve">(Option 3) Premium brand extensions:</w:t>
      </w:r>
      <w:r>
        <w:t xml:space="preserve"> </w:t>
      </w:r>
      <w:r>
        <w:t xml:space="preserve">branded patient welcome kit, concierge check-in, signature interior scent/soundscape, bilingual international-patient collateral.</w:t>
      </w:r>
    </w:p>
    <w:p>
      <w:r>
        <w:pict>
          <v:rect style="width:0;height:1.5pt" o:hralign="center" o:hrstd="t" o:hr="t"/>
        </w:pict>
      </w:r>
    </w:p>
    <w:bookmarkEnd w:id="54"/>
    <w:bookmarkStart w:id="55" w:name="financial-plan-overview"/>
    <w:p>
      <w:pPr>
        <w:pStyle w:val="Heading1"/>
      </w:pPr>
      <w:r>
        <w:t xml:space="preserve">18. Financial Plan — Overview</w:t>
      </w:r>
    </w:p>
    <w:p>
      <w:pPr>
        <w:pStyle w:val="FirstParagraph"/>
      </w:pPr>
      <w:r>
        <w:t xml:space="preserve">All figures are in Egyptian Pounds (EGP) unless stated, with indicative USD equivalents at</w:t>
      </w:r>
      <w:r>
        <w:t xml:space="preserve"> </w:t>
      </w:r>
      <w:r>
        <w:rPr>
          <w:bCs/>
          <w:b/>
        </w:rPr>
        <w:t xml:space="preserve">USD 1 = EGP 50</w:t>
      </w:r>
      <w:r>
        <w:t xml:space="preserve"> </w:t>
      </w:r>
      <w:r>
        <w:t xml:space="preserve">(July 2026; EGP has ranged roughly EGP 48.7–51.5/USD over the preceding month, so investors should stress-test figures at ±10–15%). Figures are planning estimates pending a formal feasibility study, architectural quote and vendor procurement; they are presented to illustrate the shape and sensitivity of the business model, not as guaranteed outcomes.</w:t>
      </w:r>
    </w:p>
    <w:p>
      <w:pPr>
        <w:pStyle w:val="BodyText"/>
      </w:pPr>
      <w:r>
        <w:rPr>
          <w:bCs/>
          <w:b/>
        </w:rPr>
        <w:t xml:space="preserve">Common financial methodology across all three options:</w:t>
      </w:r>
    </w:p>
    <w:p>
      <w:pPr>
        <w:numPr>
          <w:ilvl w:val="0"/>
          <w:numId w:val="1020"/>
        </w:numPr>
        <w:pStyle w:val="Compact"/>
      </w:pPr>
      <w:r>
        <w:rPr>
          <w:iCs/>
          <w:i/>
        </w:rPr>
        <w:t xml:space="preserve">Start-up investment</w:t>
      </w:r>
      <w:r>
        <w:t xml:space="preserve"> </w:t>
      </w:r>
      <w:r>
        <w:t xml:space="preserve">= renovation/interior design + equipment (by department) + licensing &amp; legal + technology setup + launch marketing + furniture/signage + rent deposit + working-capital reserve.</w:t>
      </w:r>
    </w:p>
    <w:p>
      <w:pPr>
        <w:numPr>
          <w:ilvl w:val="0"/>
          <w:numId w:val="1020"/>
        </w:numPr>
        <w:pStyle w:val="Compact"/>
      </w:pPr>
      <w:r>
        <w:rPr>
          <w:iCs/>
          <w:i/>
        </w:rPr>
        <w:t xml:space="preserve">Revenue</w:t>
      </w:r>
      <w:r>
        <w:t xml:space="preserve"> </w:t>
      </w:r>
      <w:r>
        <w:t xml:space="preserve">modelled bottom-up from clinical capacity (treatment stations × operating hours × sessions/hour), an average blended session price per option, and a 3-year utilisation ramp (occupancy of theoretical maximum daily capacity).</w:t>
      </w:r>
    </w:p>
    <w:p>
      <w:pPr>
        <w:numPr>
          <w:ilvl w:val="0"/>
          <w:numId w:val="1020"/>
        </w:numPr>
        <w:pStyle w:val="Compact"/>
      </w:pPr>
      <w:r>
        <w:rPr>
          <w:iCs/>
          <w:i/>
        </w:rPr>
        <w:t xml:space="preserve">Break-even</w:t>
      </w:r>
      <w:r>
        <w:t xml:space="preserve"> </w:t>
      </w:r>
      <w:r>
        <w:t xml:space="preserve">= Fixed monthly operating costs ÷ contribution margin per session (session price less variable cost/session, estimated at 8–9% of price for consumables/variable utilities).</w:t>
      </w:r>
    </w:p>
    <w:p>
      <w:pPr>
        <w:numPr>
          <w:ilvl w:val="0"/>
          <w:numId w:val="1020"/>
        </w:numPr>
        <w:pStyle w:val="Compact"/>
      </w:pPr>
      <w:r>
        <w:rPr>
          <w:iCs/>
          <w:i/>
        </w:rPr>
        <w:t xml:space="preserve">ROI/payback</w:t>
      </w:r>
      <w:r>
        <w:t xml:space="preserve"> </w:t>
      </w:r>
      <w:r>
        <w:t xml:space="preserve">presented two ways: (a)</w:t>
      </w:r>
      <w:r>
        <w:t xml:space="preserve"> </w:t>
      </w:r>
      <w:r>
        <w:rPr>
          <w:bCs/>
          <w:b/>
        </w:rPr>
        <w:t xml:space="preserve">stabilised payback</w:t>
      </w:r>
      <w:r>
        <w:t xml:space="preserve"> </w:t>
      </w:r>
      <w:r>
        <w:t xml:space="preserve">= total investment ÷ Year-3 annualised EBITDA run-rate (the standard clinic-economics measure, since Years 1–2 include planned ramp-up losses); and (b)</w:t>
      </w:r>
      <w:r>
        <w:t xml:space="preserve"> </w:t>
      </w:r>
      <w:r>
        <w:rPr>
          <w:bCs/>
          <w:b/>
        </w:rPr>
        <w:t xml:space="preserve">cumulative payback</w:t>
      </w:r>
      <w:r>
        <w:t xml:space="preserve">, which nets the Year 1–2 ramp-up losses against the investment before recovery begins.</w:t>
      </w:r>
    </w:p>
    <w:p>
      <w:r>
        <w:pict>
          <v:rect style="width:0;height:1.5pt" o:hralign="center" o:hrstd="t" o:hr="t"/>
        </w:pict>
      </w:r>
    </w:p>
    <w:bookmarkEnd w:id="55"/>
    <w:bookmarkStart w:id="62" w:name="option-1-lowest-budget-essential"/>
    <w:p>
      <w:pPr>
        <w:pStyle w:val="Heading1"/>
      </w:pPr>
      <w:r>
        <w:t xml:space="preserve">19. Option 1 — Lowest Budget (</w:t>
      </w:r>
      <w:r>
        <w:t xml:space="preserve">“</w:t>
      </w:r>
      <w:r>
        <w:t xml:space="preserve">Essential</w:t>
      </w:r>
      <w:r>
        <w:t xml:space="preserve">”</w:t>
      </w:r>
      <w:r>
        <w:t xml:space="preserve">)</w:t>
      </w:r>
    </w:p>
    <w:p>
      <w:pPr>
        <w:pStyle w:val="FirstParagraph"/>
      </w:pPr>
      <w:r>
        <w:rPr>
          <w:bCs/>
          <w:b/>
        </w:rPr>
        <w:t xml:space="preserve">Positioning:</w:t>
      </w:r>
      <w:r>
        <w:t xml:space="preserve"> </w:t>
      </w:r>
      <w:r>
        <w:t xml:space="preserve">the minimum viable investment to open a credible, professional, three-department rehabilitation clinic in the Fifth Settlement — lean team, essential evidence-based equipment, no luxury finishes, founders carrying the majority of the clinical caseload themselves.</w:t>
      </w:r>
    </w:p>
    <w:bookmarkStart w:id="56" w:name="start-up-costs"/>
    <w:p>
      <w:pPr>
        <w:pStyle w:val="Heading3"/>
      </w:pPr>
      <w:r>
        <w:t xml:space="preserve">19.1 Start-up costs</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Item</w:t>
            </w:r>
          </w:p>
        </w:tc>
        <w:tc>
          <w:tcPr/>
          <w:p>
            <w:pPr>
              <w:pStyle w:val="Compact"/>
              <w:jc w:val="right"/>
            </w:pPr>
            <w:r>
              <w:t xml:space="preserve">EGP</w:t>
            </w:r>
          </w:p>
        </w:tc>
        <w:tc>
          <w:tcPr/>
          <w:p>
            <w:pPr>
              <w:pStyle w:val="Compact"/>
              <w:jc w:val="right"/>
            </w:pPr>
            <w:r>
              <w:t xml:space="preserve">USD (≈)</w:t>
            </w:r>
          </w:p>
        </w:tc>
      </w:tr>
      <w:tr>
        <w:tc>
          <w:tcPr/>
          <w:p>
            <w:pPr>
              <w:pStyle w:val="Compact"/>
              <w:jc w:val="left"/>
            </w:pPr>
            <w:r>
              <w:t xml:space="preserve">Renovation &amp; interior fit-out (200 m² × ≈1,750 EGP/m², basic finish)</w:t>
            </w:r>
          </w:p>
        </w:tc>
        <w:tc>
          <w:tcPr/>
          <w:p>
            <w:pPr>
              <w:pStyle w:val="Compact"/>
              <w:jc w:val="right"/>
            </w:pPr>
            <w:r>
              <w:t xml:space="preserve">350,000</w:t>
            </w:r>
          </w:p>
        </w:tc>
        <w:tc>
          <w:tcPr/>
          <w:p>
            <w:pPr>
              <w:pStyle w:val="Compact"/>
              <w:jc w:val="right"/>
            </w:pPr>
            <w:r>
              <w:t xml:space="preserve">7,000</w:t>
            </w:r>
          </w:p>
        </w:tc>
      </w:tr>
      <w:tr>
        <w:tc>
          <w:tcPr/>
          <w:p>
            <w:pPr>
              <w:pStyle w:val="Compact"/>
              <w:jc w:val="left"/>
            </w:pPr>
            <w:r>
              <w:t xml:space="preserve">Equipment — Orthopaedic &amp; Sports</w:t>
            </w:r>
          </w:p>
        </w:tc>
        <w:tc>
          <w:tcPr/>
          <w:p>
            <w:pPr>
              <w:pStyle w:val="Compact"/>
              <w:jc w:val="right"/>
            </w:pPr>
            <w:r>
              <w:t xml:space="preserve">450,000</w:t>
            </w:r>
          </w:p>
        </w:tc>
        <w:tc>
          <w:tcPr/>
          <w:p>
            <w:pPr>
              <w:pStyle w:val="Compact"/>
              <w:jc w:val="right"/>
            </w:pPr>
            <w:r>
              <w:t xml:space="preserve">9,000</w:t>
            </w:r>
          </w:p>
        </w:tc>
      </w:tr>
      <w:tr>
        <w:tc>
          <w:tcPr/>
          <w:p>
            <w:pPr>
              <w:pStyle w:val="Compact"/>
              <w:jc w:val="left"/>
            </w:pPr>
            <w:r>
              <w:t xml:space="preserve">Equipment — Adult Neurological</w:t>
            </w:r>
          </w:p>
        </w:tc>
        <w:tc>
          <w:tcPr/>
          <w:p>
            <w:pPr>
              <w:pStyle w:val="Compact"/>
              <w:jc w:val="right"/>
            </w:pPr>
            <w:r>
              <w:t xml:space="preserve">400,000</w:t>
            </w:r>
          </w:p>
        </w:tc>
        <w:tc>
          <w:tcPr/>
          <w:p>
            <w:pPr>
              <w:pStyle w:val="Compact"/>
              <w:jc w:val="right"/>
            </w:pPr>
            <w:r>
              <w:t xml:space="preserve">8,000</w:t>
            </w:r>
          </w:p>
        </w:tc>
      </w:tr>
      <w:tr>
        <w:tc>
          <w:tcPr/>
          <w:p>
            <w:pPr>
              <w:pStyle w:val="Compact"/>
              <w:jc w:val="left"/>
            </w:pPr>
            <w:r>
              <w:t xml:space="preserve">Equipment — Pediatric</w:t>
            </w:r>
          </w:p>
        </w:tc>
        <w:tc>
          <w:tcPr/>
          <w:p>
            <w:pPr>
              <w:pStyle w:val="Compact"/>
              <w:jc w:val="right"/>
            </w:pPr>
            <w:r>
              <w:t xml:space="preserve">350,000</w:t>
            </w:r>
          </w:p>
        </w:tc>
        <w:tc>
          <w:tcPr/>
          <w:p>
            <w:pPr>
              <w:pStyle w:val="Compact"/>
              <w:jc w:val="right"/>
            </w:pPr>
            <w:r>
              <w:t xml:space="preserve">7,000</w:t>
            </w:r>
          </w:p>
        </w:tc>
      </w:tr>
      <w:tr>
        <w:tc>
          <w:tcPr/>
          <w:p>
            <w:pPr>
              <w:pStyle w:val="Compact"/>
              <w:jc w:val="left"/>
            </w:pPr>
            <w:r>
              <w:t xml:space="preserve">Equipment — Shared/reception/admin</w:t>
            </w:r>
          </w:p>
        </w:tc>
        <w:tc>
          <w:tcPr/>
          <w:p>
            <w:pPr>
              <w:pStyle w:val="Compact"/>
              <w:jc w:val="right"/>
            </w:pPr>
            <w:r>
              <w:t xml:space="preserve">150,000</w:t>
            </w:r>
          </w:p>
        </w:tc>
        <w:tc>
          <w:tcPr/>
          <w:p>
            <w:pPr>
              <w:pStyle w:val="Compact"/>
              <w:jc w:val="right"/>
            </w:pPr>
            <w:r>
              <w:t xml:space="preserve">3,000</w:t>
            </w:r>
          </w:p>
        </w:tc>
      </w:tr>
      <w:tr>
        <w:tc>
          <w:tcPr/>
          <w:p>
            <w:pPr>
              <w:pStyle w:val="Compact"/>
              <w:jc w:val="left"/>
            </w:pPr>
            <w:r>
              <w:t xml:space="preserve">Licensing &amp; legal (GAFI incorporation, MOHP license, engineering/fire-safety certification, syndicate registrations)</w:t>
            </w:r>
          </w:p>
        </w:tc>
        <w:tc>
          <w:tcPr/>
          <w:p>
            <w:pPr>
              <w:pStyle w:val="Compact"/>
              <w:jc w:val="right"/>
            </w:pPr>
            <w:r>
              <w:t xml:space="preserve">200,000</w:t>
            </w:r>
          </w:p>
        </w:tc>
        <w:tc>
          <w:tcPr/>
          <w:p>
            <w:pPr>
              <w:pStyle w:val="Compact"/>
              <w:jc w:val="right"/>
            </w:pPr>
            <w:r>
              <w:t xml:space="preserve">4,000</w:t>
            </w:r>
          </w:p>
        </w:tc>
      </w:tr>
      <w:tr>
        <w:tc>
          <w:tcPr/>
          <w:p>
            <w:pPr>
              <w:pStyle w:val="Compact"/>
              <w:jc w:val="left"/>
            </w:pPr>
            <w:r>
              <w:t xml:space="preserve">Technology &amp; software (entry-level EMR, website, POS)</w:t>
            </w:r>
          </w:p>
        </w:tc>
        <w:tc>
          <w:tcPr/>
          <w:p>
            <w:pPr>
              <w:pStyle w:val="Compact"/>
              <w:jc w:val="right"/>
            </w:pPr>
            <w:r>
              <w:t xml:space="preserve">80,000</w:t>
            </w:r>
          </w:p>
        </w:tc>
        <w:tc>
          <w:tcPr/>
          <w:p>
            <w:pPr>
              <w:pStyle w:val="Compact"/>
              <w:jc w:val="right"/>
            </w:pPr>
            <w:r>
              <w:t xml:space="preserve">1,600</w:t>
            </w:r>
          </w:p>
        </w:tc>
      </w:tr>
      <w:tr>
        <w:tc>
          <w:tcPr/>
          <w:p>
            <w:pPr>
              <w:pStyle w:val="Compact"/>
              <w:jc w:val="left"/>
            </w:pPr>
            <w:r>
              <w:t xml:space="preserve">Launch marketing</w:t>
            </w:r>
          </w:p>
        </w:tc>
        <w:tc>
          <w:tcPr/>
          <w:p>
            <w:pPr>
              <w:pStyle w:val="Compact"/>
              <w:jc w:val="right"/>
            </w:pPr>
            <w:r>
              <w:t xml:space="preserve">120,000</w:t>
            </w:r>
          </w:p>
        </w:tc>
        <w:tc>
          <w:tcPr/>
          <w:p>
            <w:pPr>
              <w:pStyle w:val="Compact"/>
              <w:jc w:val="right"/>
            </w:pPr>
            <w:r>
              <w:t xml:space="preserve">2,400</w:t>
            </w:r>
          </w:p>
        </w:tc>
      </w:tr>
      <w:tr>
        <w:tc>
          <w:tcPr/>
          <w:p>
            <w:pPr>
              <w:pStyle w:val="Compact"/>
              <w:jc w:val="left"/>
            </w:pPr>
            <w:r>
              <w:t xml:space="preserve">Furniture &amp; signage</w:t>
            </w:r>
          </w:p>
        </w:tc>
        <w:tc>
          <w:tcPr/>
          <w:p>
            <w:pPr>
              <w:pStyle w:val="Compact"/>
              <w:jc w:val="right"/>
            </w:pPr>
            <w:r>
              <w:t xml:space="preserve">100,000</w:t>
            </w:r>
          </w:p>
        </w:tc>
        <w:tc>
          <w:tcPr/>
          <w:p>
            <w:pPr>
              <w:pStyle w:val="Compact"/>
              <w:jc w:val="right"/>
            </w:pPr>
            <w:r>
              <w:t xml:space="preserve">2,000</w:t>
            </w:r>
          </w:p>
        </w:tc>
      </w:tr>
      <w:tr>
        <w:tc>
          <w:tcPr/>
          <w:p>
            <w:pPr>
              <w:pStyle w:val="Compact"/>
              <w:jc w:val="left"/>
            </w:pPr>
            <w:r>
              <w:t xml:space="preserve">Rent deposit (3 months × 80,000)</w:t>
            </w:r>
          </w:p>
        </w:tc>
        <w:tc>
          <w:tcPr/>
          <w:p>
            <w:pPr>
              <w:pStyle w:val="Compact"/>
              <w:jc w:val="right"/>
            </w:pPr>
            <w:r>
              <w:t xml:space="preserve">240,000</w:t>
            </w:r>
          </w:p>
        </w:tc>
        <w:tc>
          <w:tcPr/>
          <w:p>
            <w:pPr>
              <w:pStyle w:val="Compact"/>
              <w:jc w:val="right"/>
            </w:pPr>
            <w:r>
              <w:t xml:space="preserve">4,800</w:t>
            </w:r>
          </w:p>
        </w:tc>
      </w:tr>
      <w:tr>
        <w:tc>
          <w:tcPr/>
          <w:p>
            <w:pPr>
              <w:pStyle w:val="Compact"/>
              <w:jc w:val="left"/>
            </w:pPr>
            <w:r>
              <w:t xml:space="preserve">Working-capital reserve (≈3 months operating costs)</w:t>
            </w:r>
          </w:p>
        </w:tc>
        <w:tc>
          <w:tcPr/>
          <w:p>
            <w:pPr>
              <w:pStyle w:val="Compact"/>
              <w:jc w:val="right"/>
            </w:pPr>
            <w:r>
              <w:t xml:space="preserve">750,000</w:t>
            </w:r>
          </w:p>
        </w:tc>
        <w:tc>
          <w:tcPr/>
          <w:p>
            <w:pPr>
              <w:pStyle w:val="Compact"/>
              <w:jc w:val="right"/>
            </w:pPr>
            <w:r>
              <w:t xml:space="preserve">15,000</w:t>
            </w:r>
          </w:p>
        </w:tc>
      </w:tr>
      <w:tr>
        <w:tc>
          <w:tcPr/>
          <w:p>
            <w:pPr>
              <w:pStyle w:val="Compact"/>
              <w:jc w:val="left"/>
            </w:pPr>
            <w:r>
              <w:rPr>
                <w:bCs/>
                <w:b/>
              </w:rPr>
              <w:t xml:space="preserve">Total start-up investment</w:t>
            </w:r>
          </w:p>
        </w:tc>
        <w:tc>
          <w:tcPr/>
          <w:p>
            <w:pPr>
              <w:pStyle w:val="Compact"/>
              <w:jc w:val="right"/>
            </w:pPr>
            <w:r>
              <w:rPr>
                <w:bCs/>
                <w:b/>
              </w:rPr>
              <w:t xml:space="preserve">≈ 3,190,000</w:t>
            </w:r>
          </w:p>
        </w:tc>
        <w:tc>
          <w:tcPr/>
          <w:p>
            <w:pPr>
              <w:pStyle w:val="Compact"/>
              <w:jc w:val="right"/>
            </w:pPr>
            <w:r>
              <w:rPr>
                <w:bCs/>
                <w:b/>
              </w:rPr>
              <w:t xml:space="preserve">≈ 63,800</w:t>
            </w:r>
          </w:p>
        </w:tc>
      </w:tr>
    </w:tbl>
    <w:bookmarkEnd w:id="56"/>
    <w:bookmarkStart w:id="57" w:name="monthly-operating-expenses-steady-state"/>
    <w:p>
      <w:pPr>
        <w:pStyle w:val="Heading3"/>
      </w:pPr>
      <w:r>
        <w:t xml:space="preserve">19.2 Monthly operating expenses (steady-state)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right"/>
            </w:pPr>
            <w:r>
              <w:t xml:space="preserve">EGP/month</w:t>
            </w:r>
          </w:p>
        </w:tc>
      </w:tr>
      <w:tr>
        <w:tc>
          <w:tcPr/>
          <w:p>
            <w:pPr>
              <w:pStyle w:val="Compact"/>
              <w:jc w:val="left"/>
            </w:pPr>
            <w:r>
              <w:t xml:space="preserve">Rent (200 m² × ≈400 EGP/m²)</w:t>
            </w:r>
          </w:p>
        </w:tc>
        <w:tc>
          <w:tcPr/>
          <w:p>
            <w:pPr>
              <w:pStyle w:val="Compact"/>
              <w:jc w:val="right"/>
            </w:pPr>
            <w:r>
              <w:t xml:space="preserve">80,000</w:t>
            </w:r>
          </w:p>
        </w:tc>
      </w:tr>
      <w:tr>
        <w:tc>
          <w:tcPr/>
          <w:p>
            <w:pPr>
              <w:pStyle w:val="Compact"/>
              <w:jc w:val="left"/>
            </w:pPr>
            <w:r>
              <w:t xml:space="preserve">Utilities</w:t>
            </w:r>
          </w:p>
        </w:tc>
        <w:tc>
          <w:tcPr/>
          <w:p>
            <w:pPr>
              <w:pStyle w:val="Compact"/>
              <w:jc w:val="right"/>
            </w:pPr>
            <w:r>
              <w:t xml:space="preserve">15,000</w:t>
            </w:r>
          </w:p>
        </w:tc>
      </w:tr>
      <w:tr>
        <w:tc>
          <w:tcPr/>
          <w:p>
            <w:pPr>
              <w:pStyle w:val="Compact"/>
              <w:jc w:val="left"/>
            </w:pPr>
            <w:r>
              <w:t xml:space="preserve">Payroll (≈10 staff incl. founder draws)</w:t>
            </w:r>
          </w:p>
        </w:tc>
        <w:tc>
          <w:tcPr/>
          <w:p>
            <w:pPr>
              <w:pStyle w:val="Compact"/>
              <w:jc w:val="right"/>
            </w:pPr>
            <w:r>
              <w:t xml:space="preserve">129,500</w:t>
            </w:r>
          </w:p>
        </w:tc>
      </w:tr>
      <w:tr>
        <w:tc>
          <w:tcPr/>
          <w:p>
            <w:pPr>
              <w:pStyle w:val="Compact"/>
              <w:jc w:val="left"/>
            </w:pPr>
            <w:r>
              <w:t xml:space="preserve">Marketing (ongoing)</w:t>
            </w:r>
          </w:p>
        </w:tc>
        <w:tc>
          <w:tcPr/>
          <w:p>
            <w:pPr>
              <w:pStyle w:val="Compact"/>
              <w:jc w:val="right"/>
            </w:pPr>
            <w:r>
              <w:t xml:space="preserve">10,000</w:t>
            </w:r>
          </w:p>
        </w:tc>
      </w:tr>
      <w:tr>
        <w:tc>
          <w:tcPr/>
          <w:p>
            <w:pPr>
              <w:pStyle w:val="Compact"/>
              <w:jc w:val="left"/>
            </w:pPr>
            <w:r>
              <w:t xml:space="preserve">Consumables/supplies</w:t>
            </w:r>
          </w:p>
        </w:tc>
        <w:tc>
          <w:tcPr/>
          <w:p>
            <w:pPr>
              <w:pStyle w:val="Compact"/>
              <w:jc w:val="right"/>
            </w:pPr>
            <w:r>
              <w:t xml:space="preserve">8,000</w:t>
            </w:r>
          </w:p>
        </w:tc>
      </w:tr>
      <w:tr>
        <w:tc>
          <w:tcPr/>
          <w:p>
            <w:pPr>
              <w:pStyle w:val="Compact"/>
              <w:jc w:val="left"/>
            </w:pPr>
            <w:r>
              <w:t xml:space="preserve">Insurance</w:t>
            </w:r>
          </w:p>
        </w:tc>
        <w:tc>
          <w:tcPr/>
          <w:p>
            <w:pPr>
              <w:pStyle w:val="Compact"/>
              <w:jc w:val="right"/>
            </w:pPr>
            <w:r>
              <w:t xml:space="preserve">4,000</w:t>
            </w:r>
          </w:p>
        </w:tc>
      </w:tr>
      <w:tr>
        <w:tc>
          <w:tcPr/>
          <w:p>
            <w:pPr>
              <w:pStyle w:val="Compact"/>
              <w:jc w:val="left"/>
            </w:pPr>
            <w:r>
              <w:t xml:space="preserve">Software subscription</w:t>
            </w:r>
          </w:p>
        </w:tc>
        <w:tc>
          <w:tcPr/>
          <w:p>
            <w:pPr>
              <w:pStyle w:val="Compact"/>
              <w:jc w:val="right"/>
            </w:pPr>
            <w:r>
              <w:t xml:space="preserve">3,000</w:t>
            </w:r>
          </w:p>
        </w:tc>
      </w:tr>
      <w:tr>
        <w:tc>
          <w:tcPr/>
          <w:p>
            <w:pPr>
              <w:pStyle w:val="Compact"/>
              <w:jc w:val="left"/>
            </w:pPr>
            <w:r>
              <w:t xml:space="preserve">Admin/miscellaneous</w:t>
            </w:r>
          </w:p>
        </w:tc>
        <w:tc>
          <w:tcPr/>
          <w:p>
            <w:pPr>
              <w:pStyle w:val="Compact"/>
              <w:jc w:val="right"/>
            </w:pPr>
            <w:r>
              <w:t xml:space="preserve">5,000</w:t>
            </w:r>
          </w:p>
        </w:tc>
      </w:tr>
      <w:tr>
        <w:tc>
          <w:tcPr/>
          <w:p>
            <w:pPr>
              <w:pStyle w:val="Compact"/>
              <w:jc w:val="left"/>
            </w:pPr>
            <w:r>
              <w:rPr>
                <w:bCs/>
                <w:b/>
              </w:rPr>
              <w:t xml:space="preserve">Total monthly opex</w:t>
            </w:r>
          </w:p>
        </w:tc>
        <w:tc>
          <w:tcPr/>
          <w:p>
            <w:pPr>
              <w:pStyle w:val="Compact"/>
              <w:jc w:val="right"/>
            </w:pPr>
            <w:r>
              <w:rPr>
                <w:bCs/>
                <w:b/>
              </w:rPr>
              <w:t xml:space="preserve">≈ 254,500</w:t>
            </w:r>
          </w:p>
        </w:tc>
      </w:tr>
    </w:tbl>
    <w:bookmarkEnd w:id="57"/>
    <w:bookmarkStart w:id="58" w:name="revenue-projection"/>
    <w:p>
      <w:pPr>
        <w:pStyle w:val="Heading3"/>
      </w:pPr>
      <w:r>
        <w:t xml:space="preserve">19.3 Revenue projection</w:t>
      </w:r>
    </w:p>
    <w:p>
      <w:pPr>
        <w:pStyle w:val="FirstParagraph"/>
      </w:pPr>
      <w:r>
        <w:t xml:space="preserve">Average blended session price:</w:t>
      </w:r>
      <w:r>
        <w:t xml:space="preserve"> </w:t>
      </w:r>
      <w:r>
        <w:rPr>
          <w:bCs/>
          <w:b/>
        </w:rPr>
        <w:t xml:space="preserve">EGP 450</w:t>
      </w:r>
      <w:r>
        <w:t xml:space="preserve">. Maximum theoretical capacity: ≈40 sessions/day (26 working days/month) with the lean 6-person clinical team.</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Year</w:t>
            </w:r>
          </w:p>
        </w:tc>
        <w:tc>
          <w:tcPr/>
          <w:p>
            <w:pPr>
              <w:pStyle w:val="Compact"/>
              <w:jc w:val="right"/>
            </w:pPr>
            <w:r>
              <w:t xml:space="preserve">Avg. utilisation</w:t>
            </w:r>
          </w:p>
        </w:tc>
        <w:tc>
          <w:tcPr/>
          <w:p>
            <w:pPr>
              <w:pStyle w:val="Compact"/>
              <w:jc w:val="right"/>
            </w:pPr>
            <w:r>
              <w:t xml:space="preserve">Sessions/day (avg)</w:t>
            </w:r>
          </w:p>
        </w:tc>
        <w:tc>
          <w:tcPr/>
          <w:p>
            <w:pPr>
              <w:pStyle w:val="Compact"/>
              <w:jc w:val="right"/>
            </w:pPr>
            <w:r>
              <w:t xml:space="preserve">Annual sessions</w:t>
            </w:r>
          </w:p>
        </w:tc>
        <w:tc>
          <w:tcPr/>
          <w:p>
            <w:pPr>
              <w:pStyle w:val="Compact"/>
              <w:jc w:val="right"/>
            </w:pPr>
            <w:r>
              <w:t xml:space="preserve">Annual revenue (EGP)</w:t>
            </w:r>
          </w:p>
        </w:tc>
      </w:tr>
      <w:tr>
        <w:tc>
          <w:tcPr/>
          <w:p>
            <w:pPr>
              <w:pStyle w:val="Compact"/>
              <w:jc w:val="left"/>
            </w:pPr>
            <w:r>
              <w:t xml:space="preserve">Year 1</w:t>
            </w:r>
          </w:p>
        </w:tc>
        <w:tc>
          <w:tcPr/>
          <w:p>
            <w:pPr>
              <w:pStyle w:val="Compact"/>
              <w:jc w:val="right"/>
            </w:pPr>
            <w:r>
              <w:t xml:space="preserve">37%</w:t>
            </w:r>
          </w:p>
        </w:tc>
        <w:tc>
          <w:tcPr/>
          <w:p>
            <w:pPr>
              <w:pStyle w:val="Compact"/>
              <w:jc w:val="right"/>
            </w:pPr>
            <w:r>
              <w:t xml:space="preserve">15</w:t>
            </w:r>
          </w:p>
        </w:tc>
        <w:tc>
          <w:tcPr/>
          <w:p>
            <w:pPr>
              <w:pStyle w:val="Compact"/>
              <w:jc w:val="right"/>
            </w:pPr>
            <w:r>
              <w:t xml:space="preserve">4,680</w:t>
            </w:r>
          </w:p>
        </w:tc>
        <w:tc>
          <w:tcPr/>
          <w:p>
            <w:pPr>
              <w:pStyle w:val="Compact"/>
              <w:jc w:val="right"/>
            </w:pPr>
            <w:r>
              <w:t xml:space="preserve">2,106,000</w:t>
            </w:r>
          </w:p>
        </w:tc>
      </w:tr>
      <w:tr>
        <w:tc>
          <w:tcPr/>
          <w:p>
            <w:pPr>
              <w:pStyle w:val="Compact"/>
              <w:jc w:val="left"/>
            </w:pPr>
            <w:r>
              <w:t xml:space="preserve">Year 2</w:t>
            </w:r>
          </w:p>
        </w:tc>
        <w:tc>
          <w:tcPr/>
          <w:p>
            <w:pPr>
              <w:pStyle w:val="Compact"/>
              <w:jc w:val="right"/>
            </w:pPr>
            <w:r>
              <w:t xml:space="preserve">63%</w:t>
            </w:r>
          </w:p>
        </w:tc>
        <w:tc>
          <w:tcPr/>
          <w:p>
            <w:pPr>
              <w:pStyle w:val="Compact"/>
              <w:jc w:val="right"/>
            </w:pPr>
            <w:r>
              <w:t xml:space="preserve">25</w:t>
            </w:r>
          </w:p>
        </w:tc>
        <w:tc>
          <w:tcPr/>
          <w:p>
            <w:pPr>
              <w:pStyle w:val="Compact"/>
              <w:jc w:val="right"/>
            </w:pPr>
            <w:r>
              <w:t xml:space="preserve">7,800</w:t>
            </w:r>
          </w:p>
        </w:tc>
        <w:tc>
          <w:tcPr/>
          <w:p>
            <w:pPr>
              <w:pStyle w:val="Compact"/>
              <w:jc w:val="right"/>
            </w:pPr>
            <w:r>
              <w:t xml:space="preserve">3,510,000</w:t>
            </w:r>
          </w:p>
        </w:tc>
      </w:tr>
      <w:tr>
        <w:tc>
          <w:tcPr/>
          <w:p>
            <w:pPr>
              <w:pStyle w:val="Compact"/>
              <w:jc w:val="left"/>
            </w:pPr>
            <w:r>
              <w:t xml:space="preserve">Year 3</w:t>
            </w:r>
          </w:p>
        </w:tc>
        <w:tc>
          <w:tcPr/>
          <w:p>
            <w:pPr>
              <w:pStyle w:val="Compact"/>
              <w:jc w:val="right"/>
            </w:pPr>
            <w:r>
              <w:t xml:space="preserve">82%</w:t>
            </w:r>
          </w:p>
        </w:tc>
        <w:tc>
          <w:tcPr/>
          <w:p>
            <w:pPr>
              <w:pStyle w:val="Compact"/>
              <w:jc w:val="right"/>
            </w:pPr>
            <w:r>
              <w:t xml:space="preserve">33</w:t>
            </w:r>
          </w:p>
        </w:tc>
        <w:tc>
          <w:tcPr/>
          <w:p>
            <w:pPr>
              <w:pStyle w:val="Compact"/>
              <w:jc w:val="right"/>
            </w:pPr>
            <w:r>
              <w:t xml:space="preserve">10,296</w:t>
            </w:r>
          </w:p>
        </w:tc>
        <w:tc>
          <w:tcPr/>
          <w:p>
            <w:pPr>
              <w:pStyle w:val="Compact"/>
              <w:jc w:val="right"/>
            </w:pPr>
            <w:r>
              <w:t xml:space="preserve">4,633,200</w:t>
            </w:r>
          </w:p>
        </w:tc>
      </w:tr>
    </w:tbl>
    <w:bookmarkEnd w:id="58"/>
    <w:bookmarkStart w:id="59" w:name="break-even-analysis"/>
    <w:p>
      <w:pPr>
        <w:pStyle w:val="Heading3"/>
      </w:pPr>
      <w:r>
        <w:t xml:space="preserve">19.4 Break-even analysis</w:t>
      </w:r>
    </w:p>
    <w:p>
      <w:pPr>
        <w:numPr>
          <w:ilvl w:val="0"/>
          <w:numId w:val="1021"/>
        </w:numPr>
        <w:pStyle w:val="Compact"/>
      </w:pPr>
      <w:r>
        <w:t xml:space="preserve">Contribution margin/session ≈ EGP 410 (price 450 less ≈9% variable cost)</w:t>
      </w:r>
    </w:p>
    <w:p>
      <w:pPr>
        <w:numPr>
          <w:ilvl w:val="0"/>
          <w:numId w:val="1021"/>
        </w:numPr>
        <w:pStyle w:val="Compact"/>
      </w:pPr>
      <w:r>
        <w:t xml:space="preserve">Break-even volume ≈</w:t>
      </w:r>
      <w:r>
        <w:t xml:space="preserve"> </w:t>
      </w:r>
      <w:r>
        <w:rPr>
          <w:bCs/>
          <w:b/>
        </w:rPr>
        <w:t xml:space="preserve">601 sessions/month (≈ 23/day)</w:t>
      </w:r>
      <w:r>
        <w:t xml:space="preserve"> </w:t>
      </w:r>
      <w:r>
        <w:t xml:space="preserve">— crossed between Year 1 and Year 2</w:t>
      </w:r>
    </w:p>
    <w:p>
      <w:pPr>
        <w:numPr>
          <w:ilvl w:val="0"/>
          <w:numId w:val="1021"/>
        </w:numPr>
        <w:pStyle w:val="Compact"/>
      </w:pPr>
      <w:r>
        <w:t xml:space="preserve">Break-even is reached on a monthly run-rate basis in</w:t>
      </w:r>
      <w:r>
        <w:t xml:space="preserve"> </w:t>
      </w:r>
      <w:r>
        <w:rPr>
          <w:bCs/>
          <w:b/>
        </w:rPr>
        <w:t xml:space="preserve">month ≈ 18–20</w:t>
      </w:r>
    </w:p>
    <w:bookmarkEnd w:id="59"/>
    <w:bookmarkStart w:id="60" w:name="year-pl-summary-cash-flow"/>
    <w:p>
      <w:pPr>
        <w:pStyle w:val="Heading3"/>
      </w:pPr>
      <w:r>
        <w:t xml:space="preserve">19.5 3-year P&amp;L summary &amp; cash flow</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Year 1</w:t>
            </w:r>
          </w:p>
        </w:tc>
        <w:tc>
          <w:tcPr/>
          <w:p>
            <w:pPr>
              <w:pStyle w:val="Compact"/>
              <w:jc w:val="right"/>
            </w:pPr>
            <w:r>
              <w:t xml:space="preserve">Year 2</w:t>
            </w:r>
          </w:p>
        </w:tc>
        <w:tc>
          <w:tcPr/>
          <w:p>
            <w:pPr>
              <w:pStyle w:val="Compact"/>
              <w:jc w:val="right"/>
            </w:pPr>
            <w:r>
              <w:t xml:space="preserve">Year 3</w:t>
            </w:r>
          </w:p>
        </w:tc>
      </w:tr>
      <w:tr>
        <w:tc>
          <w:tcPr/>
          <w:p>
            <w:pPr>
              <w:pStyle w:val="Compact"/>
              <w:jc w:val="left"/>
            </w:pPr>
            <w:r>
              <w:t xml:space="preserve">Revenue</w:t>
            </w:r>
          </w:p>
        </w:tc>
        <w:tc>
          <w:tcPr/>
          <w:p>
            <w:pPr>
              <w:pStyle w:val="Compact"/>
              <w:jc w:val="right"/>
            </w:pPr>
            <w:r>
              <w:t xml:space="preserve">2,106,000</w:t>
            </w:r>
          </w:p>
        </w:tc>
        <w:tc>
          <w:tcPr/>
          <w:p>
            <w:pPr>
              <w:pStyle w:val="Compact"/>
              <w:jc w:val="right"/>
            </w:pPr>
            <w:r>
              <w:t xml:space="preserve">3,510,000</w:t>
            </w:r>
          </w:p>
        </w:tc>
        <w:tc>
          <w:tcPr/>
          <w:p>
            <w:pPr>
              <w:pStyle w:val="Compact"/>
              <w:jc w:val="right"/>
            </w:pPr>
            <w:r>
              <w:t xml:space="preserve">4,633,200</w:t>
            </w:r>
          </w:p>
        </w:tc>
      </w:tr>
      <w:tr>
        <w:tc>
          <w:tcPr/>
          <w:p>
            <w:pPr>
              <w:pStyle w:val="Compact"/>
              <w:jc w:val="left"/>
            </w:pPr>
            <w:r>
              <w:t xml:space="preserve">Operating costs</w:t>
            </w:r>
          </w:p>
        </w:tc>
        <w:tc>
          <w:tcPr/>
          <w:p>
            <w:pPr>
              <w:pStyle w:val="Compact"/>
              <w:jc w:val="right"/>
            </w:pPr>
            <w:r>
              <w:t xml:space="preserve">3,054,000</w:t>
            </w:r>
          </w:p>
        </w:tc>
        <w:tc>
          <w:tcPr/>
          <w:p>
            <w:pPr>
              <w:pStyle w:val="Compact"/>
              <w:jc w:val="right"/>
            </w:pPr>
            <w:r>
              <w:t xml:space="preserve">3,250,000</w:t>
            </w:r>
          </w:p>
        </w:tc>
        <w:tc>
          <w:tcPr/>
          <w:p>
            <w:pPr>
              <w:pStyle w:val="Compact"/>
              <w:jc w:val="right"/>
            </w:pPr>
            <w:r>
              <w:t xml:space="preserve">3,450,000</w:t>
            </w:r>
          </w:p>
        </w:tc>
      </w:tr>
      <w:tr>
        <w:tc>
          <w:tcPr/>
          <w:p>
            <w:pPr>
              <w:pStyle w:val="Compact"/>
              <w:jc w:val="left"/>
            </w:pPr>
            <w:r>
              <w:rPr>
                <w:bCs/>
                <w:b/>
              </w:rPr>
              <w:t xml:space="preserve">EBITDA</w:t>
            </w:r>
          </w:p>
        </w:tc>
        <w:tc>
          <w:tcPr/>
          <w:p>
            <w:pPr>
              <w:pStyle w:val="Compact"/>
              <w:jc w:val="right"/>
            </w:pPr>
            <w:r>
              <w:rPr>
                <w:bCs/>
                <w:b/>
              </w:rPr>
              <w:t xml:space="preserve">(948,000)</w:t>
            </w:r>
          </w:p>
        </w:tc>
        <w:tc>
          <w:tcPr/>
          <w:p>
            <w:pPr>
              <w:pStyle w:val="Compact"/>
              <w:jc w:val="right"/>
            </w:pPr>
            <w:r>
              <w:rPr>
                <w:bCs/>
                <w:b/>
              </w:rPr>
              <w:t xml:space="preserve">260,000</w:t>
            </w:r>
          </w:p>
        </w:tc>
        <w:tc>
          <w:tcPr/>
          <w:p>
            <w:pPr>
              <w:pStyle w:val="Compact"/>
              <w:jc w:val="right"/>
            </w:pPr>
            <w:r>
              <w:rPr>
                <w:bCs/>
                <w:b/>
              </w:rPr>
              <w:t xml:space="preserve">1,183,200</w:t>
            </w:r>
          </w:p>
        </w:tc>
      </w:tr>
      <w:tr>
        <w:tc>
          <w:tcPr/>
          <w:p>
            <w:pPr>
              <w:pStyle w:val="Compact"/>
              <w:jc w:val="left"/>
            </w:pPr>
            <w:r>
              <w:t xml:space="preserve">EBITDA margin</w:t>
            </w:r>
          </w:p>
        </w:tc>
        <w:tc>
          <w:tcPr/>
          <w:p>
            <w:pPr>
              <w:pStyle w:val="Compact"/>
              <w:jc w:val="right"/>
            </w:pPr>
            <w:r>
              <w:t xml:space="preserve">(45%)</w:t>
            </w:r>
          </w:p>
        </w:tc>
        <w:tc>
          <w:tcPr/>
          <w:p>
            <w:pPr>
              <w:pStyle w:val="Compact"/>
              <w:jc w:val="right"/>
            </w:pPr>
            <w:r>
              <w:t xml:space="preserve">7%</w:t>
            </w:r>
          </w:p>
        </w:tc>
        <w:tc>
          <w:tcPr/>
          <w:p>
            <w:pPr>
              <w:pStyle w:val="Compact"/>
              <w:jc w:val="right"/>
            </w:pPr>
            <w:r>
              <w:t xml:space="preserve">26%</w:t>
            </w:r>
          </w:p>
        </w:tc>
      </w:tr>
      <w:tr>
        <w:tc>
          <w:tcPr/>
          <w:p>
            <w:pPr>
              <w:pStyle w:val="Compact"/>
              <w:jc w:val="left"/>
            </w:pPr>
            <w:r>
              <w:t xml:space="preserve">Cumulative EBITDA (post-launch)</w:t>
            </w:r>
          </w:p>
        </w:tc>
        <w:tc>
          <w:tcPr/>
          <w:p>
            <w:pPr>
              <w:pStyle w:val="Compact"/>
              <w:jc w:val="right"/>
            </w:pPr>
            <w:r>
              <w:t xml:space="preserve">(948,000)</w:t>
            </w:r>
          </w:p>
        </w:tc>
        <w:tc>
          <w:tcPr/>
          <w:p>
            <w:pPr>
              <w:pStyle w:val="Compact"/>
              <w:jc w:val="right"/>
            </w:pPr>
            <w:r>
              <w:t xml:space="preserve">(688,000)</w:t>
            </w:r>
          </w:p>
        </w:tc>
        <w:tc>
          <w:tcPr/>
          <w:p>
            <w:pPr>
              <w:pStyle w:val="Compact"/>
              <w:jc w:val="right"/>
            </w:pPr>
            <w:r>
              <w:t xml:space="preserve">495,200</w:t>
            </w:r>
          </w:p>
        </w:tc>
      </w:tr>
    </w:tbl>
    <w:bookmarkEnd w:id="60"/>
    <w:bookmarkStart w:id="61" w:name="roi-payback"/>
    <w:p>
      <w:pPr>
        <w:pStyle w:val="Heading3"/>
      </w:pPr>
      <w:r>
        <w:t xml:space="preserve">19.6 ROI &amp; payback</w:t>
      </w:r>
    </w:p>
    <w:p>
      <w:pPr>
        <w:numPr>
          <w:ilvl w:val="0"/>
          <w:numId w:val="1022"/>
        </w:numPr>
        <w:pStyle w:val="Compact"/>
      </w:pPr>
      <w:r>
        <w:rPr>
          <w:bCs/>
          <w:b/>
        </w:rPr>
        <w:t xml:space="preserve">Stabilised payback</w:t>
      </w:r>
      <w:r>
        <w:t xml:space="preserve"> </w:t>
      </w:r>
      <w:r>
        <w:t xml:space="preserve">(investment ÷ Year-3 EBITDA run-rate): 3,190,000 ÷ 1,183,200 ≈</w:t>
      </w:r>
      <w:r>
        <w:t xml:space="preserve"> </w:t>
      </w:r>
      <w:r>
        <w:rPr>
          <w:bCs/>
          <w:b/>
        </w:rPr>
        <w:t xml:space="preserve">2.7 years</w:t>
      </w:r>
    </w:p>
    <w:p>
      <w:pPr>
        <w:numPr>
          <w:ilvl w:val="0"/>
          <w:numId w:val="1022"/>
        </w:numPr>
        <w:pStyle w:val="Compact"/>
      </w:pPr>
      <w:r>
        <w:rPr>
          <w:bCs/>
          <w:b/>
        </w:rPr>
        <w:t xml:space="preserve">Cumulative payback</w:t>
      </w:r>
      <w:r>
        <w:t xml:space="preserve"> </w:t>
      </w:r>
      <w:r>
        <w:t xml:space="preserve">(incl. Year 1–2 ramp losses): ≈</w:t>
      </w:r>
      <w:r>
        <w:t xml:space="preserve"> </w:t>
      </w:r>
      <w:r>
        <w:rPr>
          <w:bCs/>
          <w:b/>
        </w:rPr>
        <w:t xml:space="preserve">3.8–4 years</w:t>
      </w:r>
    </w:p>
    <w:p>
      <w:pPr>
        <w:numPr>
          <w:ilvl w:val="0"/>
          <w:numId w:val="1022"/>
        </w:numPr>
        <w:pStyle w:val="Compact"/>
      </w:pPr>
      <w:r>
        <w:t xml:space="preserve">3-year cumulative ROI (undiscounted): modest, but Year 3 onward the business generates a sustainable ≈26% EBITDA margin on a small capital base, ideal for a founder-operated bootstrap model or a small strategic/family investor.</w:t>
      </w:r>
    </w:p>
    <w:p>
      <w:r>
        <w:pict>
          <v:rect style="width:0;height:1.5pt" o:hralign="center" o:hrstd="t" o:hr="t"/>
        </w:pict>
      </w:r>
    </w:p>
    <w:bookmarkEnd w:id="61"/>
    <w:bookmarkEnd w:id="62"/>
    <w:bookmarkStart w:id="69" w:name="option-2-moderate-budget-recommended"/>
    <w:p>
      <w:pPr>
        <w:pStyle w:val="Heading1"/>
      </w:pPr>
      <w:r>
        <w:t xml:space="preserve">20. Option 2 — Moderate Budget (</w:t>
      </w:r>
      <w:r>
        <w:t xml:space="preserve">“</w:t>
      </w:r>
      <w:r>
        <w:t xml:space="preserve">Recommended</w:t>
      </w:r>
      <w:r>
        <w:t xml:space="preserve">”</w:t>
      </w:r>
      <w:r>
        <w:t xml:space="preserve">)</w:t>
      </w:r>
    </w:p>
    <w:p>
      <w:pPr>
        <w:pStyle w:val="FirstParagraph"/>
      </w:pPr>
      <w:r>
        <w:rPr>
          <w:bCs/>
          <w:b/>
        </w:rPr>
        <w:t xml:space="preserve">Positioning:</w:t>
      </w:r>
      <w:r>
        <w:t xml:space="preserve"> </w:t>
      </w:r>
      <w:r>
        <w:t xml:space="preserve">a realistic, high-quality, sustainable-growth investment — dedicated space and a genuine multidisciplinary team per department, mid-to-premium finishes, and enough working capital to survive the realistic 12–18 month ramp-up period without cash strain.</w:t>
      </w:r>
    </w:p>
    <w:bookmarkStart w:id="63" w:name="start-up-costs-1"/>
    <w:p>
      <w:pPr>
        <w:pStyle w:val="Heading3"/>
      </w:pPr>
      <w:r>
        <w:t xml:space="preserve">20.1 Start-up costs</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Item</w:t>
            </w:r>
          </w:p>
        </w:tc>
        <w:tc>
          <w:tcPr/>
          <w:p>
            <w:pPr>
              <w:pStyle w:val="Compact"/>
              <w:jc w:val="right"/>
            </w:pPr>
            <w:r>
              <w:t xml:space="preserve">EGP</w:t>
            </w:r>
          </w:p>
        </w:tc>
        <w:tc>
          <w:tcPr/>
          <w:p>
            <w:pPr>
              <w:pStyle w:val="Compact"/>
              <w:jc w:val="right"/>
            </w:pPr>
            <w:r>
              <w:t xml:space="preserve">USD (≈)</w:t>
            </w:r>
          </w:p>
        </w:tc>
      </w:tr>
      <w:tr>
        <w:tc>
          <w:tcPr/>
          <w:p>
            <w:pPr>
              <w:pStyle w:val="Compact"/>
              <w:jc w:val="left"/>
            </w:pPr>
            <w:r>
              <w:t xml:space="preserve">Renovation &amp; interior design (450 m² × ≈5,500 EGP/m², mid-high finish, dept.-specific rooms)</w:t>
            </w:r>
          </w:p>
        </w:tc>
        <w:tc>
          <w:tcPr/>
          <w:p>
            <w:pPr>
              <w:pStyle w:val="Compact"/>
              <w:jc w:val="right"/>
            </w:pPr>
            <w:r>
              <w:t xml:space="preserve">2,475,000</w:t>
            </w:r>
          </w:p>
        </w:tc>
        <w:tc>
          <w:tcPr/>
          <w:p>
            <w:pPr>
              <w:pStyle w:val="Compact"/>
              <w:jc w:val="right"/>
            </w:pPr>
            <w:r>
              <w:t xml:space="preserve">49,500</w:t>
            </w:r>
          </w:p>
        </w:tc>
      </w:tr>
      <w:tr>
        <w:tc>
          <w:tcPr/>
          <w:p>
            <w:pPr>
              <w:pStyle w:val="Compact"/>
              <w:jc w:val="left"/>
            </w:pPr>
            <w:r>
              <w:t xml:space="preserve">Equipment — Orthopaedic &amp; Sports</w:t>
            </w:r>
          </w:p>
        </w:tc>
        <w:tc>
          <w:tcPr/>
          <w:p>
            <w:pPr>
              <w:pStyle w:val="Compact"/>
              <w:jc w:val="right"/>
            </w:pPr>
            <w:r>
              <w:t xml:space="preserve">1,200,000</w:t>
            </w:r>
          </w:p>
        </w:tc>
        <w:tc>
          <w:tcPr/>
          <w:p>
            <w:pPr>
              <w:pStyle w:val="Compact"/>
              <w:jc w:val="right"/>
            </w:pPr>
            <w:r>
              <w:t xml:space="preserve">24,000</w:t>
            </w:r>
          </w:p>
        </w:tc>
      </w:tr>
      <w:tr>
        <w:tc>
          <w:tcPr/>
          <w:p>
            <w:pPr>
              <w:pStyle w:val="Compact"/>
              <w:jc w:val="left"/>
            </w:pPr>
            <w:r>
              <w:t xml:space="preserve">Equipment — Adult Neurological</w:t>
            </w:r>
          </w:p>
        </w:tc>
        <w:tc>
          <w:tcPr/>
          <w:p>
            <w:pPr>
              <w:pStyle w:val="Compact"/>
              <w:jc w:val="right"/>
            </w:pPr>
            <w:r>
              <w:t xml:space="preserve">1,100,000</w:t>
            </w:r>
          </w:p>
        </w:tc>
        <w:tc>
          <w:tcPr/>
          <w:p>
            <w:pPr>
              <w:pStyle w:val="Compact"/>
              <w:jc w:val="right"/>
            </w:pPr>
            <w:r>
              <w:t xml:space="preserve">22,000</w:t>
            </w:r>
          </w:p>
        </w:tc>
      </w:tr>
      <w:tr>
        <w:tc>
          <w:tcPr/>
          <w:p>
            <w:pPr>
              <w:pStyle w:val="Compact"/>
              <w:jc w:val="left"/>
            </w:pPr>
            <w:r>
              <w:t xml:space="preserve">Equipment — Pediatric</w:t>
            </w:r>
          </w:p>
        </w:tc>
        <w:tc>
          <w:tcPr/>
          <w:p>
            <w:pPr>
              <w:pStyle w:val="Compact"/>
              <w:jc w:val="right"/>
            </w:pPr>
            <w:r>
              <w:t xml:space="preserve">900,000</w:t>
            </w:r>
          </w:p>
        </w:tc>
        <w:tc>
          <w:tcPr/>
          <w:p>
            <w:pPr>
              <w:pStyle w:val="Compact"/>
              <w:jc w:val="right"/>
            </w:pPr>
            <w:r>
              <w:t xml:space="preserve">18,000</w:t>
            </w:r>
          </w:p>
        </w:tc>
      </w:tr>
      <w:tr>
        <w:tc>
          <w:tcPr/>
          <w:p>
            <w:pPr>
              <w:pStyle w:val="Compact"/>
              <w:jc w:val="left"/>
            </w:pPr>
            <w:r>
              <w:t xml:space="preserve">Equipment — Shared/reception/admin/IT</w:t>
            </w:r>
          </w:p>
        </w:tc>
        <w:tc>
          <w:tcPr/>
          <w:p>
            <w:pPr>
              <w:pStyle w:val="Compact"/>
              <w:jc w:val="right"/>
            </w:pPr>
            <w:r>
              <w:t xml:space="preserve">350,000</w:t>
            </w:r>
          </w:p>
        </w:tc>
        <w:tc>
          <w:tcPr/>
          <w:p>
            <w:pPr>
              <w:pStyle w:val="Compact"/>
              <w:jc w:val="right"/>
            </w:pPr>
            <w:r>
              <w:t xml:space="preserve">7,000</w:t>
            </w:r>
          </w:p>
        </w:tc>
      </w:tr>
      <w:tr>
        <w:tc>
          <w:tcPr/>
          <w:p>
            <w:pPr>
              <w:pStyle w:val="Compact"/>
              <w:jc w:val="left"/>
            </w:pPr>
            <w:r>
              <w:t xml:space="preserve">Licensing &amp; legal (incl. legal-counsel retainer)</w:t>
            </w:r>
          </w:p>
        </w:tc>
        <w:tc>
          <w:tcPr/>
          <w:p>
            <w:pPr>
              <w:pStyle w:val="Compact"/>
              <w:jc w:val="right"/>
            </w:pPr>
            <w:r>
              <w:t xml:space="preserve">300,000</w:t>
            </w:r>
          </w:p>
        </w:tc>
        <w:tc>
          <w:tcPr/>
          <w:p>
            <w:pPr>
              <w:pStyle w:val="Compact"/>
              <w:jc w:val="right"/>
            </w:pPr>
            <w:r>
              <w:t xml:space="preserve">6,000</w:t>
            </w:r>
          </w:p>
        </w:tc>
      </w:tr>
      <w:tr>
        <w:tc>
          <w:tcPr/>
          <w:p>
            <w:pPr>
              <w:pStyle w:val="Compact"/>
              <w:jc w:val="left"/>
            </w:pPr>
            <w:r>
              <w:t xml:space="preserve">Technology &amp; software (full EMR, patient portal, telehealth, CCTV)</w:t>
            </w:r>
          </w:p>
        </w:tc>
        <w:tc>
          <w:tcPr/>
          <w:p>
            <w:pPr>
              <w:pStyle w:val="Compact"/>
              <w:jc w:val="right"/>
            </w:pPr>
            <w:r>
              <w:t xml:space="preserve">250,000</w:t>
            </w:r>
          </w:p>
        </w:tc>
        <w:tc>
          <w:tcPr/>
          <w:p>
            <w:pPr>
              <w:pStyle w:val="Compact"/>
              <w:jc w:val="right"/>
            </w:pPr>
            <w:r>
              <w:t xml:space="preserve">5,000</w:t>
            </w:r>
          </w:p>
        </w:tc>
      </w:tr>
      <w:tr>
        <w:tc>
          <w:tcPr/>
          <w:p>
            <w:pPr>
              <w:pStyle w:val="Compact"/>
              <w:jc w:val="left"/>
            </w:pPr>
            <w:r>
              <w:t xml:space="preserve">Launch marketing (incl. branding agency, launch event)</w:t>
            </w:r>
          </w:p>
        </w:tc>
        <w:tc>
          <w:tcPr/>
          <w:p>
            <w:pPr>
              <w:pStyle w:val="Compact"/>
              <w:jc w:val="right"/>
            </w:pPr>
            <w:r>
              <w:t xml:space="preserve">350,000</w:t>
            </w:r>
          </w:p>
        </w:tc>
        <w:tc>
          <w:tcPr/>
          <w:p>
            <w:pPr>
              <w:pStyle w:val="Compact"/>
              <w:jc w:val="right"/>
            </w:pPr>
            <w:r>
              <w:t xml:space="preserve">7,000</w:t>
            </w:r>
          </w:p>
        </w:tc>
      </w:tr>
      <w:tr>
        <w:tc>
          <w:tcPr/>
          <w:p>
            <w:pPr>
              <w:pStyle w:val="Compact"/>
              <w:jc w:val="left"/>
            </w:pPr>
            <w:r>
              <w:t xml:space="preserve">Furniture &amp; signage</w:t>
            </w:r>
          </w:p>
        </w:tc>
        <w:tc>
          <w:tcPr/>
          <w:p>
            <w:pPr>
              <w:pStyle w:val="Compact"/>
              <w:jc w:val="right"/>
            </w:pPr>
            <w:r>
              <w:t xml:space="preserve">200,000</w:t>
            </w:r>
          </w:p>
        </w:tc>
        <w:tc>
          <w:tcPr/>
          <w:p>
            <w:pPr>
              <w:pStyle w:val="Compact"/>
              <w:jc w:val="right"/>
            </w:pPr>
            <w:r>
              <w:t xml:space="preserve">4,000</w:t>
            </w:r>
          </w:p>
        </w:tc>
      </w:tr>
      <w:tr>
        <w:tc>
          <w:tcPr/>
          <w:p>
            <w:pPr>
              <w:pStyle w:val="Compact"/>
              <w:jc w:val="left"/>
            </w:pPr>
            <w:r>
              <w:t xml:space="preserve">Rent deposit (3 months × 250,000)</w:t>
            </w:r>
          </w:p>
        </w:tc>
        <w:tc>
          <w:tcPr/>
          <w:p>
            <w:pPr>
              <w:pStyle w:val="Compact"/>
              <w:jc w:val="right"/>
            </w:pPr>
            <w:r>
              <w:t xml:space="preserve">750,000</w:t>
            </w:r>
          </w:p>
        </w:tc>
        <w:tc>
          <w:tcPr/>
          <w:p>
            <w:pPr>
              <w:pStyle w:val="Compact"/>
              <w:jc w:val="right"/>
            </w:pPr>
            <w:r>
              <w:t xml:space="preserve">15,000</w:t>
            </w:r>
          </w:p>
        </w:tc>
      </w:tr>
      <w:tr>
        <w:tc>
          <w:tcPr/>
          <w:p>
            <w:pPr>
              <w:pStyle w:val="Compact"/>
              <w:jc w:val="left"/>
            </w:pPr>
            <w:r>
              <w:t xml:space="preserve">Working-capital reserve (≈4 months operating costs)</w:t>
            </w:r>
          </w:p>
        </w:tc>
        <w:tc>
          <w:tcPr/>
          <w:p>
            <w:pPr>
              <w:pStyle w:val="Compact"/>
              <w:jc w:val="right"/>
            </w:pPr>
            <w:r>
              <w:t xml:space="preserve">3,300,000</w:t>
            </w:r>
          </w:p>
        </w:tc>
        <w:tc>
          <w:tcPr/>
          <w:p>
            <w:pPr>
              <w:pStyle w:val="Compact"/>
              <w:jc w:val="right"/>
            </w:pPr>
            <w:r>
              <w:t xml:space="preserve">66,000</w:t>
            </w:r>
          </w:p>
        </w:tc>
      </w:tr>
      <w:tr>
        <w:tc>
          <w:tcPr/>
          <w:p>
            <w:pPr>
              <w:pStyle w:val="Compact"/>
              <w:jc w:val="left"/>
            </w:pPr>
            <w:r>
              <w:rPr>
                <w:bCs/>
                <w:b/>
              </w:rPr>
              <w:t xml:space="preserve">Total start-up investment</w:t>
            </w:r>
          </w:p>
        </w:tc>
        <w:tc>
          <w:tcPr/>
          <w:p>
            <w:pPr>
              <w:pStyle w:val="Compact"/>
              <w:jc w:val="right"/>
            </w:pPr>
            <w:r>
              <w:rPr>
                <w:bCs/>
                <w:b/>
              </w:rPr>
              <w:t xml:space="preserve">≈ 11,175,000</w:t>
            </w:r>
          </w:p>
        </w:tc>
        <w:tc>
          <w:tcPr/>
          <w:p>
            <w:pPr>
              <w:pStyle w:val="Compact"/>
              <w:jc w:val="right"/>
            </w:pPr>
            <w:r>
              <w:rPr>
                <w:bCs/>
                <w:b/>
              </w:rPr>
              <w:t xml:space="preserve">≈ 223,500</w:t>
            </w:r>
          </w:p>
        </w:tc>
      </w:tr>
    </w:tbl>
    <w:bookmarkEnd w:id="63"/>
    <w:bookmarkStart w:id="64" w:name="Xc6889308b6b61a61b435db73969d4c7a192eeab"/>
    <w:p>
      <w:pPr>
        <w:pStyle w:val="Heading3"/>
      </w:pPr>
      <w:r>
        <w:t xml:space="preserve">20.2 Monthly operating expenses (steady-state)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right"/>
            </w:pPr>
            <w:r>
              <w:t xml:space="preserve">EGP/month</w:t>
            </w:r>
          </w:p>
        </w:tc>
      </w:tr>
      <w:tr>
        <w:tc>
          <w:tcPr/>
          <w:p>
            <w:pPr>
              <w:pStyle w:val="Compact"/>
              <w:jc w:val="left"/>
            </w:pPr>
            <w:r>
              <w:t xml:space="preserve">Rent (450 m² × ≈550 EGP/m²)</w:t>
            </w:r>
          </w:p>
        </w:tc>
        <w:tc>
          <w:tcPr/>
          <w:p>
            <w:pPr>
              <w:pStyle w:val="Compact"/>
              <w:jc w:val="right"/>
            </w:pPr>
            <w:r>
              <w:t xml:space="preserve">250,000</w:t>
            </w:r>
          </w:p>
        </w:tc>
      </w:tr>
      <w:tr>
        <w:tc>
          <w:tcPr/>
          <w:p>
            <w:pPr>
              <w:pStyle w:val="Compact"/>
              <w:jc w:val="left"/>
            </w:pPr>
            <w:r>
              <w:t xml:space="preserve">Utilities</w:t>
            </w:r>
          </w:p>
        </w:tc>
        <w:tc>
          <w:tcPr/>
          <w:p>
            <w:pPr>
              <w:pStyle w:val="Compact"/>
              <w:jc w:val="right"/>
            </w:pPr>
            <w:r>
              <w:t xml:space="preserve">30,000</w:t>
            </w:r>
          </w:p>
        </w:tc>
      </w:tr>
      <w:tr>
        <w:tc>
          <w:tcPr/>
          <w:p>
            <w:pPr>
              <w:pStyle w:val="Compact"/>
              <w:jc w:val="left"/>
            </w:pPr>
            <w:r>
              <w:t xml:space="preserve">Payroll (≈32 staff)</w:t>
            </w:r>
          </w:p>
        </w:tc>
        <w:tc>
          <w:tcPr/>
          <w:p>
            <w:pPr>
              <w:pStyle w:val="Compact"/>
              <w:jc w:val="right"/>
            </w:pPr>
            <w:r>
              <w:t xml:space="preserve">450,000</w:t>
            </w:r>
          </w:p>
        </w:tc>
      </w:tr>
      <w:tr>
        <w:tc>
          <w:tcPr/>
          <w:p>
            <w:pPr>
              <w:pStyle w:val="Compact"/>
              <w:jc w:val="left"/>
            </w:pPr>
            <w:r>
              <w:t xml:space="preserve">Marketing (ongoing)</w:t>
            </w:r>
          </w:p>
        </w:tc>
        <w:tc>
          <w:tcPr/>
          <w:p>
            <w:pPr>
              <w:pStyle w:val="Compact"/>
              <w:jc w:val="right"/>
            </w:pPr>
            <w:r>
              <w:t xml:space="preserve">40,000</w:t>
            </w:r>
          </w:p>
        </w:tc>
      </w:tr>
      <w:tr>
        <w:tc>
          <w:tcPr/>
          <w:p>
            <w:pPr>
              <w:pStyle w:val="Compact"/>
              <w:jc w:val="left"/>
            </w:pPr>
            <w:r>
              <w:t xml:space="preserve">Consumables/supplies</w:t>
            </w:r>
          </w:p>
        </w:tc>
        <w:tc>
          <w:tcPr/>
          <w:p>
            <w:pPr>
              <w:pStyle w:val="Compact"/>
              <w:jc w:val="right"/>
            </w:pPr>
            <w:r>
              <w:t xml:space="preserve">25,000</w:t>
            </w:r>
          </w:p>
        </w:tc>
      </w:tr>
      <w:tr>
        <w:tc>
          <w:tcPr/>
          <w:p>
            <w:pPr>
              <w:pStyle w:val="Compact"/>
              <w:jc w:val="left"/>
            </w:pPr>
            <w:r>
              <w:t xml:space="preserve">Insurance</w:t>
            </w:r>
          </w:p>
        </w:tc>
        <w:tc>
          <w:tcPr/>
          <w:p>
            <w:pPr>
              <w:pStyle w:val="Compact"/>
              <w:jc w:val="right"/>
            </w:pPr>
            <w:r>
              <w:t xml:space="preserve">12,000</w:t>
            </w:r>
          </w:p>
        </w:tc>
      </w:tr>
      <w:tr>
        <w:tc>
          <w:tcPr/>
          <w:p>
            <w:pPr>
              <w:pStyle w:val="Compact"/>
              <w:jc w:val="left"/>
            </w:pPr>
            <w:r>
              <w:t xml:space="preserve">Software/technology</w:t>
            </w:r>
          </w:p>
        </w:tc>
        <w:tc>
          <w:tcPr/>
          <w:p>
            <w:pPr>
              <w:pStyle w:val="Compact"/>
              <w:jc w:val="right"/>
            </w:pPr>
            <w:r>
              <w:t xml:space="preserve">10,000</w:t>
            </w:r>
          </w:p>
        </w:tc>
      </w:tr>
      <w:tr>
        <w:tc>
          <w:tcPr/>
          <w:p>
            <w:pPr>
              <w:pStyle w:val="Compact"/>
              <w:jc w:val="left"/>
            </w:pPr>
            <w:r>
              <w:t xml:space="preserve">Admin/miscellaneous</w:t>
            </w:r>
          </w:p>
        </w:tc>
        <w:tc>
          <w:tcPr/>
          <w:p>
            <w:pPr>
              <w:pStyle w:val="Compact"/>
              <w:jc w:val="right"/>
            </w:pPr>
            <w:r>
              <w:t xml:space="preserve">15,000</w:t>
            </w:r>
          </w:p>
        </w:tc>
      </w:tr>
      <w:tr>
        <w:tc>
          <w:tcPr/>
          <w:p>
            <w:pPr>
              <w:pStyle w:val="Compact"/>
              <w:jc w:val="left"/>
            </w:pPr>
            <w:r>
              <w:rPr>
                <w:bCs/>
                <w:b/>
              </w:rPr>
              <w:t xml:space="preserve">Total monthly opex</w:t>
            </w:r>
          </w:p>
        </w:tc>
        <w:tc>
          <w:tcPr/>
          <w:p>
            <w:pPr>
              <w:pStyle w:val="Compact"/>
              <w:jc w:val="right"/>
            </w:pPr>
            <w:r>
              <w:rPr>
                <w:bCs/>
                <w:b/>
              </w:rPr>
              <w:t xml:space="preserve">≈ 832,000</w:t>
            </w:r>
          </w:p>
        </w:tc>
      </w:tr>
    </w:tbl>
    <w:bookmarkEnd w:id="64"/>
    <w:bookmarkStart w:id="65" w:name="revenue-projection-1"/>
    <w:p>
      <w:pPr>
        <w:pStyle w:val="Heading3"/>
      </w:pPr>
      <w:r>
        <w:t xml:space="preserve">20.3 Revenue projection</w:t>
      </w:r>
    </w:p>
    <w:p>
      <w:pPr>
        <w:pStyle w:val="FirstParagraph"/>
      </w:pPr>
      <w:r>
        <w:t xml:space="preserve">Average blended session price:</w:t>
      </w:r>
      <w:r>
        <w:t xml:space="preserve"> </w:t>
      </w:r>
      <w:r>
        <w:rPr>
          <w:bCs/>
          <w:b/>
        </w:rPr>
        <w:t xml:space="preserve">EGP 700</w:t>
      </w:r>
      <w:r>
        <w:t xml:space="preserve">. Maximum theoretical capacity: ≈90 sessions/day across the larger, ~14-person clinical team.</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Year</w:t>
            </w:r>
          </w:p>
        </w:tc>
        <w:tc>
          <w:tcPr/>
          <w:p>
            <w:pPr>
              <w:pStyle w:val="Compact"/>
              <w:jc w:val="right"/>
            </w:pPr>
            <w:r>
              <w:t xml:space="preserve">Avg. utilisation</w:t>
            </w:r>
          </w:p>
        </w:tc>
        <w:tc>
          <w:tcPr/>
          <w:p>
            <w:pPr>
              <w:pStyle w:val="Compact"/>
              <w:jc w:val="right"/>
            </w:pPr>
            <w:r>
              <w:t xml:space="preserve">Sessions/day (avg)</w:t>
            </w:r>
          </w:p>
        </w:tc>
        <w:tc>
          <w:tcPr/>
          <w:p>
            <w:pPr>
              <w:pStyle w:val="Compact"/>
              <w:jc w:val="right"/>
            </w:pPr>
            <w:r>
              <w:t xml:space="preserve">Annual sessions</w:t>
            </w:r>
          </w:p>
        </w:tc>
        <w:tc>
          <w:tcPr/>
          <w:p>
            <w:pPr>
              <w:pStyle w:val="Compact"/>
              <w:jc w:val="right"/>
            </w:pPr>
            <w:r>
              <w:t xml:space="preserve">Annual revenue (EGP)</w:t>
            </w:r>
          </w:p>
        </w:tc>
      </w:tr>
      <w:tr>
        <w:tc>
          <w:tcPr/>
          <w:p>
            <w:pPr>
              <w:pStyle w:val="Compact"/>
              <w:jc w:val="left"/>
            </w:pPr>
            <w:r>
              <w:t xml:space="preserve">Year 1</w:t>
            </w:r>
          </w:p>
        </w:tc>
        <w:tc>
          <w:tcPr/>
          <w:p>
            <w:pPr>
              <w:pStyle w:val="Compact"/>
              <w:jc w:val="right"/>
            </w:pPr>
            <w:r>
              <w:t xml:space="preserve">35%</w:t>
            </w:r>
          </w:p>
        </w:tc>
        <w:tc>
          <w:tcPr/>
          <w:p>
            <w:pPr>
              <w:pStyle w:val="Compact"/>
              <w:jc w:val="right"/>
            </w:pPr>
            <w:r>
              <w:t xml:space="preserve">31</w:t>
            </w:r>
          </w:p>
        </w:tc>
        <w:tc>
          <w:tcPr/>
          <w:p>
            <w:pPr>
              <w:pStyle w:val="Compact"/>
              <w:jc w:val="right"/>
            </w:pPr>
            <w:r>
              <w:t xml:space="preserve">8,060</w:t>
            </w:r>
          </w:p>
        </w:tc>
        <w:tc>
          <w:tcPr/>
          <w:p>
            <w:pPr>
              <w:pStyle w:val="Compact"/>
              <w:jc w:val="right"/>
            </w:pPr>
            <w:r>
              <w:t xml:space="preserve">6,770,400</w:t>
            </w:r>
          </w:p>
        </w:tc>
      </w:tr>
      <w:tr>
        <w:tc>
          <w:tcPr/>
          <w:p>
            <w:pPr>
              <w:pStyle w:val="Compact"/>
              <w:jc w:val="left"/>
            </w:pPr>
            <w:r>
              <w:t xml:space="preserve">Year 2</w:t>
            </w:r>
          </w:p>
        </w:tc>
        <w:tc>
          <w:tcPr/>
          <w:p>
            <w:pPr>
              <w:pStyle w:val="Compact"/>
              <w:jc w:val="right"/>
            </w:pPr>
            <w:r>
              <w:t xml:space="preserve">60%</w:t>
            </w:r>
          </w:p>
        </w:tc>
        <w:tc>
          <w:tcPr/>
          <w:p>
            <w:pPr>
              <w:pStyle w:val="Compact"/>
              <w:jc w:val="right"/>
            </w:pPr>
            <w:r>
              <w:t xml:space="preserve">54</w:t>
            </w:r>
          </w:p>
        </w:tc>
        <w:tc>
          <w:tcPr/>
          <w:p>
            <w:pPr>
              <w:pStyle w:val="Compact"/>
              <w:jc w:val="right"/>
            </w:pPr>
            <w:r>
              <w:t xml:space="preserve">14,040</w:t>
            </w:r>
          </w:p>
        </w:tc>
        <w:tc>
          <w:tcPr/>
          <w:p>
            <w:pPr>
              <w:pStyle w:val="Compact"/>
              <w:jc w:val="right"/>
            </w:pPr>
            <w:r>
              <w:t xml:space="preserve">11,793,600</w:t>
            </w:r>
          </w:p>
        </w:tc>
      </w:tr>
      <w:tr>
        <w:tc>
          <w:tcPr/>
          <w:p>
            <w:pPr>
              <w:pStyle w:val="Compact"/>
              <w:jc w:val="left"/>
            </w:pPr>
            <w:r>
              <w:t xml:space="preserve">Year 3</w:t>
            </w:r>
          </w:p>
        </w:tc>
        <w:tc>
          <w:tcPr/>
          <w:p>
            <w:pPr>
              <w:pStyle w:val="Compact"/>
              <w:jc w:val="right"/>
            </w:pPr>
            <w:r>
              <w:t xml:space="preserve">80%</w:t>
            </w:r>
          </w:p>
        </w:tc>
        <w:tc>
          <w:tcPr/>
          <w:p>
            <w:pPr>
              <w:pStyle w:val="Compact"/>
              <w:jc w:val="right"/>
            </w:pPr>
            <w:r>
              <w:t xml:space="preserve">72</w:t>
            </w:r>
          </w:p>
        </w:tc>
        <w:tc>
          <w:tcPr/>
          <w:p>
            <w:pPr>
              <w:pStyle w:val="Compact"/>
              <w:jc w:val="right"/>
            </w:pPr>
            <w:r>
              <w:t xml:space="preserve">18,720</w:t>
            </w:r>
          </w:p>
        </w:tc>
        <w:tc>
          <w:tcPr/>
          <w:p>
            <w:pPr>
              <w:pStyle w:val="Compact"/>
              <w:jc w:val="right"/>
            </w:pPr>
            <w:r>
              <w:t xml:space="preserve">15,724,800</w:t>
            </w:r>
          </w:p>
        </w:tc>
      </w:tr>
    </w:tbl>
    <w:bookmarkEnd w:id="65"/>
    <w:bookmarkStart w:id="66" w:name="break-even-analysis-1"/>
    <w:p>
      <w:pPr>
        <w:pStyle w:val="Heading3"/>
      </w:pPr>
      <w:r>
        <w:t xml:space="preserve">20.4 Break-even analysis</w:t>
      </w:r>
    </w:p>
    <w:p>
      <w:pPr>
        <w:numPr>
          <w:ilvl w:val="0"/>
          <w:numId w:val="1023"/>
        </w:numPr>
        <w:pStyle w:val="Compact"/>
      </w:pPr>
      <w:r>
        <w:t xml:space="preserve">Contribution margin/session ≈ EGP 640 (price 700 less ≈9% variable cost)</w:t>
      </w:r>
    </w:p>
    <w:p>
      <w:pPr>
        <w:numPr>
          <w:ilvl w:val="0"/>
          <w:numId w:val="1023"/>
        </w:numPr>
        <w:pStyle w:val="Compact"/>
      </w:pPr>
      <w:r>
        <w:t xml:space="preserve">Break-even volume ≈</w:t>
      </w:r>
      <w:r>
        <w:t xml:space="preserve"> </w:t>
      </w:r>
      <w:r>
        <w:rPr>
          <w:bCs/>
          <w:b/>
        </w:rPr>
        <w:t xml:space="preserve">1,261 sessions/month (≈ 48.5/day)</w:t>
      </w:r>
      <w:r>
        <w:t xml:space="preserve"> </w:t>
      </w:r>
      <w:r>
        <w:t xml:space="preserve">— crossed during Year 2</w:t>
      </w:r>
    </w:p>
    <w:p>
      <w:pPr>
        <w:numPr>
          <w:ilvl w:val="0"/>
          <w:numId w:val="1023"/>
        </w:numPr>
        <w:pStyle w:val="Compact"/>
      </w:pPr>
      <w:r>
        <w:t xml:space="preserve">Break-even reached on a monthly run-rate basis around</w:t>
      </w:r>
      <w:r>
        <w:t xml:space="preserve"> </w:t>
      </w:r>
      <w:r>
        <w:rPr>
          <w:bCs/>
          <w:b/>
        </w:rPr>
        <w:t xml:space="preserve">month ≈ 16–18</w:t>
      </w:r>
    </w:p>
    <w:bookmarkEnd w:id="66"/>
    <w:bookmarkStart w:id="67" w:name="year-pl-summary-cash-flow-1"/>
    <w:p>
      <w:pPr>
        <w:pStyle w:val="Heading3"/>
      </w:pPr>
      <w:r>
        <w:t xml:space="preserve">20.5 3-year P&amp;L summary &amp; cash flow</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Year 1</w:t>
            </w:r>
          </w:p>
        </w:tc>
        <w:tc>
          <w:tcPr/>
          <w:p>
            <w:pPr>
              <w:pStyle w:val="Compact"/>
              <w:jc w:val="right"/>
            </w:pPr>
            <w:r>
              <w:t xml:space="preserve">Year 2</w:t>
            </w:r>
          </w:p>
        </w:tc>
        <w:tc>
          <w:tcPr/>
          <w:p>
            <w:pPr>
              <w:pStyle w:val="Compact"/>
              <w:jc w:val="right"/>
            </w:pPr>
            <w:r>
              <w:t xml:space="preserve">Year 3</w:t>
            </w:r>
          </w:p>
        </w:tc>
      </w:tr>
      <w:tr>
        <w:tc>
          <w:tcPr/>
          <w:p>
            <w:pPr>
              <w:pStyle w:val="Compact"/>
              <w:jc w:val="left"/>
            </w:pPr>
            <w:r>
              <w:t xml:space="preserve">Revenue</w:t>
            </w:r>
          </w:p>
        </w:tc>
        <w:tc>
          <w:tcPr/>
          <w:p>
            <w:pPr>
              <w:pStyle w:val="Compact"/>
              <w:jc w:val="right"/>
            </w:pPr>
            <w:r>
              <w:t xml:space="preserve">6,770,400</w:t>
            </w:r>
          </w:p>
        </w:tc>
        <w:tc>
          <w:tcPr/>
          <w:p>
            <w:pPr>
              <w:pStyle w:val="Compact"/>
              <w:jc w:val="right"/>
            </w:pPr>
            <w:r>
              <w:t xml:space="preserve">11,793,600</w:t>
            </w:r>
          </w:p>
        </w:tc>
        <w:tc>
          <w:tcPr/>
          <w:p>
            <w:pPr>
              <w:pStyle w:val="Compact"/>
              <w:jc w:val="right"/>
            </w:pPr>
            <w:r>
              <w:t xml:space="preserve">15,724,800</w:t>
            </w:r>
          </w:p>
        </w:tc>
      </w:tr>
      <w:tr>
        <w:tc>
          <w:tcPr/>
          <w:p>
            <w:pPr>
              <w:pStyle w:val="Compact"/>
              <w:jc w:val="left"/>
            </w:pPr>
            <w:r>
              <w:t xml:space="preserve">Operating costs</w:t>
            </w:r>
          </w:p>
        </w:tc>
        <w:tc>
          <w:tcPr/>
          <w:p>
            <w:pPr>
              <w:pStyle w:val="Compact"/>
              <w:jc w:val="right"/>
            </w:pPr>
            <w:r>
              <w:t xml:space="preserve">9,984,000</w:t>
            </w:r>
          </w:p>
        </w:tc>
        <w:tc>
          <w:tcPr/>
          <w:p>
            <w:pPr>
              <w:pStyle w:val="Compact"/>
              <w:jc w:val="right"/>
            </w:pPr>
            <w:r>
              <w:t xml:space="preserve">10,800,000</w:t>
            </w:r>
          </w:p>
        </w:tc>
        <w:tc>
          <w:tcPr/>
          <w:p>
            <w:pPr>
              <w:pStyle w:val="Compact"/>
              <w:jc w:val="right"/>
            </w:pPr>
            <w:r>
              <w:t xml:space="preserve">11,450,000</w:t>
            </w:r>
          </w:p>
        </w:tc>
      </w:tr>
      <w:tr>
        <w:tc>
          <w:tcPr/>
          <w:p>
            <w:pPr>
              <w:pStyle w:val="Compact"/>
              <w:jc w:val="left"/>
            </w:pPr>
            <w:r>
              <w:rPr>
                <w:bCs/>
                <w:b/>
              </w:rPr>
              <w:t xml:space="preserve">EBITDA</w:t>
            </w:r>
          </w:p>
        </w:tc>
        <w:tc>
          <w:tcPr/>
          <w:p>
            <w:pPr>
              <w:pStyle w:val="Compact"/>
              <w:jc w:val="right"/>
            </w:pPr>
            <w:r>
              <w:rPr>
                <w:bCs/>
                <w:b/>
              </w:rPr>
              <w:t xml:space="preserve">(3,213,600)</w:t>
            </w:r>
          </w:p>
        </w:tc>
        <w:tc>
          <w:tcPr/>
          <w:p>
            <w:pPr>
              <w:pStyle w:val="Compact"/>
              <w:jc w:val="right"/>
            </w:pPr>
            <w:r>
              <w:rPr>
                <w:bCs/>
                <w:b/>
              </w:rPr>
              <w:t xml:space="preserve">993,600</w:t>
            </w:r>
          </w:p>
        </w:tc>
        <w:tc>
          <w:tcPr/>
          <w:p>
            <w:pPr>
              <w:pStyle w:val="Compact"/>
              <w:jc w:val="right"/>
            </w:pPr>
            <w:r>
              <w:rPr>
                <w:bCs/>
                <w:b/>
              </w:rPr>
              <w:t xml:space="preserve">4,274,800</w:t>
            </w:r>
          </w:p>
        </w:tc>
      </w:tr>
      <w:tr>
        <w:tc>
          <w:tcPr/>
          <w:p>
            <w:pPr>
              <w:pStyle w:val="Compact"/>
              <w:jc w:val="left"/>
            </w:pPr>
            <w:r>
              <w:t xml:space="preserve">EBITDA margin</w:t>
            </w:r>
          </w:p>
        </w:tc>
        <w:tc>
          <w:tcPr/>
          <w:p>
            <w:pPr>
              <w:pStyle w:val="Compact"/>
              <w:jc w:val="right"/>
            </w:pPr>
            <w:r>
              <w:t xml:space="preserve">(47%)</w:t>
            </w:r>
          </w:p>
        </w:tc>
        <w:tc>
          <w:tcPr/>
          <w:p>
            <w:pPr>
              <w:pStyle w:val="Compact"/>
              <w:jc w:val="right"/>
            </w:pPr>
            <w:r>
              <w:t xml:space="preserve">8%</w:t>
            </w:r>
          </w:p>
        </w:tc>
        <w:tc>
          <w:tcPr/>
          <w:p>
            <w:pPr>
              <w:pStyle w:val="Compact"/>
              <w:jc w:val="right"/>
            </w:pPr>
            <w:r>
              <w:t xml:space="preserve">27%</w:t>
            </w:r>
          </w:p>
        </w:tc>
      </w:tr>
      <w:tr>
        <w:tc>
          <w:tcPr/>
          <w:p>
            <w:pPr>
              <w:pStyle w:val="Compact"/>
              <w:jc w:val="left"/>
            </w:pPr>
            <w:r>
              <w:t xml:space="preserve">Cumulative EBITDA (post-launch)</w:t>
            </w:r>
          </w:p>
        </w:tc>
        <w:tc>
          <w:tcPr/>
          <w:p>
            <w:pPr>
              <w:pStyle w:val="Compact"/>
              <w:jc w:val="right"/>
            </w:pPr>
            <w:r>
              <w:t xml:space="preserve">(3,213,600)</w:t>
            </w:r>
          </w:p>
        </w:tc>
        <w:tc>
          <w:tcPr/>
          <w:p>
            <w:pPr>
              <w:pStyle w:val="Compact"/>
              <w:jc w:val="right"/>
            </w:pPr>
            <w:r>
              <w:t xml:space="preserve">(2,220,000)</w:t>
            </w:r>
          </w:p>
        </w:tc>
        <w:tc>
          <w:tcPr/>
          <w:p>
            <w:pPr>
              <w:pStyle w:val="Compact"/>
              <w:jc w:val="right"/>
            </w:pPr>
            <w:r>
              <w:t xml:space="preserve">2,054,800</w:t>
            </w:r>
          </w:p>
        </w:tc>
      </w:tr>
    </w:tbl>
    <w:bookmarkEnd w:id="67"/>
    <w:bookmarkStart w:id="68" w:name="roi-payback-1"/>
    <w:p>
      <w:pPr>
        <w:pStyle w:val="Heading3"/>
      </w:pPr>
      <w:r>
        <w:t xml:space="preserve">20.6 ROI &amp; payback</w:t>
      </w:r>
    </w:p>
    <w:p>
      <w:pPr>
        <w:numPr>
          <w:ilvl w:val="0"/>
          <w:numId w:val="1024"/>
        </w:numPr>
        <w:pStyle w:val="Compact"/>
      </w:pPr>
      <w:r>
        <w:rPr>
          <w:bCs/>
          <w:b/>
        </w:rPr>
        <w:t xml:space="preserve">Stabilised payback</w:t>
      </w:r>
      <w:r>
        <w:t xml:space="preserve">: 11,175,000 ÷ 4,274,800 ≈</w:t>
      </w:r>
      <w:r>
        <w:t xml:space="preserve"> </w:t>
      </w:r>
      <w:r>
        <w:rPr>
          <w:bCs/>
          <w:b/>
        </w:rPr>
        <w:t xml:space="preserve">2.6 years</w:t>
      </w:r>
    </w:p>
    <w:p>
      <w:pPr>
        <w:numPr>
          <w:ilvl w:val="0"/>
          <w:numId w:val="1024"/>
        </w:numPr>
        <w:pStyle w:val="Compact"/>
      </w:pPr>
      <w:r>
        <w:rPr>
          <w:bCs/>
          <w:b/>
        </w:rPr>
        <w:t xml:space="preserve">Cumulative payback</w:t>
      </w:r>
      <w:r>
        <w:t xml:space="preserve"> </w:t>
      </w:r>
      <w:r>
        <w:t xml:space="preserve">(incl. ramp-up losses): ≈</w:t>
      </w:r>
      <w:r>
        <w:t xml:space="preserve"> </w:t>
      </w:r>
      <w:r>
        <w:rPr>
          <w:bCs/>
          <w:b/>
        </w:rPr>
        <w:t xml:space="preserve">4.5–5 years</w:t>
      </w:r>
    </w:p>
    <w:p>
      <w:pPr>
        <w:numPr>
          <w:ilvl w:val="0"/>
          <w:numId w:val="1024"/>
        </w:numPr>
        <w:pStyle w:val="Compact"/>
      </w:pPr>
      <w:r>
        <w:t xml:space="preserve">By Year 3, the Center is generating an annualised EBITDA run-rate of ≈EGP 4.3M on an ≈EGP 11.2M investment; applying a conservative healthcare-services exit multiple of 3–4× EBITDA implies an indicative enterprise value of</w:t>
      </w:r>
      <w:r>
        <w:t xml:space="preserve"> </w:t>
      </w:r>
      <w:r>
        <w:rPr>
          <w:bCs/>
          <w:b/>
        </w:rPr>
        <w:t xml:space="preserve">EGP 13–17M by Year 3</w:t>
      </w:r>
      <w:r>
        <w:t xml:space="preserve"> </w:t>
      </w:r>
      <w:r>
        <w:t xml:space="preserve">— already approaching or exceeding the initial investment in value-creation terms, ahead of cumulative cash payback.</w:t>
      </w:r>
    </w:p>
    <w:p>
      <w:r>
        <w:pict>
          <v:rect style="width:0;height:1.5pt" o:hralign="center" o:hrstd="t" o:hr="t"/>
        </w:pict>
      </w:r>
    </w:p>
    <w:bookmarkEnd w:id="68"/>
    <w:bookmarkEnd w:id="69"/>
    <w:bookmarkStart w:id="77" w:name="option-3-luxury-budget-flagship"/>
    <w:p>
      <w:pPr>
        <w:pStyle w:val="Heading1"/>
      </w:pPr>
      <w:r>
        <w:t xml:space="preserve">21. Option 3 — Luxury Budget (</w:t>
      </w:r>
      <w:r>
        <w:t xml:space="preserve">“</w:t>
      </w:r>
      <w:r>
        <w:t xml:space="preserve">Flagship</w:t>
      </w:r>
      <w:r>
        <w:t xml:space="preserve">”</w:t>
      </w:r>
      <w:r>
        <w:t xml:space="preserve">)</w:t>
      </w:r>
    </w:p>
    <w:p>
      <w:pPr>
        <w:pStyle w:val="FirstParagraph"/>
      </w:pPr>
      <w:r>
        <w:rPr>
          <w:bCs/>
          <w:b/>
        </w:rPr>
        <w:t xml:space="preserve">Positioning:</w:t>
      </w:r>
      <w:r>
        <w:t xml:space="preserve"> </w:t>
      </w:r>
      <w:r>
        <w:t xml:space="preserve">a premium, technology-forward flagship center with luxury interior design, advanced robotics/VR rehabilitation technology, a full hydrotherapy pool, and a concierge-level patient experience — targeting Cairo’s top-tier private patients and Gulf medical-tourism referrals.</w:t>
      </w:r>
    </w:p>
    <w:bookmarkStart w:id="70" w:name="start-up-costs-2"/>
    <w:p>
      <w:pPr>
        <w:pStyle w:val="Heading3"/>
      </w:pPr>
      <w:r>
        <w:t xml:space="preserve">21.1 Start-up costs</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Item</w:t>
            </w:r>
          </w:p>
        </w:tc>
        <w:tc>
          <w:tcPr/>
          <w:p>
            <w:pPr>
              <w:pStyle w:val="Compact"/>
              <w:jc w:val="right"/>
            </w:pPr>
            <w:r>
              <w:t xml:space="preserve">EGP</w:t>
            </w:r>
          </w:p>
        </w:tc>
        <w:tc>
          <w:tcPr/>
          <w:p>
            <w:pPr>
              <w:pStyle w:val="Compact"/>
              <w:jc w:val="right"/>
            </w:pPr>
            <w:r>
              <w:t xml:space="preserve">USD (≈)</w:t>
            </w:r>
          </w:p>
        </w:tc>
      </w:tr>
      <w:tr>
        <w:tc>
          <w:tcPr/>
          <w:p>
            <w:pPr>
              <w:pStyle w:val="Compact"/>
              <w:jc w:val="left"/>
            </w:pPr>
            <w:r>
              <w:t xml:space="preserve">Renovation &amp; luxury interior design (900 m² × ≈12,000 EGP/m², incl. pool construction, acoustic/lighting design)</w:t>
            </w:r>
          </w:p>
        </w:tc>
        <w:tc>
          <w:tcPr/>
          <w:p>
            <w:pPr>
              <w:pStyle w:val="Compact"/>
              <w:jc w:val="right"/>
            </w:pPr>
            <w:r>
              <w:t xml:space="preserve">10,800,000</w:t>
            </w:r>
          </w:p>
        </w:tc>
        <w:tc>
          <w:tcPr/>
          <w:p>
            <w:pPr>
              <w:pStyle w:val="Compact"/>
              <w:jc w:val="right"/>
            </w:pPr>
            <w:r>
              <w:t xml:space="preserve">216,000</w:t>
            </w:r>
          </w:p>
        </w:tc>
      </w:tr>
      <w:tr>
        <w:tc>
          <w:tcPr/>
          <w:p>
            <w:pPr>
              <w:pStyle w:val="Compact"/>
              <w:jc w:val="left"/>
            </w:pPr>
            <w:r>
              <w:t xml:space="preserve">Equipment — Orthopaedic &amp; Sports (incl. AlterG, 3D motion analysis, cryotherapy)</w:t>
            </w:r>
          </w:p>
        </w:tc>
        <w:tc>
          <w:tcPr/>
          <w:p>
            <w:pPr>
              <w:pStyle w:val="Compact"/>
              <w:jc w:val="right"/>
            </w:pPr>
            <w:r>
              <w:t xml:space="preserve">5,500,000</w:t>
            </w:r>
          </w:p>
        </w:tc>
        <w:tc>
          <w:tcPr/>
          <w:p>
            <w:pPr>
              <w:pStyle w:val="Compact"/>
              <w:jc w:val="right"/>
            </w:pPr>
            <w:r>
              <w:t xml:space="preserve">110,000</w:t>
            </w:r>
          </w:p>
        </w:tc>
      </w:tr>
      <w:tr>
        <w:tc>
          <w:tcPr/>
          <w:p>
            <w:pPr>
              <w:pStyle w:val="Compact"/>
              <w:jc w:val="left"/>
            </w:pPr>
            <w:r>
              <w:t xml:space="preserve">Equipment — Adult Neurological (incl. robotic gait trainer, VR system, ceiling track)</w:t>
            </w:r>
          </w:p>
        </w:tc>
        <w:tc>
          <w:tcPr/>
          <w:p>
            <w:pPr>
              <w:pStyle w:val="Compact"/>
              <w:jc w:val="right"/>
            </w:pPr>
            <w:r>
              <w:t xml:space="preserve">6,500,000</w:t>
            </w:r>
          </w:p>
        </w:tc>
        <w:tc>
          <w:tcPr/>
          <w:p>
            <w:pPr>
              <w:pStyle w:val="Compact"/>
              <w:jc w:val="right"/>
            </w:pPr>
            <w:r>
              <w:t xml:space="preserve">130,000</w:t>
            </w:r>
          </w:p>
        </w:tc>
      </w:tr>
      <w:tr>
        <w:tc>
          <w:tcPr/>
          <w:p>
            <w:pPr>
              <w:pStyle w:val="Compact"/>
              <w:jc w:val="left"/>
            </w:pPr>
            <w:r>
              <w:t xml:space="preserve">Equipment — Pediatric (incl. hydrotherapy pool, VR, robotics, Snoezelen room)</w:t>
            </w:r>
          </w:p>
        </w:tc>
        <w:tc>
          <w:tcPr/>
          <w:p>
            <w:pPr>
              <w:pStyle w:val="Compact"/>
              <w:jc w:val="right"/>
            </w:pPr>
            <w:r>
              <w:t xml:space="preserve">4,500,000</w:t>
            </w:r>
          </w:p>
        </w:tc>
        <w:tc>
          <w:tcPr/>
          <w:p>
            <w:pPr>
              <w:pStyle w:val="Compact"/>
              <w:jc w:val="right"/>
            </w:pPr>
            <w:r>
              <w:t xml:space="preserve">90,000</w:t>
            </w:r>
          </w:p>
        </w:tc>
      </w:tr>
      <w:tr>
        <w:tc>
          <w:tcPr/>
          <w:p>
            <w:pPr>
              <w:pStyle w:val="Compact"/>
              <w:jc w:val="left"/>
            </w:pPr>
            <w:r>
              <w:t xml:space="preserve">Equipment — Shared (pool infra, premium reception, telehealth studio, BI dashboards)</w:t>
            </w:r>
          </w:p>
        </w:tc>
        <w:tc>
          <w:tcPr/>
          <w:p>
            <w:pPr>
              <w:pStyle w:val="Compact"/>
              <w:jc w:val="right"/>
            </w:pPr>
            <w:r>
              <w:t xml:space="preserve">3,000,000</w:t>
            </w:r>
          </w:p>
        </w:tc>
        <w:tc>
          <w:tcPr/>
          <w:p>
            <w:pPr>
              <w:pStyle w:val="Compact"/>
              <w:jc w:val="right"/>
            </w:pPr>
            <w:r>
              <w:t xml:space="preserve">60,000</w:t>
            </w:r>
          </w:p>
        </w:tc>
      </w:tr>
      <w:tr>
        <w:tc>
          <w:tcPr/>
          <w:p>
            <w:pPr>
              <w:pStyle w:val="Compact"/>
              <w:jc w:val="left"/>
            </w:pPr>
            <w:r>
              <w:t xml:space="preserve">Licensing &amp; legal (incl. accreditation groundwork)</w:t>
            </w:r>
          </w:p>
        </w:tc>
        <w:tc>
          <w:tcPr/>
          <w:p>
            <w:pPr>
              <w:pStyle w:val="Compact"/>
              <w:jc w:val="right"/>
            </w:pPr>
            <w:r>
              <w:t xml:space="preserve">500,000</w:t>
            </w:r>
          </w:p>
        </w:tc>
        <w:tc>
          <w:tcPr/>
          <w:p>
            <w:pPr>
              <w:pStyle w:val="Compact"/>
              <w:jc w:val="right"/>
            </w:pPr>
            <w:r>
              <w:t xml:space="preserve">10,000</w:t>
            </w:r>
          </w:p>
        </w:tc>
      </w:tr>
      <w:tr>
        <w:tc>
          <w:tcPr/>
          <w:p>
            <w:pPr>
              <w:pStyle w:val="Compact"/>
              <w:jc w:val="left"/>
            </w:pPr>
            <w:r>
              <w:t xml:space="preserve">Technology (AI-enabled EMR, patient app, biometric access)</w:t>
            </w:r>
          </w:p>
        </w:tc>
        <w:tc>
          <w:tcPr/>
          <w:p>
            <w:pPr>
              <w:pStyle w:val="Compact"/>
              <w:jc w:val="right"/>
            </w:pPr>
            <w:r>
              <w:t xml:space="preserve">700,000</w:t>
            </w:r>
          </w:p>
        </w:tc>
        <w:tc>
          <w:tcPr/>
          <w:p>
            <w:pPr>
              <w:pStyle w:val="Compact"/>
              <w:jc w:val="right"/>
            </w:pPr>
            <w:r>
              <w:t xml:space="preserve">14,000</w:t>
            </w:r>
          </w:p>
        </w:tc>
      </w:tr>
      <w:tr>
        <w:tc>
          <w:tcPr/>
          <w:p>
            <w:pPr>
              <w:pStyle w:val="Compact"/>
              <w:jc w:val="left"/>
            </w:pPr>
            <w:r>
              <w:t xml:space="preserve">Launch marketing (PR agency, luxury launch, medical-tourism outreach)</w:t>
            </w:r>
          </w:p>
        </w:tc>
        <w:tc>
          <w:tcPr/>
          <w:p>
            <w:pPr>
              <w:pStyle w:val="Compact"/>
              <w:jc w:val="right"/>
            </w:pPr>
            <w:r>
              <w:t xml:space="preserve">1,000,000</w:t>
            </w:r>
          </w:p>
        </w:tc>
        <w:tc>
          <w:tcPr/>
          <w:p>
            <w:pPr>
              <w:pStyle w:val="Compact"/>
              <w:jc w:val="right"/>
            </w:pPr>
            <w:r>
              <w:t xml:space="preserve">20,000</w:t>
            </w:r>
          </w:p>
        </w:tc>
      </w:tr>
      <w:tr>
        <w:tc>
          <w:tcPr/>
          <w:p>
            <w:pPr>
              <w:pStyle w:val="Compact"/>
              <w:jc w:val="left"/>
            </w:pPr>
            <w:r>
              <w:t xml:space="preserve">Furniture &amp; signage (premium)</w:t>
            </w:r>
          </w:p>
        </w:tc>
        <w:tc>
          <w:tcPr/>
          <w:p>
            <w:pPr>
              <w:pStyle w:val="Compact"/>
              <w:jc w:val="right"/>
            </w:pPr>
            <w:r>
              <w:t xml:space="preserve">600,000</w:t>
            </w:r>
          </w:p>
        </w:tc>
        <w:tc>
          <w:tcPr/>
          <w:p>
            <w:pPr>
              <w:pStyle w:val="Compact"/>
              <w:jc w:val="right"/>
            </w:pPr>
            <w:r>
              <w:t xml:space="preserve">12,000</w:t>
            </w:r>
          </w:p>
        </w:tc>
      </w:tr>
      <w:tr>
        <w:tc>
          <w:tcPr/>
          <w:p>
            <w:pPr>
              <w:pStyle w:val="Compact"/>
              <w:jc w:val="left"/>
            </w:pPr>
            <w:r>
              <w:t xml:space="preserve">Rent deposit (6 months × 675,000)</w:t>
            </w:r>
          </w:p>
        </w:tc>
        <w:tc>
          <w:tcPr/>
          <w:p>
            <w:pPr>
              <w:pStyle w:val="Compact"/>
              <w:jc w:val="right"/>
            </w:pPr>
            <w:r>
              <w:t xml:space="preserve">4,050,000</w:t>
            </w:r>
          </w:p>
        </w:tc>
        <w:tc>
          <w:tcPr/>
          <w:p>
            <w:pPr>
              <w:pStyle w:val="Compact"/>
              <w:jc w:val="right"/>
            </w:pPr>
            <w:r>
              <w:t xml:space="preserve">81,000</w:t>
            </w:r>
          </w:p>
        </w:tc>
      </w:tr>
      <w:tr>
        <w:tc>
          <w:tcPr/>
          <w:p>
            <w:pPr>
              <w:pStyle w:val="Compact"/>
              <w:jc w:val="left"/>
            </w:pPr>
            <w:r>
              <w:t xml:space="preserve">Working-capital reserve (≈6 months operating costs)</w:t>
            </w:r>
          </w:p>
        </w:tc>
        <w:tc>
          <w:tcPr/>
          <w:p>
            <w:pPr>
              <w:pStyle w:val="Compact"/>
              <w:jc w:val="right"/>
            </w:pPr>
            <w:r>
              <w:t xml:space="preserve">14,800,000</w:t>
            </w:r>
          </w:p>
        </w:tc>
        <w:tc>
          <w:tcPr/>
          <w:p>
            <w:pPr>
              <w:pStyle w:val="Compact"/>
              <w:jc w:val="right"/>
            </w:pPr>
            <w:r>
              <w:t xml:space="preserve">296,000</w:t>
            </w:r>
          </w:p>
        </w:tc>
      </w:tr>
      <w:tr>
        <w:tc>
          <w:tcPr/>
          <w:p>
            <w:pPr>
              <w:pStyle w:val="Compact"/>
              <w:jc w:val="left"/>
            </w:pPr>
            <w:r>
              <w:rPr>
                <w:bCs/>
                <w:b/>
              </w:rPr>
              <w:t xml:space="preserve">Total start-up investment</w:t>
            </w:r>
          </w:p>
        </w:tc>
        <w:tc>
          <w:tcPr/>
          <w:p>
            <w:pPr>
              <w:pStyle w:val="Compact"/>
              <w:jc w:val="right"/>
            </w:pPr>
            <w:r>
              <w:rPr>
                <w:bCs/>
                <w:b/>
              </w:rPr>
              <w:t xml:space="preserve">≈ 51,950,000</w:t>
            </w:r>
          </w:p>
        </w:tc>
        <w:tc>
          <w:tcPr/>
          <w:p>
            <w:pPr>
              <w:pStyle w:val="Compact"/>
              <w:jc w:val="right"/>
            </w:pPr>
            <w:r>
              <w:rPr>
                <w:bCs/>
                <w:b/>
              </w:rPr>
              <w:t xml:space="preserve">≈ 1,039,000</w:t>
            </w:r>
          </w:p>
        </w:tc>
      </w:tr>
    </w:tbl>
    <w:bookmarkEnd w:id="70"/>
    <w:bookmarkStart w:id="71" w:name="Xa06b694820fb750b981d741c398aaf0209604df"/>
    <w:p>
      <w:pPr>
        <w:pStyle w:val="Heading3"/>
      </w:pPr>
      <w:r>
        <w:t xml:space="preserve">21.2 Monthly operating expenses (steady-state)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right"/>
            </w:pPr>
            <w:r>
              <w:t xml:space="preserve">EGP/month</w:t>
            </w:r>
          </w:p>
        </w:tc>
      </w:tr>
      <w:tr>
        <w:tc>
          <w:tcPr/>
          <w:p>
            <w:pPr>
              <w:pStyle w:val="Compact"/>
              <w:jc w:val="left"/>
            </w:pPr>
            <w:r>
              <w:t xml:space="preserve">Rent (900 m² × ≈750 EGP/m²)</w:t>
            </w:r>
          </w:p>
        </w:tc>
        <w:tc>
          <w:tcPr/>
          <w:p>
            <w:pPr>
              <w:pStyle w:val="Compact"/>
              <w:jc w:val="right"/>
            </w:pPr>
            <w:r>
              <w:t xml:space="preserve">675,000</w:t>
            </w:r>
          </w:p>
        </w:tc>
      </w:tr>
      <w:tr>
        <w:tc>
          <w:tcPr/>
          <w:p>
            <w:pPr>
              <w:pStyle w:val="Compact"/>
              <w:jc w:val="left"/>
            </w:pPr>
            <w:r>
              <w:t xml:space="preserve">Utilities &amp; pool maintenance</w:t>
            </w:r>
          </w:p>
        </w:tc>
        <w:tc>
          <w:tcPr/>
          <w:p>
            <w:pPr>
              <w:pStyle w:val="Compact"/>
              <w:jc w:val="right"/>
            </w:pPr>
            <w:r>
              <w:t xml:space="preserve">90,000</w:t>
            </w:r>
          </w:p>
        </w:tc>
      </w:tr>
      <w:tr>
        <w:tc>
          <w:tcPr/>
          <w:p>
            <w:pPr>
              <w:pStyle w:val="Compact"/>
              <w:jc w:val="left"/>
            </w:pPr>
            <w:r>
              <w:t xml:space="preserve">Payroll (≈62 staff)</w:t>
            </w:r>
          </w:p>
        </w:tc>
        <w:tc>
          <w:tcPr/>
          <w:p>
            <w:pPr>
              <w:pStyle w:val="Compact"/>
              <w:jc w:val="right"/>
            </w:pPr>
            <w:r>
              <w:t xml:space="preserve">1,400,000</w:t>
            </w:r>
          </w:p>
        </w:tc>
      </w:tr>
      <w:tr>
        <w:tc>
          <w:tcPr/>
          <w:p>
            <w:pPr>
              <w:pStyle w:val="Compact"/>
              <w:jc w:val="left"/>
            </w:pPr>
            <w:r>
              <w:t xml:space="preserve">Marketing (ongoing)</w:t>
            </w:r>
          </w:p>
        </w:tc>
        <w:tc>
          <w:tcPr/>
          <w:p>
            <w:pPr>
              <w:pStyle w:val="Compact"/>
              <w:jc w:val="right"/>
            </w:pPr>
            <w:r>
              <w:t xml:space="preserve">120,000</w:t>
            </w:r>
          </w:p>
        </w:tc>
      </w:tr>
      <w:tr>
        <w:tc>
          <w:tcPr/>
          <w:p>
            <w:pPr>
              <w:pStyle w:val="Compact"/>
              <w:jc w:val="left"/>
            </w:pPr>
            <w:r>
              <w:t xml:space="preserve">Consumables/supplies</w:t>
            </w:r>
          </w:p>
        </w:tc>
        <w:tc>
          <w:tcPr/>
          <w:p>
            <w:pPr>
              <w:pStyle w:val="Compact"/>
              <w:jc w:val="right"/>
            </w:pPr>
            <w:r>
              <w:t xml:space="preserve">60,000</w:t>
            </w:r>
          </w:p>
        </w:tc>
      </w:tr>
      <w:tr>
        <w:tc>
          <w:tcPr/>
          <w:p>
            <w:pPr>
              <w:pStyle w:val="Compact"/>
              <w:jc w:val="left"/>
            </w:pPr>
            <w:r>
              <w:t xml:space="preserve">Insurance (incl. premium liability)</w:t>
            </w:r>
          </w:p>
        </w:tc>
        <w:tc>
          <w:tcPr/>
          <w:p>
            <w:pPr>
              <w:pStyle w:val="Compact"/>
              <w:jc w:val="right"/>
            </w:pPr>
            <w:r>
              <w:t xml:space="preserve">35,000</w:t>
            </w:r>
          </w:p>
        </w:tc>
      </w:tr>
      <w:tr>
        <w:tc>
          <w:tcPr/>
          <w:p>
            <w:pPr>
              <w:pStyle w:val="Compact"/>
              <w:jc w:val="left"/>
            </w:pPr>
            <w:r>
              <w:t xml:space="preserve">Software/technology</w:t>
            </w:r>
          </w:p>
        </w:tc>
        <w:tc>
          <w:tcPr/>
          <w:p>
            <w:pPr>
              <w:pStyle w:val="Compact"/>
              <w:jc w:val="right"/>
            </w:pPr>
            <w:r>
              <w:t xml:space="preserve">40,000</w:t>
            </w:r>
          </w:p>
        </w:tc>
      </w:tr>
      <w:tr>
        <w:tc>
          <w:tcPr/>
          <w:p>
            <w:pPr>
              <w:pStyle w:val="Compact"/>
              <w:jc w:val="left"/>
            </w:pPr>
            <w:r>
              <w:t xml:space="preserve">Admin/miscellaneous</w:t>
            </w:r>
          </w:p>
        </w:tc>
        <w:tc>
          <w:tcPr/>
          <w:p>
            <w:pPr>
              <w:pStyle w:val="Compact"/>
              <w:jc w:val="right"/>
            </w:pPr>
            <w:r>
              <w:t xml:space="preserve">40,000</w:t>
            </w:r>
          </w:p>
        </w:tc>
      </w:tr>
      <w:tr>
        <w:tc>
          <w:tcPr/>
          <w:p>
            <w:pPr>
              <w:pStyle w:val="Compact"/>
              <w:jc w:val="left"/>
            </w:pPr>
            <w:r>
              <w:rPr>
                <w:bCs/>
                <w:b/>
              </w:rPr>
              <w:t xml:space="preserve">Total monthly opex</w:t>
            </w:r>
          </w:p>
        </w:tc>
        <w:tc>
          <w:tcPr/>
          <w:p>
            <w:pPr>
              <w:pStyle w:val="Compact"/>
              <w:jc w:val="right"/>
            </w:pPr>
            <w:r>
              <w:rPr>
                <w:bCs/>
                <w:b/>
              </w:rPr>
              <w:t xml:space="preserve">≈ 2,460,000</w:t>
            </w:r>
          </w:p>
        </w:tc>
      </w:tr>
    </w:tbl>
    <w:bookmarkEnd w:id="71"/>
    <w:bookmarkStart w:id="72" w:name="revenue-projection-2"/>
    <w:p>
      <w:pPr>
        <w:pStyle w:val="Heading3"/>
      </w:pPr>
      <w:r>
        <w:t xml:space="preserve">21.3 Revenue projection</w:t>
      </w:r>
    </w:p>
    <w:p>
      <w:pPr>
        <w:pStyle w:val="FirstParagraph"/>
      </w:pPr>
      <w:r>
        <w:t xml:space="preserve">Average blended session price:</w:t>
      </w:r>
      <w:r>
        <w:t xml:space="preserve"> </w:t>
      </w:r>
      <w:r>
        <w:rPr>
          <w:bCs/>
          <w:b/>
        </w:rPr>
        <w:t xml:space="preserve">EGP 1,300</w:t>
      </w:r>
      <w:r>
        <w:t xml:space="preserve"> </w:t>
      </w:r>
      <w:r>
        <w:t xml:space="preserve">(premium positioning, package pricing, higher-value robotic/VR-assisted sessions). Maximum theoretical capacity: ≈150 sessions/day across the ~50-person clinical team.</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Year</w:t>
            </w:r>
          </w:p>
        </w:tc>
        <w:tc>
          <w:tcPr/>
          <w:p>
            <w:pPr>
              <w:pStyle w:val="Compact"/>
              <w:jc w:val="right"/>
            </w:pPr>
            <w:r>
              <w:t xml:space="preserve">Avg. utilisation</w:t>
            </w:r>
          </w:p>
        </w:tc>
        <w:tc>
          <w:tcPr/>
          <w:p>
            <w:pPr>
              <w:pStyle w:val="Compact"/>
              <w:jc w:val="right"/>
            </w:pPr>
            <w:r>
              <w:t xml:space="preserve">Sessions/day (avg)</w:t>
            </w:r>
          </w:p>
        </w:tc>
        <w:tc>
          <w:tcPr/>
          <w:p>
            <w:pPr>
              <w:pStyle w:val="Compact"/>
              <w:jc w:val="right"/>
            </w:pPr>
            <w:r>
              <w:t xml:space="preserve">Annual sessions</w:t>
            </w:r>
          </w:p>
        </w:tc>
        <w:tc>
          <w:tcPr/>
          <w:p>
            <w:pPr>
              <w:pStyle w:val="Compact"/>
              <w:jc w:val="right"/>
            </w:pPr>
            <w:r>
              <w:t xml:space="preserve">Annual revenue (EGP)</w:t>
            </w:r>
          </w:p>
        </w:tc>
      </w:tr>
      <w:tr>
        <w:tc>
          <w:tcPr/>
          <w:p>
            <w:pPr>
              <w:pStyle w:val="Compact"/>
              <w:jc w:val="left"/>
            </w:pPr>
            <w:r>
              <w:t xml:space="preserve">Year 1</w:t>
            </w:r>
          </w:p>
        </w:tc>
        <w:tc>
          <w:tcPr/>
          <w:p>
            <w:pPr>
              <w:pStyle w:val="Compact"/>
              <w:jc w:val="right"/>
            </w:pPr>
            <w:r>
              <w:t xml:space="preserve">30%</w:t>
            </w:r>
          </w:p>
        </w:tc>
        <w:tc>
          <w:tcPr/>
          <w:p>
            <w:pPr>
              <w:pStyle w:val="Compact"/>
              <w:jc w:val="right"/>
            </w:pPr>
            <w:r>
              <w:t xml:space="preserve">45</w:t>
            </w:r>
          </w:p>
        </w:tc>
        <w:tc>
          <w:tcPr/>
          <w:p>
            <w:pPr>
              <w:pStyle w:val="Compact"/>
              <w:jc w:val="right"/>
            </w:pPr>
            <w:r>
              <w:t xml:space="preserve">11,700</w:t>
            </w:r>
          </w:p>
        </w:tc>
        <w:tc>
          <w:tcPr/>
          <w:p>
            <w:pPr>
              <w:pStyle w:val="Compact"/>
              <w:jc w:val="right"/>
            </w:pPr>
            <w:r>
              <w:t xml:space="preserve">15,210,000</w:t>
            </w:r>
          </w:p>
        </w:tc>
      </w:tr>
      <w:tr>
        <w:tc>
          <w:tcPr/>
          <w:p>
            <w:pPr>
              <w:pStyle w:val="Compact"/>
              <w:jc w:val="left"/>
            </w:pPr>
            <w:r>
              <w:t xml:space="preserve">Year 2</w:t>
            </w:r>
          </w:p>
        </w:tc>
        <w:tc>
          <w:tcPr/>
          <w:p>
            <w:pPr>
              <w:pStyle w:val="Compact"/>
              <w:jc w:val="right"/>
            </w:pPr>
            <w:r>
              <w:t xml:space="preserve">55%</w:t>
            </w:r>
          </w:p>
        </w:tc>
        <w:tc>
          <w:tcPr/>
          <w:p>
            <w:pPr>
              <w:pStyle w:val="Compact"/>
              <w:jc w:val="right"/>
            </w:pPr>
            <w:r>
              <w:t xml:space="preserve">82.5</w:t>
            </w:r>
          </w:p>
        </w:tc>
        <w:tc>
          <w:tcPr/>
          <w:p>
            <w:pPr>
              <w:pStyle w:val="Compact"/>
              <w:jc w:val="right"/>
            </w:pPr>
            <w:r>
              <w:t xml:space="preserve">21,450</w:t>
            </w:r>
          </w:p>
        </w:tc>
        <w:tc>
          <w:tcPr/>
          <w:p>
            <w:pPr>
              <w:pStyle w:val="Compact"/>
              <w:jc w:val="right"/>
            </w:pPr>
            <w:r>
              <w:t xml:space="preserve">27,885,000</w:t>
            </w:r>
          </w:p>
        </w:tc>
      </w:tr>
      <w:tr>
        <w:tc>
          <w:tcPr/>
          <w:p>
            <w:pPr>
              <w:pStyle w:val="Compact"/>
              <w:jc w:val="left"/>
            </w:pPr>
            <w:r>
              <w:t xml:space="preserve">Year 3</w:t>
            </w:r>
          </w:p>
        </w:tc>
        <w:tc>
          <w:tcPr/>
          <w:p>
            <w:pPr>
              <w:pStyle w:val="Compact"/>
              <w:jc w:val="right"/>
            </w:pPr>
            <w:r>
              <w:t xml:space="preserve">75%</w:t>
            </w:r>
          </w:p>
        </w:tc>
        <w:tc>
          <w:tcPr/>
          <w:p>
            <w:pPr>
              <w:pStyle w:val="Compact"/>
              <w:jc w:val="right"/>
            </w:pPr>
            <w:r>
              <w:t xml:space="preserve">112</w:t>
            </w:r>
          </w:p>
        </w:tc>
        <w:tc>
          <w:tcPr/>
          <w:p>
            <w:pPr>
              <w:pStyle w:val="Compact"/>
              <w:jc w:val="right"/>
            </w:pPr>
            <w:r>
              <w:t xml:space="preserve">29,120</w:t>
            </w:r>
          </w:p>
        </w:tc>
        <w:tc>
          <w:tcPr/>
          <w:p>
            <w:pPr>
              <w:pStyle w:val="Compact"/>
              <w:jc w:val="right"/>
            </w:pPr>
            <w:r>
              <w:t xml:space="preserve">37,856,000</w:t>
            </w:r>
          </w:p>
        </w:tc>
      </w:tr>
    </w:tbl>
    <w:p>
      <w:pPr>
        <w:pStyle w:val="BodyText"/>
      </w:pPr>
      <w:r>
        <w:rPr>
          <w:iCs/>
          <w:i/>
        </w:rPr>
        <w:t xml:space="preserve">(Note: figures above use 26 working days/month; Section 1 summary EGP 45.4M reflects the additional ancillary/package-revenue uplift described in 21.6.)</w:t>
      </w:r>
    </w:p>
    <w:bookmarkEnd w:id="72"/>
    <w:bookmarkStart w:id="73" w:name="break-even-analysis-2"/>
    <w:p>
      <w:pPr>
        <w:pStyle w:val="Heading3"/>
      </w:pPr>
      <w:r>
        <w:t xml:space="preserve">21.4 Break-even analysis</w:t>
      </w:r>
    </w:p>
    <w:p>
      <w:pPr>
        <w:numPr>
          <w:ilvl w:val="0"/>
          <w:numId w:val="1025"/>
        </w:numPr>
        <w:pStyle w:val="Compact"/>
      </w:pPr>
      <w:r>
        <w:t xml:space="preserve">Contribution margin/session ≈ EGP 1,200 (price 1,300 less ≈9% variable cost)</w:t>
      </w:r>
    </w:p>
    <w:p>
      <w:pPr>
        <w:numPr>
          <w:ilvl w:val="0"/>
          <w:numId w:val="1025"/>
        </w:numPr>
        <w:pStyle w:val="Compact"/>
      </w:pPr>
      <w:r>
        <w:t xml:space="preserve">Break-even volume ≈</w:t>
      </w:r>
      <w:r>
        <w:t xml:space="preserve"> </w:t>
      </w:r>
      <w:r>
        <w:rPr>
          <w:bCs/>
          <w:b/>
        </w:rPr>
        <w:t xml:space="preserve">2,000 sessions/month (≈ 77/day)</w:t>
      </w:r>
      <w:r>
        <w:t xml:space="preserve"> </w:t>
      </w:r>
      <w:r>
        <w:t xml:space="preserve">— crossed during Year 2</w:t>
      </w:r>
    </w:p>
    <w:p>
      <w:pPr>
        <w:numPr>
          <w:ilvl w:val="0"/>
          <w:numId w:val="1025"/>
        </w:numPr>
        <w:pStyle w:val="Compact"/>
      </w:pPr>
      <w:r>
        <w:t xml:space="preserve">Break-even reached on a monthly run-rate basis around</w:t>
      </w:r>
      <w:r>
        <w:t xml:space="preserve"> </w:t>
      </w:r>
      <w:r>
        <w:rPr>
          <w:bCs/>
          <w:b/>
        </w:rPr>
        <w:t xml:space="preserve">month ≈ 20–22</w:t>
      </w:r>
      <w:r>
        <w:t xml:space="preserve"> </w:t>
      </w:r>
      <w:r>
        <w:t xml:space="preserve">(slower than Options 1–2 due to the larger fixed-cost base, consistent with a flagship capital project)</w:t>
      </w:r>
    </w:p>
    <w:bookmarkEnd w:id="73"/>
    <w:bookmarkStart w:id="74" w:name="year-pl-summary-cash-flow-2"/>
    <w:p>
      <w:pPr>
        <w:pStyle w:val="Heading3"/>
      </w:pPr>
      <w:r>
        <w:t xml:space="preserve">21.5 3-year P&amp;L summary &amp; cash flow</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Year 1</w:t>
            </w:r>
          </w:p>
        </w:tc>
        <w:tc>
          <w:tcPr/>
          <w:p>
            <w:pPr>
              <w:pStyle w:val="Compact"/>
              <w:jc w:val="right"/>
            </w:pPr>
            <w:r>
              <w:t xml:space="preserve">Year 2</w:t>
            </w:r>
          </w:p>
        </w:tc>
        <w:tc>
          <w:tcPr/>
          <w:p>
            <w:pPr>
              <w:pStyle w:val="Compact"/>
              <w:jc w:val="right"/>
            </w:pPr>
            <w:r>
              <w:t xml:space="preserve">Year 3</w:t>
            </w:r>
          </w:p>
        </w:tc>
      </w:tr>
      <w:tr>
        <w:tc>
          <w:tcPr/>
          <w:p>
            <w:pPr>
              <w:pStyle w:val="Compact"/>
              <w:jc w:val="left"/>
            </w:pPr>
            <w:r>
              <w:t xml:space="preserve">Revenue (session-based)</w:t>
            </w:r>
          </w:p>
        </w:tc>
        <w:tc>
          <w:tcPr/>
          <w:p>
            <w:pPr>
              <w:pStyle w:val="Compact"/>
              <w:jc w:val="right"/>
            </w:pPr>
            <w:r>
              <w:t xml:space="preserve">15,210,000</w:t>
            </w:r>
          </w:p>
        </w:tc>
        <w:tc>
          <w:tcPr/>
          <w:p>
            <w:pPr>
              <w:pStyle w:val="Compact"/>
              <w:jc w:val="right"/>
            </w:pPr>
            <w:r>
              <w:t xml:space="preserve">27,885,000</w:t>
            </w:r>
          </w:p>
        </w:tc>
        <w:tc>
          <w:tcPr/>
          <w:p>
            <w:pPr>
              <w:pStyle w:val="Compact"/>
              <w:jc w:val="right"/>
            </w:pPr>
            <w:r>
              <w:t xml:space="preserve">37,856,000</w:t>
            </w:r>
          </w:p>
        </w:tc>
      </w:tr>
      <w:tr>
        <w:tc>
          <w:tcPr/>
          <w:p>
            <w:pPr>
              <w:pStyle w:val="Compact"/>
              <w:jc w:val="left"/>
            </w:pPr>
            <w:r>
              <w:t xml:space="preserve">Ancillary revenue (packages, memberships, medical tourism, corporate contracts — see 21.6)</w:t>
            </w:r>
          </w:p>
        </w:tc>
        <w:tc>
          <w:tcPr/>
          <w:p>
            <w:pPr>
              <w:pStyle w:val="Compact"/>
              <w:jc w:val="right"/>
            </w:pPr>
            <w:r>
              <w:t xml:space="preserve">1,200,000</w:t>
            </w:r>
          </w:p>
        </w:tc>
        <w:tc>
          <w:tcPr/>
          <w:p>
            <w:pPr>
              <w:pStyle w:val="Compact"/>
              <w:jc w:val="right"/>
            </w:pPr>
            <w:r>
              <w:t xml:space="preserve">3,500,000</w:t>
            </w:r>
          </w:p>
        </w:tc>
        <w:tc>
          <w:tcPr/>
          <w:p>
            <w:pPr>
              <w:pStyle w:val="Compact"/>
              <w:jc w:val="right"/>
            </w:pPr>
            <w:r>
              <w:t xml:space="preserve">7,500,000</w:t>
            </w:r>
          </w:p>
        </w:tc>
      </w:tr>
      <w:tr>
        <w:tc>
          <w:tcPr/>
          <w:p>
            <w:pPr>
              <w:pStyle w:val="Compact"/>
              <w:jc w:val="left"/>
            </w:pPr>
            <w:r>
              <w:rPr>
                <w:bCs/>
                <w:b/>
              </w:rPr>
              <w:t xml:space="preserve">Total revenue</w:t>
            </w:r>
          </w:p>
        </w:tc>
        <w:tc>
          <w:tcPr/>
          <w:p>
            <w:pPr>
              <w:pStyle w:val="Compact"/>
              <w:jc w:val="right"/>
            </w:pPr>
            <w:r>
              <w:t xml:space="preserve">16,410,000</w:t>
            </w:r>
          </w:p>
        </w:tc>
        <w:tc>
          <w:tcPr/>
          <w:p>
            <w:pPr>
              <w:pStyle w:val="Compact"/>
              <w:jc w:val="right"/>
            </w:pPr>
            <w:r>
              <w:t xml:space="preserve">31,385,000</w:t>
            </w:r>
          </w:p>
        </w:tc>
        <w:tc>
          <w:tcPr/>
          <w:p>
            <w:pPr>
              <w:pStyle w:val="Compact"/>
              <w:jc w:val="right"/>
            </w:pPr>
            <w:r>
              <w:t xml:space="preserve">45,356,000</w:t>
            </w:r>
          </w:p>
        </w:tc>
      </w:tr>
      <w:tr>
        <w:tc>
          <w:tcPr/>
          <w:p>
            <w:pPr>
              <w:pStyle w:val="Compact"/>
              <w:jc w:val="left"/>
            </w:pPr>
            <w:r>
              <w:t xml:space="preserve">Operating costs</w:t>
            </w:r>
          </w:p>
        </w:tc>
        <w:tc>
          <w:tcPr/>
          <w:p>
            <w:pPr>
              <w:pStyle w:val="Compact"/>
              <w:jc w:val="right"/>
            </w:pPr>
            <w:r>
              <w:t xml:space="preserve">29,520,000</w:t>
            </w:r>
          </w:p>
        </w:tc>
        <w:tc>
          <w:tcPr/>
          <w:p>
            <w:pPr>
              <w:pStyle w:val="Compact"/>
              <w:jc w:val="right"/>
            </w:pPr>
            <w:r>
              <w:t xml:space="preserve">32,500,000</w:t>
            </w:r>
          </w:p>
        </w:tc>
        <w:tc>
          <w:tcPr/>
          <w:p>
            <w:pPr>
              <w:pStyle w:val="Compact"/>
              <w:jc w:val="right"/>
            </w:pPr>
            <w:r>
              <w:t xml:space="preserve">34,500,000</w:t>
            </w:r>
          </w:p>
        </w:tc>
      </w:tr>
      <w:tr>
        <w:tc>
          <w:tcPr/>
          <w:p>
            <w:pPr>
              <w:pStyle w:val="Compact"/>
              <w:jc w:val="left"/>
            </w:pPr>
            <w:r>
              <w:rPr>
                <w:bCs/>
                <w:b/>
              </w:rPr>
              <w:t xml:space="preserve">EBITDA</w:t>
            </w:r>
          </w:p>
        </w:tc>
        <w:tc>
          <w:tcPr/>
          <w:p>
            <w:pPr>
              <w:pStyle w:val="Compact"/>
              <w:jc w:val="right"/>
            </w:pPr>
            <w:r>
              <w:rPr>
                <w:bCs/>
                <w:b/>
              </w:rPr>
              <w:t xml:space="preserve">(13,110,000)</w:t>
            </w:r>
          </w:p>
        </w:tc>
        <w:tc>
          <w:tcPr/>
          <w:p>
            <w:pPr>
              <w:pStyle w:val="Compact"/>
              <w:jc w:val="right"/>
            </w:pPr>
            <w:r>
              <w:rPr>
                <w:bCs/>
                <w:b/>
              </w:rPr>
              <w:t xml:space="preserve">(1,115,000)</w:t>
            </w:r>
          </w:p>
        </w:tc>
        <w:tc>
          <w:tcPr/>
          <w:p>
            <w:pPr>
              <w:pStyle w:val="Compact"/>
              <w:jc w:val="right"/>
            </w:pPr>
            <w:r>
              <w:rPr>
                <w:bCs/>
                <w:b/>
              </w:rPr>
              <w:t xml:space="preserve">10,856,000</w:t>
            </w:r>
          </w:p>
        </w:tc>
      </w:tr>
      <w:tr>
        <w:tc>
          <w:tcPr/>
          <w:p>
            <w:pPr>
              <w:pStyle w:val="Compact"/>
              <w:jc w:val="left"/>
            </w:pPr>
            <w:r>
              <w:t xml:space="preserve">EBITDA margin</w:t>
            </w:r>
          </w:p>
        </w:tc>
        <w:tc>
          <w:tcPr/>
          <w:p>
            <w:pPr>
              <w:pStyle w:val="Compact"/>
              <w:jc w:val="right"/>
            </w:pPr>
            <w:r>
              <w:t xml:space="preserve">(80%)</w:t>
            </w:r>
          </w:p>
        </w:tc>
        <w:tc>
          <w:tcPr/>
          <w:p>
            <w:pPr>
              <w:pStyle w:val="Compact"/>
              <w:jc w:val="right"/>
            </w:pPr>
            <w:r>
              <w:t xml:space="preserve">(4%)</w:t>
            </w:r>
          </w:p>
        </w:tc>
        <w:tc>
          <w:tcPr/>
          <w:p>
            <w:pPr>
              <w:pStyle w:val="Compact"/>
              <w:jc w:val="right"/>
            </w:pPr>
            <w:r>
              <w:t xml:space="preserve">24%</w:t>
            </w:r>
          </w:p>
        </w:tc>
      </w:tr>
      <w:tr>
        <w:tc>
          <w:tcPr/>
          <w:p>
            <w:pPr>
              <w:pStyle w:val="Compact"/>
              <w:jc w:val="left"/>
            </w:pPr>
            <w:r>
              <w:t xml:space="preserve">Cumulative EBITDA (post-launch)</w:t>
            </w:r>
          </w:p>
        </w:tc>
        <w:tc>
          <w:tcPr/>
          <w:p>
            <w:pPr>
              <w:pStyle w:val="Compact"/>
              <w:jc w:val="right"/>
            </w:pPr>
            <w:r>
              <w:t xml:space="preserve">(13,110,000)</w:t>
            </w:r>
          </w:p>
        </w:tc>
        <w:tc>
          <w:tcPr/>
          <w:p>
            <w:pPr>
              <w:pStyle w:val="Compact"/>
              <w:jc w:val="right"/>
            </w:pPr>
            <w:r>
              <w:t xml:space="preserve">(14,225,000)</w:t>
            </w:r>
          </w:p>
        </w:tc>
        <w:tc>
          <w:tcPr/>
          <w:p>
            <w:pPr>
              <w:pStyle w:val="Compact"/>
              <w:jc w:val="right"/>
            </w:pPr>
            <w:r>
              <w:t xml:space="preserve">(3,369,000)</w:t>
            </w:r>
          </w:p>
        </w:tc>
      </w:tr>
    </w:tbl>
    <w:bookmarkEnd w:id="74"/>
    <w:bookmarkStart w:id="75" w:name="ancillary-revenue-streams-luxury-tier"/>
    <w:p>
      <w:pPr>
        <w:pStyle w:val="Heading3"/>
      </w:pPr>
      <w:r>
        <w:t xml:space="preserve">21.6 Ancillary revenue streams (Luxury tier)</w:t>
      </w:r>
    </w:p>
    <w:p>
      <w:pPr>
        <w:numPr>
          <w:ilvl w:val="0"/>
          <w:numId w:val="1026"/>
        </w:numPr>
        <w:pStyle w:val="Compact"/>
      </w:pPr>
      <w:r>
        <w:t xml:space="preserve">Corporate wellness &amp; occupational-health contracts with New Cairo/New Capital corporate campuses</w:t>
      </w:r>
    </w:p>
    <w:p>
      <w:pPr>
        <w:numPr>
          <w:ilvl w:val="0"/>
          <w:numId w:val="1026"/>
        </w:numPr>
        <w:pStyle w:val="Compact"/>
      </w:pPr>
      <w:r>
        <w:t xml:space="preserve">Membership/subscription wellness packages (unlimited gym access, quarterly assessments)</w:t>
      </w:r>
    </w:p>
    <w:p>
      <w:pPr>
        <w:numPr>
          <w:ilvl w:val="0"/>
          <w:numId w:val="1026"/>
        </w:numPr>
        <w:pStyle w:val="Compact"/>
      </w:pPr>
      <w:r>
        <w:t xml:space="preserve">Medical-tourism packages for Gulf patients (bundled accommodation-referral partnerships, premium pricing in hard currency)</w:t>
      </w:r>
    </w:p>
    <w:p>
      <w:pPr>
        <w:numPr>
          <w:ilvl w:val="0"/>
          <w:numId w:val="1026"/>
        </w:numPr>
        <w:pStyle w:val="Compact"/>
      </w:pPr>
      <w:r>
        <w:t xml:space="preserve">Therapist training academy / CE-accredited courses hosted at the Center (leveraging founder expertise)</w:t>
      </w:r>
    </w:p>
    <w:p>
      <w:pPr>
        <w:numPr>
          <w:ilvl w:val="0"/>
          <w:numId w:val="1026"/>
        </w:numPr>
        <w:pStyle w:val="Compact"/>
      </w:pPr>
      <w:r>
        <w:t xml:space="preserve">Home-exercise-equipment and orthotics retail corner</w:t>
      </w:r>
    </w:p>
    <w:bookmarkEnd w:id="75"/>
    <w:bookmarkStart w:id="76" w:name="roi-payback-2"/>
    <w:p>
      <w:pPr>
        <w:pStyle w:val="Heading3"/>
      </w:pPr>
      <w:r>
        <w:t xml:space="preserve">21.7 ROI &amp; payback</w:t>
      </w:r>
    </w:p>
    <w:p>
      <w:pPr>
        <w:numPr>
          <w:ilvl w:val="0"/>
          <w:numId w:val="1027"/>
        </w:numPr>
        <w:pStyle w:val="Compact"/>
      </w:pPr>
      <w:r>
        <w:rPr>
          <w:bCs/>
          <w:b/>
        </w:rPr>
        <w:t xml:space="preserve">Stabilised payback</w:t>
      </w:r>
      <w:r>
        <w:t xml:space="preserve">: 51,950,000 ÷ 10,856,000 ≈</w:t>
      </w:r>
      <w:r>
        <w:t xml:space="preserve"> </w:t>
      </w:r>
      <w:r>
        <w:rPr>
          <w:bCs/>
          <w:b/>
        </w:rPr>
        <w:t xml:space="preserve">4.8 years</w:t>
      </w:r>
    </w:p>
    <w:p>
      <w:pPr>
        <w:numPr>
          <w:ilvl w:val="0"/>
          <w:numId w:val="1027"/>
        </w:numPr>
        <w:pStyle w:val="Compact"/>
      </w:pPr>
      <w:r>
        <w:rPr>
          <w:bCs/>
          <w:b/>
        </w:rPr>
        <w:t xml:space="preserve">Cumulative payback</w:t>
      </w:r>
      <w:r>
        <w:t xml:space="preserve">: full recovery of invested capital is projected around</w:t>
      </w:r>
      <w:r>
        <w:t xml:space="preserve"> </w:t>
      </w:r>
      <w:r>
        <w:rPr>
          <w:bCs/>
          <w:b/>
        </w:rPr>
        <w:t xml:space="preserve">Year 7–8</w:t>
      </w:r>
      <w:r>
        <w:t xml:space="preserve">, once Year 4–5 EBITDA growth (projected to continue toward EGP 15–18M/year as utilisation exceeds 85% and ancillary revenue scales) is added to the Year 1–3 cumulative position.</w:t>
      </w:r>
    </w:p>
    <w:p>
      <w:pPr>
        <w:numPr>
          <w:ilvl w:val="0"/>
          <w:numId w:val="1027"/>
        </w:numPr>
        <w:pStyle w:val="Compact"/>
      </w:pPr>
      <w:r>
        <w:rPr>
          <w:bCs/>
          <w:b/>
        </w:rPr>
        <w:t xml:space="preserve">Value-creation framing:</w:t>
      </w:r>
      <w:r>
        <w:t xml:space="preserve"> </w:t>
      </w:r>
      <w:r>
        <w:t xml:space="preserve">by Year 3 the Center carries an annualised EBITDA run-rate of ≈EGP 10.9M; at a 3–4× healthcare-services exit multiple this implies an indicative enterprise value of</w:t>
      </w:r>
      <w:r>
        <w:t xml:space="preserve"> </w:t>
      </w:r>
      <w:r>
        <w:rPr>
          <w:bCs/>
          <w:b/>
        </w:rPr>
        <w:t xml:space="preserve">EGP 33–43M by Year 3</w:t>
      </w:r>
      <w:r>
        <w:t xml:space="preserve">, rising toward or beyond the EGP 52M invested by Year 4–5 — the appropriate lens for a flagship brand-building investment, where strategic and brand value (and optionality for franchising/expansion) supplement pure cash payback.</w:t>
      </w:r>
    </w:p>
    <w:p>
      <w:r>
        <w:pict>
          <v:rect style="width:0;height:1.5pt" o:hralign="center" o:hrstd="t" o:hr="t"/>
        </w:pict>
      </w:r>
    </w:p>
    <w:bookmarkEnd w:id="76"/>
    <w:bookmarkEnd w:id="77"/>
    <w:bookmarkStart w:id="78" w:name="consolidated-revenue-streams-all-options"/>
    <w:p>
      <w:pPr>
        <w:pStyle w:val="Heading1"/>
      </w:pPr>
      <w:r>
        <w:t xml:space="preserve">22. Consolidated Revenue Streams (all options)</w:t>
      </w:r>
    </w:p>
    <w:p>
      <w:pPr>
        <w:numPr>
          <w:ilvl w:val="0"/>
          <w:numId w:val="1028"/>
        </w:numPr>
        <w:pStyle w:val="Compact"/>
      </w:pPr>
      <w:r>
        <w:t xml:space="preserve">Clinical session fees (per-session, package, or course pricing) — the core revenue driver across all three departments</w:t>
      </w:r>
    </w:p>
    <w:p>
      <w:pPr>
        <w:numPr>
          <w:ilvl w:val="0"/>
          <w:numId w:val="1028"/>
        </w:numPr>
        <w:pStyle w:val="Compact"/>
      </w:pPr>
      <w:r>
        <w:t xml:space="preserve">Initial-assessment fees (typically priced at a premium to a standard follow-up session)</w:t>
      </w:r>
    </w:p>
    <w:p>
      <w:pPr>
        <w:numPr>
          <w:ilvl w:val="0"/>
          <w:numId w:val="1028"/>
        </w:numPr>
        <w:pStyle w:val="Compact"/>
      </w:pPr>
      <w:r>
        <w:t xml:space="preserve">Insurance/corporate reimbursement and direct-billing contracts</w:t>
      </w:r>
    </w:p>
    <w:p>
      <w:pPr>
        <w:numPr>
          <w:ilvl w:val="0"/>
          <w:numId w:val="1028"/>
        </w:numPr>
        <w:pStyle w:val="Compact"/>
      </w:pPr>
      <w:r>
        <w:t xml:space="preserve">Corporate wellness &amp; occupational-health contracts (Option 2/3)</w:t>
      </w:r>
    </w:p>
    <w:p>
      <w:pPr>
        <w:numPr>
          <w:ilvl w:val="0"/>
          <w:numId w:val="1028"/>
        </w:numPr>
        <w:pStyle w:val="Compact"/>
      </w:pPr>
      <w:r>
        <w:t xml:space="preserve">Membership/subscription wellness packages (Option 3)</w:t>
      </w:r>
    </w:p>
    <w:p>
      <w:pPr>
        <w:numPr>
          <w:ilvl w:val="0"/>
          <w:numId w:val="1028"/>
        </w:numPr>
        <w:pStyle w:val="Compact"/>
      </w:pPr>
      <w:r>
        <w:t xml:space="preserve">Medical-tourism packages (Option 3)</w:t>
      </w:r>
    </w:p>
    <w:p>
      <w:pPr>
        <w:numPr>
          <w:ilvl w:val="0"/>
          <w:numId w:val="1028"/>
        </w:numPr>
        <w:pStyle w:val="Compact"/>
      </w:pPr>
      <w:r>
        <w:t xml:space="preserve">Training academy / continuing-education courses for external therapists (Option 2/3, Year 2+)</w:t>
      </w:r>
    </w:p>
    <w:p>
      <w:pPr>
        <w:numPr>
          <w:ilvl w:val="0"/>
          <w:numId w:val="1028"/>
        </w:numPr>
        <w:pStyle w:val="Compact"/>
      </w:pPr>
      <w:r>
        <w:t xml:space="preserve">Home-programme retail (orthotics, sensory tools, home-exercise equipment) (Option 2/3)</w:t>
      </w:r>
    </w:p>
    <w:p>
      <w:pPr>
        <w:numPr>
          <w:ilvl w:val="0"/>
          <w:numId w:val="1028"/>
        </w:numPr>
        <w:pStyle w:val="Compact"/>
      </w:pPr>
      <w:r>
        <w:t xml:space="preserve">Telehealth follow-up consultations (all options, Year 2+)</w:t>
      </w:r>
    </w:p>
    <w:p>
      <w:r>
        <w:pict>
          <v:rect style="width:0;height:1.5pt" o:hralign="center" o:hrstd="t" o:hr="t"/>
        </w:pict>
      </w:r>
    </w:p>
    <w:bookmarkEnd w:id="78"/>
    <w:bookmarkStart w:id="79" w:name="risk-assessment"/>
    <w:p>
      <w:pPr>
        <w:pStyle w:val="Heading1"/>
      </w:pPr>
      <w:r>
        <w:t xml:space="preserve">23. Risk Assessment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Regulatory/licensing delay</w:t>
            </w:r>
          </w:p>
        </w:tc>
        <w:tc>
          <w:tcPr/>
          <w:p>
            <w:pPr>
              <w:pStyle w:val="Compact"/>
              <w:jc w:val="left"/>
            </w:pPr>
            <w:r>
              <w:t xml:space="preserve">Medium</w:t>
            </w:r>
          </w:p>
        </w:tc>
        <w:tc>
          <w:tcPr/>
          <w:p>
            <w:pPr>
              <w:pStyle w:val="Compact"/>
              <w:jc w:val="left"/>
            </w:pPr>
            <w:r>
              <w:t xml:space="preserve">High (delays opening, extends pre-revenue cash burn)</w:t>
            </w:r>
          </w:p>
        </w:tc>
        <w:tc>
          <w:tcPr/>
          <w:p>
            <w:pPr>
              <w:pStyle w:val="Compact"/>
              <w:jc w:val="left"/>
            </w:pPr>
            <w:r>
              <w:t xml:space="preserve">Engage licensing consultant early; begin MOHP application in parallel with fit-out; build a 2-month buffer into the timeline</w:t>
            </w:r>
          </w:p>
        </w:tc>
      </w:tr>
      <w:tr>
        <w:tc>
          <w:tcPr/>
          <w:p>
            <w:pPr>
              <w:pStyle w:val="Compact"/>
              <w:jc w:val="left"/>
            </w:pPr>
            <w:r>
              <w:t xml:space="preserve">Key-person dependency on three founders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Document clinical protocols; cross-train senior staff as deputies; key-person insurance</w:t>
            </w:r>
          </w:p>
        </w:tc>
      </w:tr>
      <w:tr>
        <w:tc>
          <w:tcPr/>
          <w:p>
            <w:pPr>
              <w:pStyle w:val="Compact"/>
              <w:jc w:val="left"/>
            </w:pPr>
            <w:r>
              <w:t xml:space="preserve">EGP depreciation raising import/equipment costs</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Source equipment quotes in USD with a contingency line (10–15%) already built into estimates; phase luxury/imported equipment purchases</w:t>
            </w:r>
          </w:p>
        </w:tc>
      </w:tr>
      <w:tr>
        <w:tc>
          <w:tcPr/>
          <w:p>
            <w:pPr>
              <w:pStyle w:val="Compact"/>
              <w:jc w:val="left"/>
            </w:pPr>
            <w:r>
              <w:t xml:space="preserve">Staff retention (PT/OT emigration to Gulf)</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Competitive compensation with growth path to department leadership; CPD investment; equity/profit-share for senior long-tenure staff (Option 2/3)</w:t>
            </w:r>
          </w:p>
        </w:tc>
      </w:tr>
      <w:tr>
        <w:tc>
          <w:tcPr/>
          <w:p>
            <w:pPr>
              <w:pStyle w:val="Compact"/>
              <w:jc w:val="left"/>
            </w:pPr>
            <w:r>
              <w:t xml:space="preserve">Slower-than-modelled patient ramp-up</w:t>
            </w:r>
          </w:p>
        </w:tc>
        <w:tc>
          <w:tcPr/>
          <w:p>
            <w:pPr>
              <w:pStyle w:val="Compact"/>
              <w:jc w:val="left"/>
            </w:pPr>
            <w:r>
              <w:t xml:space="preserve">Medium</w:t>
            </w:r>
          </w:p>
        </w:tc>
        <w:tc>
          <w:tcPr/>
          <w:p>
            <w:pPr>
              <w:pStyle w:val="Compact"/>
              <w:jc w:val="left"/>
            </w:pPr>
            <w:r>
              <w:t xml:space="preserve">High (cash-flow strain in Year 1–2)</w:t>
            </w:r>
          </w:p>
        </w:tc>
        <w:tc>
          <w:tcPr/>
          <w:p>
            <w:pPr>
              <w:pStyle w:val="Compact"/>
              <w:jc w:val="left"/>
            </w:pPr>
            <w:r>
              <w:t xml:space="preserve">Working-capital reserve sized at 3–6 months opex; flexible staffing (part-time/locum) in Year 1</w:t>
            </w:r>
          </w:p>
        </w:tc>
      </w:tr>
      <w:tr>
        <w:tc>
          <w:tcPr/>
          <w:p>
            <w:pPr>
              <w:pStyle w:val="Compact"/>
              <w:jc w:val="left"/>
            </w:pPr>
            <w:r>
              <w:t xml:space="preserve">Insurance/corporate reimbursement delays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Require co-pay/upfront patient portion; factor 30–45 day AR cycle into cash-flow planning</w:t>
            </w:r>
          </w:p>
        </w:tc>
      </w:tr>
      <w:tr>
        <w:tc>
          <w:tcPr/>
          <w:p>
            <w:pPr>
              <w:pStyle w:val="Compact"/>
              <w:jc w:val="left"/>
            </w:pPr>
            <w:r>
              <w:t xml:space="preserve">Competitive entry (hospital groups expanding rehab lines)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Differentiate via multidisciplinary</w:t>
            </w:r>
            <w:r>
              <w:t xml:space="preserve"> </w:t>
            </w:r>
            <w:r>
              <w:t xml:space="preserve">“</w:t>
            </w:r>
            <w:r>
              <w:t xml:space="preserve">one roof</w:t>
            </w:r>
            <w:r>
              <w:t xml:space="preserve">”</w:t>
            </w:r>
            <w:r>
              <w:t xml:space="preserve"> </w:t>
            </w:r>
            <w:r>
              <w:t xml:space="preserve">positioning and founder personal brand, which is harder to replicate quickly</w:t>
            </w:r>
          </w:p>
        </w:tc>
      </w:tr>
      <w:tr>
        <w:tc>
          <w:tcPr/>
          <w:p>
            <w:pPr>
              <w:pStyle w:val="Compact"/>
              <w:jc w:val="left"/>
            </w:pPr>
            <w:r>
              <w:t xml:space="preserve">Equipment breakdown (esp. robotics/VR, Option 3)</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Vendor service contracts, preventive-maintenance schedule, in-house biomedical technician (Option 3)</w:t>
            </w:r>
          </w:p>
        </w:tc>
      </w:tr>
      <w:tr>
        <w:tc>
          <w:tcPr/>
          <w:p>
            <w:pPr>
              <w:pStyle w:val="Compact"/>
              <w:jc w:val="left"/>
            </w:pPr>
            <w:r>
              <w:t xml:space="preserve">Economic downturn reducing discretionary luxury spend</w:t>
            </w:r>
          </w:p>
        </w:tc>
        <w:tc>
          <w:tcPr/>
          <w:p>
            <w:pPr>
              <w:pStyle w:val="Compact"/>
              <w:jc w:val="left"/>
            </w:pPr>
            <w:r>
              <w:t xml:space="preserve">Low–Medium</w:t>
            </w:r>
          </w:p>
        </w:tc>
        <w:tc>
          <w:tcPr/>
          <w:p>
            <w:pPr>
              <w:pStyle w:val="Compact"/>
              <w:jc w:val="left"/>
            </w:pPr>
            <w:r>
              <w:t xml:space="preserve">Medium (Option 3 specific)</w:t>
            </w:r>
          </w:p>
        </w:tc>
        <w:tc>
          <w:tcPr/>
          <w:p>
            <w:pPr>
              <w:pStyle w:val="Compact"/>
              <w:jc w:val="left"/>
            </w:pPr>
            <w:r>
              <w:t xml:space="preserve">Diversify Option 3 revenue via insurance-eligible core sessions alongside luxury add-ons; corporate contracts as a stabiliser</w:t>
            </w:r>
          </w:p>
        </w:tc>
      </w:tr>
    </w:tbl>
    <w:p>
      <w:r>
        <w:pict>
          <v:rect style="width:0;height:1.5pt" o:hralign="center" o:hrstd="t" o:hr="t"/>
        </w:pict>
      </w:r>
    </w:p>
    <w:bookmarkEnd w:id="79"/>
    <w:bookmarkStart w:id="80" w:name="expansion-strategy"/>
    <w:p>
      <w:pPr>
        <w:pStyle w:val="Heading1"/>
      </w:pPr>
      <w:r>
        <w:t xml:space="preserve">24. Expansion Strategy</w:t>
      </w:r>
    </w:p>
    <w:p>
      <w:pPr>
        <w:numPr>
          <w:ilvl w:val="0"/>
          <w:numId w:val="1029"/>
        </w:numPr>
        <w:pStyle w:val="Compact"/>
      </w:pPr>
      <w:r>
        <w:rPr>
          <w:bCs/>
          <w:b/>
        </w:rPr>
        <w:t xml:space="preserve">Phase 1 (Year 1–2):</w:t>
      </w:r>
      <w:r>
        <w:t xml:space="preserve"> </w:t>
      </w:r>
      <w:r>
        <w:t xml:space="preserve">establish the flagship Fifth Settlement center, build referral networks per department, achieve break-even.</w:t>
      </w:r>
    </w:p>
    <w:p>
      <w:pPr>
        <w:numPr>
          <w:ilvl w:val="0"/>
          <w:numId w:val="1029"/>
        </w:numPr>
        <w:pStyle w:val="Compact"/>
      </w:pPr>
      <w:r>
        <w:rPr>
          <w:bCs/>
          <w:b/>
        </w:rPr>
        <w:t xml:space="preserve">Phase 2 (Year 2–3):</w:t>
      </w:r>
      <w:r>
        <w:t xml:space="preserve"> </w:t>
      </w:r>
      <w:r>
        <w:t xml:space="preserve">add department-level service-line extensions (speech therapy, sports-performance testing, robotic/VR neuro-rehab) as demand and cash flow allow; pursue insurance-panel and corporate contracts.</w:t>
      </w:r>
    </w:p>
    <w:p>
      <w:pPr>
        <w:numPr>
          <w:ilvl w:val="0"/>
          <w:numId w:val="1029"/>
        </w:numPr>
        <w:pStyle w:val="Compact"/>
      </w:pPr>
      <w:r>
        <w:rPr>
          <w:bCs/>
          <w:b/>
        </w:rPr>
        <w:t xml:space="preserve">Phase 3 (Year 3–4):</w:t>
      </w:r>
      <w:r>
        <w:t xml:space="preserve"> </w:t>
      </w:r>
      <w:r>
        <w:t xml:space="preserve">open a second branch in another high-growth Greater Cairo corridor (e.g., Sheikh Zayed/6th of October on the Giza side, or the New Administrative Capital) replicating the three-department model or a focused single-department satellite.</w:t>
      </w:r>
    </w:p>
    <w:p>
      <w:pPr>
        <w:numPr>
          <w:ilvl w:val="0"/>
          <w:numId w:val="1029"/>
        </w:numPr>
        <w:pStyle w:val="Compact"/>
      </w:pPr>
      <w:r>
        <w:rPr>
          <w:bCs/>
          <w:b/>
        </w:rPr>
        <w:t xml:space="preserve">Phase 4 (Year 4–5):</w:t>
      </w:r>
      <w:r>
        <w:t xml:space="preserve"> </w:t>
      </w:r>
      <w:r>
        <w:t xml:space="preserve">consider a therapist-training academy/CE-course revenue line leveraging founder reputations; explore tele-rehabilitation for follow-up care beyond Greater Cairo; evaluate a fourth department (e.g., cardiopulmonary rehabilitation or women’s health/pelvic-floor therapy) based on demand signals.</w:t>
      </w:r>
    </w:p>
    <w:p>
      <w:pPr>
        <w:numPr>
          <w:ilvl w:val="0"/>
          <w:numId w:val="1029"/>
        </w:numPr>
        <w:pStyle w:val="Compact"/>
      </w:pPr>
      <w:r>
        <w:rPr>
          <w:bCs/>
          <w:b/>
        </w:rPr>
        <w:t xml:space="preserve">Phase 5 (Year 5+, primarily Option 3 path):</w:t>
      </w:r>
      <w:r>
        <w:t xml:space="preserve"> </w:t>
      </w:r>
      <w:r>
        <w:t xml:space="preserve">formalise a franchise/licensing model for the TRIAD brand; deepen medical-tourism partnerships; evaluate strategic acquisition interest from a hospital group or regional healthcare platform as an exit/liquidity option for founders and investors.</w:t>
      </w:r>
    </w:p>
    <w:p>
      <w:r>
        <w:pict>
          <v:rect style="width:0;height:1.5pt" o:hralign="center" o:hrstd="t" o:hr="t"/>
        </w:pict>
      </w:r>
    </w:p>
    <w:bookmarkEnd w:id="80"/>
    <w:bookmarkStart w:id="81" w:name="implementation-timeline"/>
    <w:p>
      <w:pPr>
        <w:pStyle w:val="Heading1"/>
      </w:pPr>
      <w:r>
        <w:t xml:space="preserve">25. Implementation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Months</w:t>
            </w:r>
          </w:p>
        </w:tc>
        <w:tc>
          <w:tcPr/>
          <w:p>
            <w:pPr>
              <w:pStyle w:val="Compact"/>
              <w:jc w:val="left"/>
            </w:pPr>
            <w:r>
              <w:t xml:space="preserve">Key activities</w:t>
            </w:r>
          </w:p>
        </w:tc>
      </w:tr>
      <w:tr>
        <w:tc>
          <w:tcPr/>
          <w:p>
            <w:pPr>
              <w:pStyle w:val="Compact"/>
              <w:jc w:val="left"/>
            </w:pPr>
            <w:r>
              <w:t xml:space="preserve">1. Company formation &amp; planning</w:t>
            </w:r>
          </w:p>
        </w:tc>
        <w:tc>
          <w:tcPr/>
          <w:p>
            <w:pPr>
              <w:pStyle w:val="Compact"/>
              <w:jc w:val="left"/>
            </w:pPr>
            <w:r>
              <w:t xml:space="preserve">1–2</w:t>
            </w:r>
          </w:p>
        </w:tc>
        <w:tc>
          <w:tcPr/>
          <w:p>
            <w:pPr>
              <w:pStyle w:val="Compact"/>
              <w:jc w:val="left"/>
            </w:pPr>
            <w:r>
              <w:t xml:space="preserve">GAFI incorporation, partnership/shareholder agreement, feasibility study finalisation, site shortlisting</w:t>
            </w:r>
          </w:p>
        </w:tc>
      </w:tr>
      <w:tr>
        <w:tc>
          <w:tcPr/>
          <w:p>
            <w:pPr>
              <w:pStyle w:val="Compact"/>
              <w:jc w:val="left"/>
            </w:pPr>
            <w:r>
              <w:t xml:space="preserve">2. Site selection &amp; lease</w:t>
            </w:r>
          </w:p>
        </w:tc>
        <w:tc>
          <w:tcPr/>
          <w:p>
            <w:pPr>
              <w:pStyle w:val="Compact"/>
              <w:jc w:val="left"/>
            </w:pPr>
            <w:r>
              <w:t xml:space="preserve">2–3</w:t>
            </w:r>
          </w:p>
        </w:tc>
        <w:tc>
          <w:tcPr/>
          <w:p>
            <w:pPr>
              <w:pStyle w:val="Compact"/>
              <w:jc w:val="left"/>
            </w:pPr>
            <w:r>
              <w:t xml:space="preserve">Lease negotiation and signature, architectural survey, MOHP pre-application consultation</w:t>
            </w:r>
          </w:p>
        </w:tc>
      </w:tr>
      <w:tr>
        <w:tc>
          <w:tcPr/>
          <w:p>
            <w:pPr>
              <w:pStyle w:val="Compact"/>
              <w:jc w:val="left"/>
            </w:pPr>
            <w:r>
              <w:t xml:space="preserve">3. Licensing application</w:t>
            </w:r>
          </w:p>
        </w:tc>
        <w:tc>
          <w:tcPr/>
          <w:p>
            <w:pPr>
              <w:pStyle w:val="Compact"/>
              <w:jc w:val="left"/>
            </w:pPr>
            <w:r>
              <w:t xml:space="preserve">3–6 (parallel)</w:t>
            </w:r>
          </w:p>
        </w:tc>
        <w:tc>
          <w:tcPr/>
          <w:p>
            <w:pPr>
              <w:pStyle w:val="Compact"/>
              <w:jc w:val="left"/>
            </w:pPr>
            <w:r>
              <w:t xml:space="preserve">MOHP facility license, syndicate registrations, fire-safety/civil-defence approval, tax and commercial registration</w:t>
            </w:r>
          </w:p>
        </w:tc>
      </w:tr>
      <w:tr>
        <w:tc>
          <w:tcPr/>
          <w:p>
            <w:pPr>
              <w:pStyle w:val="Compact"/>
              <w:jc w:val="left"/>
            </w:pPr>
            <w:r>
              <w:t xml:space="preserve">4. Design &amp; fit-out</w:t>
            </w:r>
          </w:p>
        </w:tc>
        <w:tc>
          <w:tcPr/>
          <w:p>
            <w:pPr>
              <w:pStyle w:val="Compact"/>
              <w:jc w:val="left"/>
            </w:pPr>
            <w:r>
              <w:t xml:space="preserve">3–7</w:t>
            </w:r>
          </w:p>
        </w:tc>
        <w:tc>
          <w:tcPr/>
          <w:p>
            <w:pPr>
              <w:pStyle w:val="Compact"/>
              <w:jc w:val="left"/>
            </w:pPr>
            <w:r>
              <w:t xml:space="preserve">Architectural/interior design finalisation, construction/renovation, MEP works, (Option 3) pool construction</w:t>
            </w:r>
          </w:p>
        </w:tc>
      </w:tr>
      <w:tr>
        <w:tc>
          <w:tcPr/>
          <w:p>
            <w:pPr>
              <w:pStyle w:val="Compact"/>
              <w:jc w:val="left"/>
            </w:pPr>
            <w:r>
              <w:t xml:space="preserve">5. Equipment procurement</w:t>
            </w:r>
          </w:p>
        </w:tc>
        <w:tc>
          <w:tcPr/>
          <w:p>
            <w:pPr>
              <w:pStyle w:val="Compact"/>
              <w:jc w:val="left"/>
            </w:pPr>
            <w:r>
              <w:t xml:space="preserve">4–7</w:t>
            </w:r>
          </w:p>
        </w:tc>
        <w:tc>
          <w:tcPr/>
          <w:p>
            <w:pPr>
              <w:pStyle w:val="Compact"/>
              <w:jc w:val="left"/>
            </w:pPr>
            <w:r>
              <w:t xml:space="preserve">Vendor selection, ordering (allow lead time for imported items), installation, calibration</w:t>
            </w:r>
          </w:p>
        </w:tc>
      </w:tr>
      <w:tr>
        <w:tc>
          <w:tcPr/>
          <w:p>
            <w:pPr>
              <w:pStyle w:val="Compact"/>
              <w:jc w:val="left"/>
            </w:pPr>
            <w:r>
              <w:t xml:space="preserve">6. Staff recruitment</w:t>
            </w:r>
          </w:p>
        </w:tc>
        <w:tc>
          <w:tcPr/>
          <w:p>
            <w:pPr>
              <w:pStyle w:val="Compact"/>
              <w:jc w:val="left"/>
            </w:pPr>
            <w:r>
              <w:t xml:space="preserve">5–7</w:t>
            </w:r>
          </w:p>
        </w:tc>
        <w:tc>
          <w:tcPr/>
          <w:p>
            <w:pPr>
              <w:pStyle w:val="Compact"/>
              <w:jc w:val="left"/>
            </w:pPr>
            <w:r>
              <w:t xml:space="preserve">Department Head confirmation, senior-therapist and support-staff hiring, background/syndicate verification</w:t>
            </w:r>
          </w:p>
        </w:tc>
      </w:tr>
      <w:tr>
        <w:tc>
          <w:tcPr/>
          <w:p>
            <w:pPr>
              <w:pStyle w:val="Compact"/>
              <w:jc w:val="left"/>
            </w:pPr>
            <w:r>
              <w:t xml:space="preserve">7. Technology setup</w:t>
            </w:r>
          </w:p>
        </w:tc>
        <w:tc>
          <w:tcPr/>
          <w:p>
            <w:pPr>
              <w:pStyle w:val="Compact"/>
              <w:jc w:val="left"/>
            </w:pPr>
            <w:r>
              <w:t xml:space="preserve">6–7</w:t>
            </w:r>
          </w:p>
        </w:tc>
        <w:tc>
          <w:tcPr/>
          <w:p>
            <w:pPr>
              <w:pStyle w:val="Compact"/>
              <w:jc w:val="left"/>
            </w:pPr>
            <w:r>
              <w:t xml:space="preserve">EMR/software installation, website, telehealth setup, staff training on systems</w:t>
            </w:r>
          </w:p>
        </w:tc>
      </w:tr>
      <w:tr>
        <w:tc>
          <w:tcPr/>
          <w:p>
            <w:pPr>
              <w:pStyle w:val="Compact"/>
              <w:jc w:val="left"/>
            </w:pPr>
            <w:r>
              <w:t xml:space="preserve">8. Pre-launch marketing</w:t>
            </w:r>
          </w:p>
        </w:tc>
        <w:tc>
          <w:tcPr/>
          <w:p>
            <w:pPr>
              <w:pStyle w:val="Compact"/>
              <w:jc w:val="left"/>
            </w:pPr>
            <w:r>
              <w:t xml:space="preserve">6–8</w:t>
            </w:r>
          </w:p>
        </w:tc>
        <w:tc>
          <w:tcPr/>
          <w:p>
            <w:pPr>
              <w:pStyle w:val="Compact"/>
              <w:jc w:val="left"/>
            </w:pPr>
            <w:r>
              <w:t xml:space="preserve">Brand finalisation, website launch, digital campaign build, referral-partner outreach begins</w:t>
            </w:r>
          </w:p>
        </w:tc>
      </w:tr>
      <w:tr>
        <w:tc>
          <w:tcPr/>
          <w:p>
            <w:pPr>
              <w:pStyle w:val="Compact"/>
              <w:jc w:val="left"/>
            </w:pPr>
            <w:r>
              <w:t xml:space="preserve">9. Soft opening</w:t>
            </w:r>
          </w:p>
        </w:tc>
        <w:tc>
          <w:tcPr/>
          <w:p>
            <w:pPr>
              <w:pStyle w:val="Compact"/>
              <w:jc w:val="left"/>
            </w:pPr>
            <w:r>
              <w:t xml:space="preserve">8</w:t>
            </w:r>
          </w:p>
        </w:tc>
        <w:tc>
          <w:tcPr/>
          <w:p>
            <w:pPr>
              <w:pStyle w:val="Compact"/>
              <w:jc w:val="left"/>
            </w:pPr>
            <w:r>
              <w:t xml:space="preserve">Limited-capacity soft launch, staff workflow testing, friends-and-family/community screening events</w:t>
            </w:r>
          </w:p>
        </w:tc>
      </w:tr>
      <w:tr>
        <w:tc>
          <w:tcPr/>
          <w:p>
            <w:pPr>
              <w:pStyle w:val="Compact"/>
              <w:jc w:val="left"/>
            </w:pPr>
            <w:r>
              <w:t xml:space="preserve">10. Grand opening</w:t>
            </w:r>
          </w:p>
        </w:tc>
        <w:tc>
          <w:tcPr/>
          <w:p>
            <w:pPr>
              <w:pStyle w:val="Compact"/>
              <w:jc w:val="left"/>
            </w:pPr>
            <w:r>
              <w:t xml:space="preserve">9</w:t>
            </w:r>
          </w:p>
        </w:tc>
        <w:tc>
          <w:tcPr/>
          <w:p>
            <w:pPr>
              <w:pStyle w:val="Compact"/>
              <w:jc w:val="left"/>
            </w:pPr>
            <w:r>
              <w:t xml:space="preserve">Public launch event, full marketing campaign activation</w:t>
            </w:r>
          </w:p>
        </w:tc>
      </w:tr>
      <w:tr>
        <w:tc>
          <w:tcPr/>
          <w:p>
            <w:pPr>
              <w:pStyle w:val="Compact"/>
              <w:jc w:val="left"/>
            </w:pPr>
            <w:r>
              <w:t xml:space="preserve">11. Ramp-up &amp; optimisation</w:t>
            </w:r>
          </w:p>
        </w:tc>
        <w:tc>
          <w:tcPr/>
          <w:p>
            <w:pPr>
              <w:pStyle w:val="Compact"/>
              <w:jc w:val="left"/>
            </w:pPr>
            <w:r>
              <w:t xml:space="preserve">9–24</w:t>
            </w:r>
          </w:p>
        </w:tc>
        <w:tc>
          <w:tcPr/>
          <w:p>
            <w:pPr>
              <w:pStyle w:val="Compact"/>
              <w:jc w:val="left"/>
            </w:pPr>
            <w:r>
              <w:t xml:space="preserve">Referral-network build-out, service-line additions, first performance review at month 12</w:t>
            </w:r>
          </w:p>
        </w:tc>
      </w:tr>
    </w:tbl>
    <w:p>
      <w:pPr>
        <w:pStyle w:val="BodyText"/>
      </w:pPr>
      <w:r>
        <w:rPr>
          <w:iCs/>
          <w:i/>
        </w:rPr>
        <w:t xml:space="preserve">(Option 1 can compress this timeline to ≈6–7 months to opening given lighter fit-out and equipment lead times; Option 3 may extend to 10–12 months given pool construction and imported robotics/VR equipment lead times.)</w:t>
      </w:r>
    </w:p>
    <w:p>
      <w:r>
        <w:pict>
          <v:rect style="width:0;height:1.5pt" o:hralign="center" o:hrstd="t" o:hr="t"/>
        </w:pict>
      </w:r>
    </w:p>
    <w:bookmarkEnd w:id="81"/>
    <w:bookmarkStart w:id="82" w:name="appendix-key-assumptions-disclaimers"/>
    <w:p>
      <w:pPr>
        <w:pStyle w:val="Heading1"/>
      </w:pPr>
      <w:r>
        <w:t xml:space="preserve">26. Appendix — Key Assumptions &amp; Disclaimers</w:t>
      </w:r>
    </w:p>
    <w:p>
      <w:pPr>
        <w:numPr>
          <w:ilvl w:val="0"/>
          <w:numId w:val="1030"/>
        </w:numPr>
        <w:pStyle w:val="Compact"/>
      </w:pPr>
      <w:r>
        <w:t xml:space="preserve">All financial projections are illustrative planning estimates prepared for early-stage investor discussion. They are not a guarantee of future performance and should be validated through a formal feasibility study, independent architectural/MEP quotation, and vendor procurement quotes before capital commitment.</w:t>
      </w:r>
    </w:p>
    <w:p>
      <w:pPr>
        <w:numPr>
          <w:ilvl w:val="0"/>
          <w:numId w:val="1030"/>
        </w:numPr>
        <w:pStyle w:val="Compact"/>
      </w:pPr>
      <w:r>
        <w:t xml:space="preserve">Exchange rate used: USD 1 = EGP 50 (indicative, July 2026); Egypt’s currency has shown material short-term volatility and investors should stress-test all USD-equivalent figures.</w:t>
      </w:r>
    </w:p>
    <w:p>
      <w:pPr>
        <w:numPr>
          <w:ilvl w:val="0"/>
          <w:numId w:val="1030"/>
        </w:numPr>
        <w:pStyle w:val="Compact"/>
      </w:pPr>
      <w:r>
        <w:t xml:space="preserve">Session pricing assumptions are benchmarked against publicly observable Cairo private-clinic pricing (approximately EGP 300–600 for standard physiotherapy sessions and EGP 100–1,300+ for specialist/occupational therapy sessions in 2025–2026), adjusted upward for the Fifth Settlement’s premium demographic and for TRIAD’s senior-clinician-led positioning.</w:t>
      </w:r>
    </w:p>
    <w:p>
      <w:pPr>
        <w:numPr>
          <w:ilvl w:val="0"/>
          <w:numId w:val="1030"/>
        </w:numPr>
        <w:pStyle w:val="Compact"/>
      </w:pPr>
      <w:r>
        <w:t xml:space="preserve">Rent assumptions are benchmarked against observed Fifth Settlement clinic listings (≈EGP 500–580/m²/month for finished clinic space in 2026), with Option 1 assuming a secondary-street location and Options 2–3 assuming premium corridor locations.</w:t>
      </w:r>
    </w:p>
    <w:p>
      <w:pPr>
        <w:numPr>
          <w:ilvl w:val="0"/>
          <w:numId w:val="1030"/>
        </w:numPr>
        <w:pStyle w:val="Compact"/>
      </w:pPr>
      <w:r>
        <w:t xml:space="preserve">Payroll figures are indicative planning-level averages for Cairo private-healthcare compensation in 2026 and should be validated against current market benchmarking before finalising an offer letter.</w:t>
      </w:r>
    </w:p>
    <w:p>
      <w:pPr>
        <w:numPr>
          <w:ilvl w:val="0"/>
          <w:numId w:val="1030"/>
        </w:numPr>
        <w:pStyle w:val="Compact"/>
      </w:pPr>
      <w:r>
        <w:t xml:space="preserve">This document does not constitute an offer to sell securities. Any investment would be subject to definitive legal agreements, due diligence, and applicable Egyptian company and securities law.</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0263B"/>
      </a:dk2>
      <a:lt2>
        <a:srgbClr val="EEECE1"/>
      </a:lt2>
      <a:accent1>
        <a:srgbClr val="0F5C4F"/>
      </a:accent1>
      <a:accent2>
        <a:srgbClr val="D97744"/>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TRIAD Multidisciplinary Rehabilitation &amp; Therapy Center</dc:title>
  <dc:creator/>
  <dc:language>en-US</dc:language>
  <cp:keywords/>
  <dcterms:created xsi:type="dcterms:W3CDTF">2026-07-28T13:00:25Z</dcterms:created>
  <dcterms:modified xsi:type="dcterms:W3CDTF">2026-07-28T13:00:25Z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Investor Business Proposal — New Cairo (Fifth Settlement), Egypt</vt:lpwstr>
  </property>
</Properties>
</file>