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jc w:val="center"/>
      </w:pPr>
      <w:r>
        <w:drawing>
          <wp:inline distT="0" distB="0" distL="0" distR="0">
            <wp:extent cx="23812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1581150"/>
                    </a:xfrm>
                    <a:prstGeom prst="rect">
                      <a:avLst/>
                    </a:prstGeom>
                  </pic:spPr>
                </pic:pic>
              </a:graphicData>
            </a:graphic>
          </wp:inline>
        </w:drawing>
      </w:r>
    </w:p>
    <w:p>
      <w:pPr>
        <w:spacing w:after="160"/>
        <w:jc w:val="center"/>
      </w:pPr>
      <w:r>
        <w:rPr>
          <w:rFonts w:ascii="Calibri" w:cs="Calibri" w:eastAsia="Calibri" w:hAnsi="Calibri"/>
          <w:b/>
          <w:bCs/>
          <w:color w:val="9C7748"/>
          <w:spacing w:val="22"/>
          <w:sz w:val="18"/>
          <w:szCs w:val="18"/>
        </w:rPr>
        <w:t xml:space="preserve">PEDIATRIC REHABILITATION &amp; DEVELOPMENTAL SERVICES</w:t>
      </w:r>
    </w:p>
    <w:p>
      <w:pPr>
        <w:spacing w:after="160"/>
        <w:jc w:val="center"/>
      </w:pPr>
      <w:r>
        <w:rPr>
          <w:rFonts w:ascii="Georgia" w:cs="Georgia" w:eastAsia="Georgia" w:hAnsi="Georgia"/>
          <w:b/>
          <w:bCs/>
          <w:color w:val="3A2E22"/>
          <w:sz w:val="52"/>
          <w:szCs w:val="52"/>
        </w:rPr>
        <w:t xml:space="preserve">Multi-Disciplinary Assessment Report</w:t>
      </w:r>
    </w:p>
    <w:p>
      <w:pPr>
        <w:spacing w:after="260"/>
        <w:jc w:val="center"/>
      </w:pPr>
      <w:r>
        <w:rPr>
          <w:rFonts w:ascii="Georgia" w:cs="Georgia" w:eastAsia="Georgia" w:hAnsi="Georgia"/>
          <w:i/>
          <w:iCs/>
          <w:color w:val="6B5947"/>
          <w:sz w:val="24"/>
          <w:szCs w:val="24"/>
        </w:rPr>
        <w:t xml:space="preserve">Speech &amp; Language Therapy • Occupational / Psychomotor Therapy • Clinical Psychology</w:t>
      </w:r>
    </w:p>
    <w:p>
      <w:pPr>
        <w:spacing w:after="320"/>
        <w:jc w:val="center"/>
      </w:pPr>
      <w:r>
        <w:rPr>
          <w:color w:val="B58C5F"/>
        </w:rPr>
        <w:t xml:space="preserve">●  ────────  ●  ────────  ●</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dashed" w:color="D9C4A8" w:sz="4"/>
              <w:left w:val="dashed" w:color="D9C4A8" w:sz="4"/>
              <w:bottom w:val="dashed" w:color="D9C4A8" w:sz="4"/>
              <w:right w:val="dashed" w:color="D9C4A8" w:sz="4"/>
            </w:tcBorders>
            <w:shd w:fill="FFFFFF" w:color="auto" w:val="clear"/>
            <w:tcMar>
              <w:top w:type="dxa" w:w="180"/>
              <w:left w:type="dxa" w:w="240"/>
              <w:bottom w:type="dxa" w:w="180"/>
              <w:right w:type="dxa" w:w="240"/>
            </w:tcMar>
          </w:tcPr>
          <w:p>
            <w:pPr>
              <w:spacing w:line="276"/>
              <w:jc w:val="center"/>
            </w:pPr>
            <w:r>
              <w:rPr>
                <w:rFonts w:ascii="Calibri" w:cs="Calibri" w:eastAsia="Calibri" w:hAnsi="Calibri"/>
                <w:b/>
                <w:bCs/>
                <w:color w:val="6B5947"/>
                <w:sz w:val="19"/>
                <w:szCs w:val="19"/>
              </w:rPr>
              <w:t xml:space="preserve">Confidentiality Statement: </w:t>
            </w:r>
            <w:r>
              <w:rPr>
                <w:rFonts w:ascii="Calibri" w:cs="Calibri" w:eastAsia="Calibri" w:hAnsi="Calibri"/>
                <w:color w:val="6B5947"/>
                <w:sz w:val="19"/>
                <w:szCs w:val="19"/>
              </w:rPr>
              <w:t xml:space="preserve">This report contains sensitive clinical information intended solely for the qualified professionals, caregivers, and educators directly involved in the child's care. Any disclosure, sharing, or duplication of this report requires prior written consent from the child's legal guardians and should be limited to individuals directly involved in the child's therapeutic, educational, or clinical support.</w:t>
            </w:r>
          </w:p>
        </w:tc>
      </w:tr>
    </w:tbl>
    <w:p>
      <w:pPr>
        <w:pBdr>
          <w:bottom w:val="single" w:color="D9C4A8" w:sz="18"/>
        </w:pBdr>
        <w:spacing w:after="320"/>
      </w:pPr>
    </w:p>
    <w:p>
      <w:pPr>
        <w:spacing w:after="160" w:before="100"/>
      </w:pPr>
      <w:r>
        <w:rPr>
          <w:rFonts w:ascii="Calibri" w:cs="Calibri" w:eastAsia="Calibri" w:hAnsi="Calibri"/>
          <w:b/>
          <w:bCs/>
          <w:color w:val="9C7748"/>
          <w:spacing w:val="12"/>
          <w:sz w:val="19"/>
          <w:szCs w:val="19"/>
        </w:rPr>
        <w:t xml:space="preserve">IDENTIFYING INFORMATION</w:t>
      </w:r>
    </w:p>
    <w:tbl>
      <w:tblPr>
        <w:tblW w:type="dxa" w:w="9700"/>
        <w:tblBorders>
          <w:top w:val="single" w:color="D9C4A8" w:sz="6"/>
          <w:left w:val="single" w:color="D9C4A8" w:sz="6"/>
          <w:bottom w:val="single" w:color="D9C4A8" w:sz="6"/>
          <w:right w:val="single" w:color="D9C4A8" w:sz="6"/>
          <w:insideH w:val="single" w:color="auto" w:sz="4"/>
          <w:insideV w:val="single" w:color="auto" w:sz="4"/>
        </w:tblBorders>
      </w:tblPr>
      <w:tblGrid>
        <w:gridCol w:w="2425"/>
        <w:gridCol w:w="2425"/>
        <w:gridCol w:w="2425"/>
        <w:gridCol w:w="2425"/>
      </w:tblGrid>
      <w:tr>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FULL NAME</w:t>
            </w:r>
          </w:p>
          <w:p>
            <w:r>
              <w:rPr>
                <w:rFonts w:ascii="Calibri" w:cs="Calibri" w:eastAsia="Calibri" w:hAnsi="Calibri"/>
                <w:b/>
                <w:bCs/>
                <w:color w:val="3A2E22"/>
                <w:sz w:val="21"/>
                <w:szCs w:val="21"/>
              </w:rPr>
              <w:t xml:space="preserve">Ali Hadithi</w:t>
            </w: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DATE OF BIRTH</w:t>
            </w:r>
          </w:p>
          <w:p>
            <w:r>
              <w:rPr>
                <w:rFonts w:ascii="Calibri" w:cs="Calibri" w:eastAsia="Calibri" w:hAnsi="Calibri"/>
                <w:b/>
                <w:bCs/>
                <w:color w:val="3A2E22"/>
                <w:sz w:val="21"/>
                <w:szCs w:val="21"/>
              </w:rPr>
              <w:t xml:space="preserve">30 / 05 / 2023</w:t>
            </w: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AGE</w:t>
            </w:r>
          </w:p>
          <w:p>
            <w:r>
              <w:rPr>
                <w:rFonts w:ascii="Calibri" w:cs="Calibri" w:eastAsia="Calibri" w:hAnsi="Calibri"/>
                <w:b/>
                <w:bCs/>
                <w:color w:val="3A2E22"/>
                <w:sz w:val="21"/>
                <w:szCs w:val="21"/>
              </w:rPr>
              <w:t xml:space="preserve">3 Years, 2 Months</w:t>
            </w: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GENDER</w:t>
            </w:r>
          </w:p>
          <w:p>
            <w:r>
              <w:rPr>
                <w:rFonts w:ascii="Calibri" w:cs="Calibri" w:eastAsia="Calibri" w:hAnsi="Calibri"/>
                <w:b/>
                <w:bCs/>
                <w:color w:val="3A2E22"/>
                <w:sz w:val="21"/>
                <w:szCs w:val="21"/>
              </w:rPr>
              <w:t xml:space="preserve">Male</w:t>
            </w:r>
          </w:p>
        </w:tc>
      </w:tr>
      <w:tr>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ID NUMBER</w:t>
            </w:r>
          </w:p>
          <w:p>
            <w:r>
              <w:rPr>
                <w:rFonts w:ascii="Calibri" w:cs="Calibri" w:eastAsia="Calibri" w:hAnsi="Calibri"/>
                <w:b/>
                <w:bCs/>
                <w:color w:val="3A2E22"/>
                <w:sz w:val="21"/>
                <w:szCs w:val="21"/>
              </w:rPr>
              <w:t xml:space="preserve">32384000499</w:t>
            </w: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SCHOOL</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GRADE</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ASSESSMENT DATE(S)</w:t>
            </w:r>
          </w:p>
          <w:p>
            <w:pPr>
              <w:pBdr>
                <w:bottom w:val="single" w:color="6B5947" w:sz="4"/>
              </w:pBdr>
            </w:pPr>
          </w:p>
        </w:tc>
      </w:tr>
    </w:tbl>
    <w:p>
      <w:pPr>
        <w:spacing w:after="320"/>
      </w:pPr>
    </w:p>
    <w:p>
      <w:pPr>
        <w:spacing w:after="160"/>
      </w:pPr>
      <w:r>
        <w:rPr>
          <w:rFonts w:ascii="Calibri" w:cs="Calibri" w:eastAsia="Calibri" w:hAnsi="Calibri"/>
          <w:b/>
          <w:bCs/>
          <w:color w:val="9C7748"/>
          <w:spacing w:val="12"/>
          <w:sz w:val="19"/>
          <w:szCs w:val="19"/>
        </w:rPr>
        <w:t xml:space="preserve">CONTENTS</w:t>
      </w:r>
    </w:p>
    <w:p>
      <w:pPr>
        <w:spacing w:after="70" w:before="160"/>
      </w:pPr>
      <w:r>
        <w:rPr>
          <w:rFonts w:ascii="Calibri" w:cs="Calibri" w:eastAsia="Calibri" w:hAnsi="Calibri"/>
          <w:b/>
          <w:bCs/>
          <w:color w:val="9C7748"/>
          <w:spacing w:val="6"/>
          <w:sz w:val="16"/>
          <w:szCs w:val="16"/>
        </w:rPr>
        <w:t xml:space="preserve">GENERAL</w:t>
      </w:r>
    </w:p>
    <w:p>
      <w:pPr>
        <w:spacing w:after="60"/>
      </w:pPr>
      <w:r>
        <w:rPr>
          <w:rFonts w:ascii="Calibri" w:cs="Calibri" w:eastAsia="Calibri" w:hAnsi="Calibri"/>
          <w:b/>
          <w:bCs/>
          <w:color w:val="9C7748"/>
          <w:sz w:val="19"/>
          <w:szCs w:val="19"/>
        </w:rPr>
        <w:t xml:space="preserve">01   </w:t>
      </w:r>
      <w:r>
        <w:rPr>
          <w:rFonts w:ascii="Calibri" w:cs="Calibri" w:eastAsia="Calibri" w:hAnsi="Calibri"/>
          <w:color w:val="3A2E22"/>
          <w:sz w:val="19"/>
          <w:szCs w:val="19"/>
        </w:rPr>
        <w:t xml:space="preserve">Reason for Referral</w:t>
      </w:r>
    </w:p>
    <w:p>
      <w:pPr>
        <w:spacing w:after="60"/>
      </w:pPr>
      <w:r>
        <w:rPr>
          <w:rFonts w:ascii="Calibri" w:cs="Calibri" w:eastAsia="Calibri" w:hAnsi="Calibri"/>
          <w:b/>
          <w:bCs/>
          <w:color w:val="9C7748"/>
          <w:sz w:val="19"/>
          <w:szCs w:val="19"/>
        </w:rPr>
        <w:t xml:space="preserve">02   </w:t>
      </w:r>
      <w:r>
        <w:rPr>
          <w:rFonts w:ascii="Calibri" w:cs="Calibri" w:eastAsia="Calibri" w:hAnsi="Calibri"/>
          <w:color w:val="3A2E22"/>
          <w:sz w:val="19"/>
          <w:szCs w:val="19"/>
        </w:rPr>
        <w:t xml:space="preserve">Case History</w:t>
      </w:r>
    </w:p>
    <w:p>
      <w:pPr>
        <w:spacing w:after="60"/>
      </w:pPr>
      <w:r>
        <w:rPr>
          <w:rFonts w:ascii="Calibri" w:cs="Calibri" w:eastAsia="Calibri" w:hAnsi="Calibri"/>
          <w:b/>
          <w:bCs/>
          <w:color w:val="9C7748"/>
          <w:sz w:val="19"/>
          <w:szCs w:val="19"/>
        </w:rPr>
        <w:t xml:space="preserve">03   </w:t>
      </w:r>
      <w:r>
        <w:rPr>
          <w:rFonts w:ascii="Calibri" w:cs="Calibri" w:eastAsia="Calibri" w:hAnsi="Calibri"/>
          <w:color w:val="3A2E22"/>
          <w:sz w:val="19"/>
          <w:szCs w:val="19"/>
        </w:rPr>
        <w:t xml:space="preserve">Administered Tests</w:t>
      </w:r>
    </w:p>
    <w:p>
      <w:pPr>
        <w:spacing w:after="70" w:before="160"/>
      </w:pPr>
      <w:r>
        <w:rPr>
          <w:rFonts w:ascii="Calibri" w:cs="Calibri" w:eastAsia="Calibri" w:hAnsi="Calibri"/>
          <w:b/>
          <w:bCs/>
          <w:color w:val="9C7748"/>
          <w:spacing w:val="6"/>
          <w:sz w:val="16"/>
          <w:szCs w:val="16"/>
        </w:rPr>
        <w:t xml:space="preserve">SPEECH &amp; LANGUAGE THERAPY</w:t>
      </w:r>
    </w:p>
    <w:p>
      <w:pPr>
        <w:spacing w:after="60"/>
      </w:pPr>
      <w:r>
        <w:rPr>
          <w:rFonts w:ascii="Calibri" w:cs="Calibri" w:eastAsia="Calibri" w:hAnsi="Calibri"/>
          <w:b/>
          <w:bCs/>
          <w:color w:val="9C7748"/>
          <w:sz w:val="19"/>
          <w:szCs w:val="19"/>
        </w:rPr>
        <w:t xml:space="preserve">04   </w:t>
      </w:r>
      <w:r>
        <w:rPr>
          <w:rFonts w:ascii="Calibri" w:cs="Calibri" w:eastAsia="Calibri" w:hAnsi="Calibri"/>
          <w:color w:val="3A2E22"/>
          <w:sz w:val="19"/>
          <w:szCs w:val="19"/>
        </w:rPr>
        <w:t xml:space="preserve">Receptive Language</w:t>
      </w:r>
    </w:p>
    <w:p>
      <w:pPr>
        <w:spacing w:after="60"/>
      </w:pPr>
      <w:r>
        <w:rPr>
          <w:rFonts w:ascii="Calibri" w:cs="Calibri" w:eastAsia="Calibri" w:hAnsi="Calibri"/>
          <w:b/>
          <w:bCs/>
          <w:color w:val="9C7748"/>
          <w:sz w:val="19"/>
          <w:szCs w:val="19"/>
        </w:rPr>
        <w:t xml:space="preserve">05   </w:t>
      </w:r>
      <w:r>
        <w:rPr>
          <w:rFonts w:ascii="Calibri" w:cs="Calibri" w:eastAsia="Calibri" w:hAnsi="Calibri"/>
          <w:color w:val="3A2E22"/>
          <w:sz w:val="19"/>
          <w:szCs w:val="19"/>
        </w:rPr>
        <w:t xml:space="preserve">Expressive Language</w:t>
      </w:r>
    </w:p>
    <w:p>
      <w:pPr>
        <w:spacing w:after="60"/>
      </w:pPr>
      <w:r>
        <w:rPr>
          <w:rFonts w:ascii="Calibri" w:cs="Calibri" w:eastAsia="Calibri" w:hAnsi="Calibri"/>
          <w:b/>
          <w:bCs/>
          <w:color w:val="9C7748"/>
          <w:sz w:val="19"/>
          <w:szCs w:val="19"/>
        </w:rPr>
        <w:t xml:space="preserve">06   </w:t>
      </w:r>
      <w:r>
        <w:rPr>
          <w:rFonts w:ascii="Calibri" w:cs="Calibri" w:eastAsia="Calibri" w:hAnsi="Calibri"/>
          <w:color w:val="3A2E22"/>
          <w:sz w:val="19"/>
          <w:szCs w:val="19"/>
        </w:rPr>
        <w:t xml:space="preserve">Speech Production</w:t>
      </w:r>
    </w:p>
    <w:p>
      <w:pPr>
        <w:spacing w:after="60"/>
      </w:pPr>
      <w:r>
        <w:rPr>
          <w:rFonts w:ascii="Calibri" w:cs="Calibri" w:eastAsia="Calibri" w:hAnsi="Calibri"/>
          <w:b/>
          <w:bCs/>
          <w:color w:val="9C7748"/>
          <w:sz w:val="19"/>
          <w:szCs w:val="19"/>
        </w:rPr>
        <w:t xml:space="preserve">07   </w:t>
      </w:r>
      <w:r>
        <w:rPr>
          <w:rFonts w:ascii="Calibri" w:cs="Calibri" w:eastAsia="Calibri" w:hAnsi="Calibri"/>
          <w:color w:val="3A2E22"/>
          <w:sz w:val="19"/>
          <w:szCs w:val="19"/>
        </w:rPr>
        <w:t xml:space="preserve">Pragmatic &amp; Social Communication</w:t>
      </w:r>
    </w:p>
    <w:p>
      <w:pPr>
        <w:spacing w:after="60"/>
      </w:pPr>
      <w:r>
        <w:rPr>
          <w:rFonts w:ascii="Calibri" w:cs="Calibri" w:eastAsia="Calibri" w:hAnsi="Calibri"/>
          <w:b/>
          <w:bCs/>
          <w:color w:val="9C7748"/>
          <w:sz w:val="19"/>
          <w:szCs w:val="19"/>
        </w:rPr>
        <w:t xml:space="preserve">08   </w:t>
      </w:r>
      <w:r>
        <w:rPr>
          <w:rFonts w:ascii="Calibri" w:cs="Calibri" w:eastAsia="Calibri" w:hAnsi="Calibri"/>
          <w:color w:val="3A2E22"/>
          <w:sz w:val="19"/>
          <w:szCs w:val="19"/>
        </w:rPr>
        <w:t xml:space="preserve">Written Language &amp; Pre-Academic Skills</w:t>
      </w:r>
    </w:p>
    <w:p>
      <w:pPr>
        <w:spacing w:after="60"/>
      </w:pPr>
      <w:r>
        <w:rPr>
          <w:rFonts w:ascii="Calibri" w:cs="Calibri" w:eastAsia="Calibri" w:hAnsi="Calibri"/>
          <w:b/>
          <w:bCs/>
          <w:color w:val="9C7748"/>
          <w:sz w:val="19"/>
          <w:szCs w:val="19"/>
        </w:rPr>
        <w:t xml:space="preserve">09   </w:t>
      </w:r>
      <w:r>
        <w:rPr>
          <w:rFonts w:ascii="Calibri" w:cs="Calibri" w:eastAsia="Calibri" w:hAnsi="Calibri"/>
          <w:color w:val="3A2E22"/>
          <w:sz w:val="19"/>
          <w:szCs w:val="19"/>
        </w:rPr>
        <w:t xml:space="preserve">Cognitive-Communication Skills</w:t>
      </w:r>
    </w:p>
    <w:p>
      <w:pPr>
        <w:spacing w:after="60"/>
      </w:pPr>
      <w:r>
        <w:rPr>
          <w:rFonts w:ascii="Calibri" w:cs="Calibri" w:eastAsia="Calibri" w:hAnsi="Calibri"/>
          <w:b/>
          <w:bCs/>
          <w:color w:val="9C7748"/>
          <w:sz w:val="19"/>
          <w:szCs w:val="19"/>
        </w:rPr>
        <w:t xml:space="preserve">10   </w:t>
      </w:r>
      <w:r>
        <w:rPr>
          <w:rFonts w:ascii="Calibri" w:cs="Calibri" w:eastAsia="Calibri" w:hAnsi="Calibri"/>
          <w:color w:val="3A2E22"/>
          <w:sz w:val="19"/>
          <w:szCs w:val="19"/>
        </w:rPr>
        <w:t xml:space="preserve">Functional Communication Profile</w:t>
      </w:r>
    </w:p>
    <w:p>
      <w:pPr>
        <w:spacing w:after="70" w:before="160"/>
      </w:pPr>
      <w:r>
        <w:rPr>
          <w:rFonts w:ascii="Calibri" w:cs="Calibri" w:eastAsia="Calibri" w:hAnsi="Calibri"/>
          <w:b/>
          <w:bCs/>
          <w:color w:val="9C7748"/>
          <w:spacing w:val="6"/>
          <w:sz w:val="16"/>
          <w:szCs w:val="16"/>
        </w:rPr>
        <w:t xml:space="preserve">OCCUPATIONAL / PSYCHOMOTOR THERAPY</w:t>
      </w:r>
    </w:p>
    <w:p>
      <w:pPr>
        <w:spacing w:after="60"/>
      </w:pPr>
      <w:r>
        <w:rPr>
          <w:rFonts w:ascii="Calibri" w:cs="Calibri" w:eastAsia="Calibri" w:hAnsi="Calibri"/>
          <w:b/>
          <w:bCs/>
          <w:color w:val="9C7748"/>
          <w:sz w:val="19"/>
          <w:szCs w:val="19"/>
        </w:rPr>
        <w:t xml:space="preserve">11   </w:t>
      </w:r>
      <w:r>
        <w:rPr>
          <w:rFonts w:ascii="Calibri" w:cs="Calibri" w:eastAsia="Calibri" w:hAnsi="Calibri"/>
          <w:color w:val="3A2E22"/>
          <w:sz w:val="19"/>
          <w:szCs w:val="19"/>
        </w:rPr>
        <w:t xml:space="preserve">Behavioural Observation</w:t>
      </w:r>
    </w:p>
    <w:p>
      <w:pPr>
        <w:spacing w:after="60"/>
      </w:pPr>
      <w:r>
        <w:rPr>
          <w:rFonts w:ascii="Calibri" w:cs="Calibri" w:eastAsia="Calibri" w:hAnsi="Calibri"/>
          <w:b/>
          <w:bCs/>
          <w:color w:val="9C7748"/>
          <w:sz w:val="19"/>
          <w:szCs w:val="19"/>
        </w:rPr>
        <w:t xml:space="preserve">12   </w:t>
      </w:r>
      <w:r>
        <w:rPr>
          <w:rFonts w:ascii="Calibri" w:cs="Calibri" w:eastAsia="Calibri" w:hAnsi="Calibri"/>
          <w:color w:val="3A2E22"/>
          <w:sz w:val="19"/>
          <w:szCs w:val="19"/>
        </w:rPr>
        <w:t xml:space="preserve">Interactive Modalities</w:t>
      </w:r>
    </w:p>
    <w:p>
      <w:pPr>
        <w:spacing w:after="60"/>
      </w:pPr>
      <w:r>
        <w:rPr>
          <w:rFonts w:ascii="Calibri" w:cs="Calibri" w:eastAsia="Calibri" w:hAnsi="Calibri"/>
          <w:b/>
          <w:bCs/>
          <w:color w:val="9C7748"/>
          <w:sz w:val="19"/>
          <w:szCs w:val="19"/>
        </w:rPr>
        <w:t xml:space="preserve">13   </w:t>
      </w:r>
      <w:r>
        <w:rPr>
          <w:rFonts w:ascii="Calibri" w:cs="Calibri" w:eastAsia="Calibri" w:hAnsi="Calibri"/>
          <w:color w:val="3A2E22"/>
          <w:sz w:val="19"/>
          <w:szCs w:val="19"/>
        </w:rPr>
        <w:t xml:space="preserve">Relationship to Objects</w:t>
      </w:r>
    </w:p>
    <w:p>
      <w:pPr>
        <w:spacing w:after="60"/>
      </w:pPr>
      <w:r>
        <w:rPr>
          <w:rFonts w:ascii="Calibri" w:cs="Calibri" w:eastAsia="Calibri" w:hAnsi="Calibri"/>
          <w:b/>
          <w:bCs/>
          <w:color w:val="9C7748"/>
          <w:sz w:val="19"/>
          <w:szCs w:val="19"/>
        </w:rPr>
        <w:t xml:space="preserve">14   </w:t>
      </w:r>
      <w:r>
        <w:rPr>
          <w:rFonts w:ascii="Calibri" w:cs="Calibri" w:eastAsia="Calibri" w:hAnsi="Calibri"/>
          <w:color w:val="3A2E22"/>
          <w:sz w:val="19"/>
          <w:szCs w:val="19"/>
        </w:rPr>
        <w:t xml:space="preserve">Body Scheme &amp; Body Awareness</w:t>
      </w:r>
    </w:p>
    <w:p>
      <w:pPr>
        <w:spacing w:after="60"/>
      </w:pPr>
      <w:r>
        <w:rPr>
          <w:rFonts w:ascii="Calibri" w:cs="Calibri" w:eastAsia="Calibri" w:hAnsi="Calibri"/>
          <w:b/>
          <w:bCs/>
          <w:color w:val="9C7748"/>
          <w:sz w:val="19"/>
          <w:szCs w:val="19"/>
        </w:rPr>
        <w:t xml:space="preserve">15   </w:t>
      </w:r>
      <w:r>
        <w:rPr>
          <w:rFonts w:ascii="Calibri" w:cs="Calibri" w:eastAsia="Calibri" w:hAnsi="Calibri"/>
          <w:color w:val="3A2E22"/>
          <w:sz w:val="19"/>
          <w:szCs w:val="19"/>
        </w:rPr>
        <w:t xml:space="preserve">Sensory Processing</w:t>
      </w:r>
    </w:p>
    <w:p>
      <w:pPr>
        <w:spacing w:after="60"/>
      </w:pPr>
      <w:r>
        <w:rPr>
          <w:rFonts w:ascii="Calibri" w:cs="Calibri" w:eastAsia="Calibri" w:hAnsi="Calibri"/>
          <w:b/>
          <w:bCs/>
          <w:color w:val="9C7748"/>
          <w:sz w:val="19"/>
          <w:szCs w:val="19"/>
        </w:rPr>
        <w:t xml:space="preserve">16   </w:t>
      </w:r>
      <w:r>
        <w:rPr>
          <w:rFonts w:ascii="Calibri" w:cs="Calibri" w:eastAsia="Calibri" w:hAnsi="Calibri"/>
          <w:color w:val="3A2E22"/>
          <w:sz w:val="19"/>
          <w:szCs w:val="19"/>
        </w:rPr>
        <w:t xml:space="preserve">Visual Perception</w:t>
      </w:r>
    </w:p>
    <w:p>
      <w:pPr>
        <w:spacing w:after="60"/>
      </w:pPr>
      <w:r>
        <w:rPr>
          <w:rFonts w:ascii="Calibri" w:cs="Calibri" w:eastAsia="Calibri" w:hAnsi="Calibri"/>
          <w:b/>
          <w:bCs/>
          <w:color w:val="9C7748"/>
          <w:sz w:val="19"/>
          <w:szCs w:val="19"/>
        </w:rPr>
        <w:t xml:space="preserve">17   </w:t>
      </w:r>
      <w:r>
        <w:rPr>
          <w:rFonts w:ascii="Calibri" w:cs="Calibri" w:eastAsia="Calibri" w:hAnsi="Calibri"/>
          <w:color w:val="3A2E22"/>
          <w:sz w:val="19"/>
          <w:szCs w:val="19"/>
        </w:rPr>
        <w:t xml:space="preserve">Muscle Tone &amp; Strength</w:t>
      </w:r>
    </w:p>
    <w:p>
      <w:pPr>
        <w:spacing w:after="60"/>
      </w:pPr>
      <w:r>
        <w:rPr>
          <w:rFonts w:ascii="Calibri" w:cs="Calibri" w:eastAsia="Calibri" w:hAnsi="Calibri"/>
          <w:b/>
          <w:bCs/>
          <w:color w:val="9C7748"/>
          <w:sz w:val="19"/>
          <w:szCs w:val="19"/>
        </w:rPr>
        <w:t xml:space="preserve">18   </w:t>
      </w:r>
      <w:r>
        <w:rPr>
          <w:rFonts w:ascii="Calibri" w:cs="Calibri" w:eastAsia="Calibri" w:hAnsi="Calibri"/>
          <w:color w:val="3A2E22"/>
          <w:sz w:val="19"/>
          <w:szCs w:val="19"/>
        </w:rPr>
        <w:t xml:space="preserve">Bilateral Coordination &amp; Hand Dominance</w:t>
      </w:r>
    </w:p>
    <w:p>
      <w:pPr>
        <w:spacing w:after="60"/>
      </w:pPr>
      <w:r>
        <w:rPr>
          <w:rFonts w:ascii="Calibri" w:cs="Calibri" w:eastAsia="Calibri" w:hAnsi="Calibri"/>
          <w:b/>
          <w:bCs/>
          <w:color w:val="9C7748"/>
          <w:sz w:val="19"/>
          <w:szCs w:val="19"/>
        </w:rPr>
        <w:t xml:space="preserve">19   </w:t>
      </w:r>
      <w:r>
        <w:rPr>
          <w:rFonts w:ascii="Calibri" w:cs="Calibri" w:eastAsia="Calibri" w:hAnsi="Calibri"/>
          <w:color w:val="3A2E22"/>
          <w:sz w:val="19"/>
          <w:szCs w:val="19"/>
        </w:rPr>
        <w:t xml:space="preserve">Gross Motor Skills</w:t>
      </w:r>
    </w:p>
    <w:p>
      <w:pPr>
        <w:spacing w:after="60"/>
      </w:pPr>
      <w:r>
        <w:rPr>
          <w:rFonts w:ascii="Calibri" w:cs="Calibri" w:eastAsia="Calibri" w:hAnsi="Calibri"/>
          <w:b/>
          <w:bCs/>
          <w:color w:val="9C7748"/>
          <w:sz w:val="19"/>
          <w:szCs w:val="19"/>
        </w:rPr>
        <w:t xml:space="preserve">20   </w:t>
      </w:r>
      <w:r>
        <w:rPr>
          <w:rFonts w:ascii="Calibri" w:cs="Calibri" w:eastAsia="Calibri" w:hAnsi="Calibri"/>
          <w:color w:val="3A2E22"/>
          <w:sz w:val="19"/>
          <w:szCs w:val="19"/>
        </w:rPr>
        <w:t xml:space="preserve">Fine Motor &amp; Graphomotor Skills</w:t>
      </w:r>
    </w:p>
    <w:p>
      <w:pPr>
        <w:spacing w:after="60"/>
      </w:pPr>
      <w:r>
        <w:rPr>
          <w:rFonts w:ascii="Calibri" w:cs="Calibri" w:eastAsia="Calibri" w:hAnsi="Calibri"/>
          <w:b/>
          <w:bCs/>
          <w:color w:val="9C7748"/>
          <w:sz w:val="19"/>
          <w:szCs w:val="19"/>
        </w:rPr>
        <w:t xml:space="preserve">21   </w:t>
      </w:r>
      <w:r>
        <w:rPr>
          <w:rFonts w:ascii="Calibri" w:cs="Calibri" w:eastAsia="Calibri" w:hAnsi="Calibri"/>
          <w:color w:val="3A2E22"/>
          <w:sz w:val="19"/>
          <w:szCs w:val="19"/>
        </w:rPr>
        <w:t xml:space="preserve">Balance &amp; Postural Control</w:t>
      </w:r>
    </w:p>
    <w:p>
      <w:pPr>
        <w:spacing w:after="60"/>
      </w:pPr>
      <w:r>
        <w:rPr>
          <w:rFonts w:ascii="Calibri" w:cs="Calibri" w:eastAsia="Calibri" w:hAnsi="Calibri"/>
          <w:b/>
          <w:bCs/>
          <w:color w:val="9C7748"/>
          <w:sz w:val="19"/>
          <w:szCs w:val="19"/>
        </w:rPr>
        <w:t xml:space="preserve">22   </w:t>
      </w:r>
      <w:r>
        <w:rPr>
          <w:rFonts w:ascii="Calibri" w:cs="Calibri" w:eastAsia="Calibri" w:hAnsi="Calibri"/>
          <w:color w:val="3A2E22"/>
          <w:sz w:val="19"/>
          <w:szCs w:val="19"/>
        </w:rPr>
        <w:t xml:space="preserve">Attention &amp; Participation</w:t>
      </w:r>
    </w:p>
    <w:p>
      <w:pPr>
        <w:spacing w:after="60"/>
      </w:pPr>
      <w:r>
        <w:rPr>
          <w:rFonts w:ascii="Calibri" w:cs="Calibri" w:eastAsia="Calibri" w:hAnsi="Calibri"/>
          <w:b/>
          <w:bCs/>
          <w:color w:val="9C7748"/>
          <w:sz w:val="19"/>
          <w:szCs w:val="19"/>
        </w:rPr>
        <w:t xml:space="preserve">23   </w:t>
      </w:r>
      <w:r>
        <w:rPr>
          <w:rFonts w:ascii="Calibri" w:cs="Calibri" w:eastAsia="Calibri" w:hAnsi="Calibri"/>
          <w:color w:val="3A2E22"/>
          <w:sz w:val="19"/>
          <w:szCs w:val="19"/>
        </w:rPr>
        <w:t xml:space="preserve">Activities of Daily Living (ADLs)</w:t>
      </w:r>
    </w:p>
    <w:p>
      <w:pPr>
        <w:spacing w:after="60"/>
      </w:pPr>
      <w:r>
        <w:rPr>
          <w:rFonts w:ascii="Calibri" w:cs="Calibri" w:eastAsia="Calibri" w:hAnsi="Calibri"/>
          <w:b/>
          <w:bCs/>
          <w:color w:val="9C7748"/>
          <w:sz w:val="19"/>
          <w:szCs w:val="19"/>
        </w:rPr>
        <w:t xml:space="preserve">24   </w:t>
      </w:r>
      <w:r>
        <w:rPr>
          <w:rFonts w:ascii="Calibri" w:cs="Calibri" w:eastAsia="Calibri" w:hAnsi="Calibri"/>
          <w:color w:val="3A2E22"/>
          <w:sz w:val="19"/>
          <w:szCs w:val="19"/>
        </w:rPr>
        <w:t xml:space="preserve">Functional Performance Summary</w:t>
      </w:r>
    </w:p>
    <w:p>
      <w:pPr>
        <w:spacing w:after="70" w:before="160"/>
      </w:pPr>
      <w:r>
        <w:rPr>
          <w:rFonts w:ascii="Calibri" w:cs="Calibri" w:eastAsia="Calibri" w:hAnsi="Calibri"/>
          <w:b/>
          <w:bCs/>
          <w:color w:val="9C7748"/>
          <w:spacing w:val="6"/>
          <w:sz w:val="16"/>
          <w:szCs w:val="16"/>
        </w:rPr>
        <w:t xml:space="preserve">CLINICAL PSYCHOLOGY</w:t>
      </w:r>
    </w:p>
    <w:p>
      <w:pPr>
        <w:spacing w:after="60"/>
      </w:pPr>
      <w:r>
        <w:rPr>
          <w:rFonts w:ascii="Calibri" w:cs="Calibri" w:eastAsia="Calibri" w:hAnsi="Calibri"/>
          <w:b/>
          <w:bCs/>
          <w:color w:val="9C7748"/>
          <w:sz w:val="19"/>
          <w:szCs w:val="19"/>
        </w:rPr>
        <w:t xml:space="preserve">25   </w:t>
      </w:r>
      <w:r>
        <w:rPr>
          <w:rFonts w:ascii="Calibri" w:cs="Calibri" w:eastAsia="Calibri" w:hAnsi="Calibri"/>
          <w:color w:val="3A2E22"/>
          <w:sz w:val="19"/>
          <w:szCs w:val="19"/>
        </w:rPr>
        <w:t xml:space="preserve">Behavioural Presentation &amp; Functional Baseline</w:t>
      </w:r>
    </w:p>
    <w:p>
      <w:pPr>
        <w:spacing w:after="60"/>
      </w:pPr>
      <w:r>
        <w:rPr>
          <w:rFonts w:ascii="Calibri" w:cs="Calibri" w:eastAsia="Calibri" w:hAnsi="Calibri"/>
          <w:b/>
          <w:bCs/>
          <w:color w:val="9C7748"/>
          <w:sz w:val="19"/>
          <w:szCs w:val="19"/>
        </w:rPr>
        <w:t xml:space="preserve">26   </w:t>
      </w:r>
      <w:r>
        <w:rPr>
          <w:rFonts w:ascii="Calibri" w:cs="Calibri" w:eastAsia="Calibri" w:hAnsi="Calibri"/>
          <w:color w:val="3A2E22"/>
          <w:sz w:val="19"/>
          <w:szCs w:val="19"/>
        </w:rPr>
        <w:t xml:space="preserve">Developmental &amp; Learning Potential</w:t>
      </w:r>
    </w:p>
    <w:p>
      <w:pPr>
        <w:spacing w:after="60"/>
      </w:pPr>
      <w:r>
        <w:rPr>
          <w:rFonts w:ascii="Calibri" w:cs="Calibri" w:eastAsia="Calibri" w:hAnsi="Calibri"/>
          <w:b/>
          <w:bCs/>
          <w:color w:val="9C7748"/>
          <w:sz w:val="19"/>
          <w:szCs w:val="19"/>
        </w:rPr>
        <w:t xml:space="preserve">27   </w:t>
      </w:r>
      <w:r>
        <w:rPr>
          <w:rFonts w:ascii="Calibri" w:cs="Calibri" w:eastAsia="Calibri" w:hAnsi="Calibri"/>
          <w:color w:val="3A2E22"/>
          <w:sz w:val="19"/>
          <w:szCs w:val="19"/>
        </w:rPr>
        <w:t xml:space="preserve">Sensory Processing &amp; Self-Regulation</w:t>
      </w:r>
    </w:p>
    <w:p>
      <w:pPr>
        <w:spacing w:after="60"/>
      </w:pPr>
      <w:r>
        <w:rPr>
          <w:rFonts w:ascii="Calibri" w:cs="Calibri" w:eastAsia="Calibri" w:hAnsi="Calibri"/>
          <w:b/>
          <w:bCs/>
          <w:color w:val="9C7748"/>
          <w:sz w:val="19"/>
          <w:szCs w:val="19"/>
        </w:rPr>
        <w:t xml:space="preserve">28   </w:t>
      </w:r>
      <w:r>
        <w:rPr>
          <w:rFonts w:ascii="Calibri" w:cs="Calibri" w:eastAsia="Calibri" w:hAnsi="Calibri"/>
          <w:color w:val="3A2E22"/>
          <w:sz w:val="19"/>
          <w:szCs w:val="19"/>
        </w:rPr>
        <w:t xml:space="preserve">Social-Emotional &amp; Behavioural Regulation</w:t>
      </w:r>
    </w:p>
    <w:p>
      <w:pPr>
        <w:spacing w:after="60"/>
      </w:pPr>
      <w:r>
        <w:rPr>
          <w:rFonts w:ascii="Calibri" w:cs="Calibri" w:eastAsia="Calibri" w:hAnsi="Calibri"/>
          <w:b/>
          <w:bCs/>
          <w:color w:val="9C7748"/>
          <w:sz w:val="19"/>
          <w:szCs w:val="19"/>
        </w:rPr>
        <w:t xml:space="preserve">29   </w:t>
      </w:r>
      <w:r>
        <w:rPr>
          <w:rFonts w:ascii="Calibri" w:cs="Calibri" w:eastAsia="Calibri" w:hAnsi="Calibri"/>
          <w:color w:val="3A2E22"/>
          <w:sz w:val="19"/>
          <w:szCs w:val="19"/>
        </w:rPr>
        <w:t xml:space="preserve">Adaptive Functioning</w:t>
      </w:r>
    </w:p>
    <w:p>
      <w:pPr>
        <w:spacing w:after="70" w:before="160"/>
      </w:pPr>
      <w:r>
        <w:rPr>
          <w:rFonts w:ascii="Calibri" w:cs="Calibri" w:eastAsia="Calibri" w:hAnsi="Calibri"/>
          <w:b/>
          <w:bCs/>
          <w:color w:val="9C7748"/>
          <w:spacing w:val="6"/>
          <w:sz w:val="16"/>
          <w:szCs w:val="16"/>
        </w:rPr>
        <w:t xml:space="preserve">SYNTHESIS &amp; PLANNING</w:t>
      </w:r>
    </w:p>
    <w:p>
      <w:pPr>
        <w:spacing w:after="60"/>
      </w:pPr>
      <w:r>
        <w:rPr>
          <w:rFonts w:ascii="Calibri" w:cs="Calibri" w:eastAsia="Calibri" w:hAnsi="Calibri"/>
          <w:b/>
          <w:bCs/>
          <w:color w:val="9C7748"/>
          <w:sz w:val="19"/>
          <w:szCs w:val="19"/>
        </w:rPr>
        <w:t xml:space="preserve">30   </w:t>
      </w:r>
      <w:r>
        <w:rPr>
          <w:rFonts w:ascii="Calibri" w:cs="Calibri" w:eastAsia="Calibri" w:hAnsi="Calibri"/>
          <w:color w:val="3A2E22"/>
          <w:sz w:val="19"/>
          <w:szCs w:val="19"/>
        </w:rPr>
        <w:t xml:space="preserve">Clinical Formulation</w:t>
      </w:r>
    </w:p>
    <w:p>
      <w:pPr>
        <w:spacing w:after="60"/>
      </w:pPr>
      <w:r>
        <w:rPr>
          <w:rFonts w:ascii="Calibri" w:cs="Calibri" w:eastAsia="Calibri" w:hAnsi="Calibri"/>
          <w:b/>
          <w:bCs/>
          <w:color w:val="9C7748"/>
          <w:sz w:val="19"/>
          <w:szCs w:val="19"/>
        </w:rPr>
        <w:t xml:space="preserve">31   </w:t>
      </w:r>
      <w:r>
        <w:rPr>
          <w:rFonts w:ascii="Calibri" w:cs="Calibri" w:eastAsia="Calibri" w:hAnsi="Calibri"/>
          <w:color w:val="3A2E22"/>
          <w:sz w:val="19"/>
          <w:szCs w:val="19"/>
        </w:rPr>
        <w:t xml:space="preserve">Summary of Findings</w:t>
      </w:r>
    </w:p>
    <w:p>
      <w:pPr>
        <w:spacing w:after="60"/>
      </w:pPr>
      <w:r>
        <w:rPr>
          <w:rFonts w:ascii="Calibri" w:cs="Calibri" w:eastAsia="Calibri" w:hAnsi="Calibri"/>
          <w:b/>
          <w:bCs/>
          <w:color w:val="9C7748"/>
          <w:sz w:val="19"/>
          <w:szCs w:val="19"/>
        </w:rPr>
        <w:t xml:space="preserve">32   </w:t>
      </w:r>
      <w:r>
        <w:rPr>
          <w:rFonts w:ascii="Calibri" w:cs="Calibri" w:eastAsia="Calibri" w:hAnsi="Calibri"/>
          <w:color w:val="3A2E22"/>
          <w:sz w:val="19"/>
          <w:szCs w:val="19"/>
        </w:rPr>
        <w:t xml:space="preserve">Therapeutic Objectives</w:t>
      </w:r>
    </w:p>
    <w:p>
      <w:pPr>
        <w:spacing w:after="60"/>
      </w:pPr>
      <w:r>
        <w:rPr>
          <w:rFonts w:ascii="Calibri" w:cs="Calibri" w:eastAsia="Calibri" w:hAnsi="Calibri"/>
          <w:b/>
          <w:bCs/>
          <w:color w:val="9C7748"/>
          <w:sz w:val="19"/>
          <w:szCs w:val="19"/>
        </w:rPr>
        <w:t xml:space="preserve">33   </w:t>
      </w:r>
      <w:r>
        <w:rPr>
          <w:rFonts w:ascii="Calibri" w:cs="Calibri" w:eastAsia="Calibri" w:hAnsi="Calibri"/>
          <w:color w:val="3A2E22"/>
          <w:sz w:val="19"/>
          <w:szCs w:val="19"/>
        </w:rPr>
        <w:t xml:space="preserve">Short-Term Goals (3–6 Months)</w:t>
      </w:r>
    </w:p>
    <w:p>
      <w:pPr>
        <w:spacing w:after="60"/>
      </w:pPr>
      <w:r>
        <w:rPr>
          <w:rFonts w:ascii="Calibri" w:cs="Calibri" w:eastAsia="Calibri" w:hAnsi="Calibri"/>
          <w:b/>
          <w:bCs/>
          <w:color w:val="9C7748"/>
          <w:sz w:val="19"/>
          <w:szCs w:val="19"/>
        </w:rPr>
        <w:t xml:space="preserve">34   </w:t>
      </w:r>
      <w:r>
        <w:rPr>
          <w:rFonts w:ascii="Calibri" w:cs="Calibri" w:eastAsia="Calibri" w:hAnsi="Calibri"/>
          <w:color w:val="3A2E22"/>
          <w:sz w:val="19"/>
          <w:szCs w:val="19"/>
        </w:rPr>
        <w:t xml:space="preserve">Long-Term Goals (6–12 Months)</w:t>
      </w:r>
    </w:p>
    <w:p>
      <w:pPr>
        <w:spacing w:after="70" w:before="160"/>
      </w:pPr>
      <w:r>
        <w:rPr>
          <w:rFonts w:ascii="Calibri" w:cs="Calibri" w:eastAsia="Calibri" w:hAnsi="Calibri"/>
          <w:b/>
          <w:bCs/>
          <w:color w:val="9C7748"/>
          <w:spacing w:val="6"/>
          <w:sz w:val="16"/>
          <w:szCs w:val="16"/>
        </w:rPr>
        <w:t xml:space="preserve">RECOMMENDATIONS</w:t>
      </w:r>
    </w:p>
    <w:p>
      <w:pPr>
        <w:spacing w:after="60"/>
      </w:pPr>
      <w:r>
        <w:rPr>
          <w:rFonts w:ascii="Calibri" w:cs="Calibri" w:eastAsia="Calibri" w:hAnsi="Calibri"/>
          <w:b/>
          <w:bCs/>
          <w:color w:val="9C7748"/>
          <w:sz w:val="19"/>
          <w:szCs w:val="19"/>
        </w:rPr>
        <w:t xml:space="preserve">35   </w:t>
      </w:r>
      <w:r>
        <w:rPr>
          <w:rFonts w:ascii="Calibri" w:cs="Calibri" w:eastAsia="Calibri" w:hAnsi="Calibri"/>
          <w:color w:val="3A2E22"/>
          <w:sz w:val="19"/>
          <w:szCs w:val="19"/>
        </w:rPr>
        <w:t xml:space="preserve">Speech &amp; Language Therapy Recommendations</w:t>
      </w:r>
    </w:p>
    <w:p>
      <w:pPr>
        <w:spacing w:after="60"/>
      </w:pPr>
      <w:r>
        <w:rPr>
          <w:rFonts w:ascii="Calibri" w:cs="Calibri" w:eastAsia="Calibri" w:hAnsi="Calibri"/>
          <w:b/>
          <w:bCs/>
          <w:color w:val="9C7748"/>
          <w:sz w:val="19"/>
          <w:szCs w:val="19"/>
        </w:rPr>
        <w:t xml:space="preserve">36   </w:t>
      </w:r>
      <w:r>
        <w:rPr>
          <w:rFonts w:ascii="Calibri" w:cs="Calibri" w:eastAsia="Calibri" w:hAnsi="Calibri"/>
          <w:color w:val="3A2E22"/>
          <w:sz w:val="19"/>
          <w:szCs w:val="19"/>
        </w:rPr>
        <w:t xml:space="preserve">Occupational / Psychomotor Therapy Recommendations</w:t>
      </w:r>
    </w:p>
    <w:p>
      <w:pPr>
        <w:spacing w:after="60"/>
      </w:pPr>
      <w:r>
        <w:rPr>
          <w:rFonts w:ascii="Calibri" w:cs="Calibri" w:eastAsia="Calibri" w:hAnsi="Calibri"/>
          <w:b/>
          <w:bCs/>
          <w:color w:val="9C7748"/>
          <w:sz w:val="19"/>
          <w:szCs w:val="19"/>
        </w:rPr>
        <w:t xml:space="preserve">37   </w:t>
      </w:r>
      <w:r>
        <w:rPr>
          <w:rFonts w:ascii="Calibri" w:cs="Calibri" w:eastAsia="Calibri" w:hAnsi="Calibri"/>
          <w:color w:val="3A2E22"/>
          <w:sz w:val="19"/>
          <w:szCs w:val="19"/>
        </w:rPr>
        <w:t xml:space="preserve">Clinical Psychology Recommendations</w:t>
      </w:r>
    </w:p>
    <w:p>
      <w:pPr>
        <w:spacing w:after="60"/>
      </w:pPr>
      <w:r>
        <w:rPr>
          <w:rFonts w:ascii="Calibri" w:cs="Calibri" w:eastAsia="Calibri" w:hAnsi="Calibri"/>
          <w:b/>
          <w:bCs/>
          <w:color w:val="9C7748"/>
          <w:sz w:val="19"/>
          <w:szCs w:val="19"/>
        </w:rPr>
        <w:t xml:space="preserve">38   </w:t>
      </w:r>
      <w:r>
        <w:rPr>
          <w:rFonts w:ascii="Calibri" w:cs="Calibri" w:eastAsia="Calibri" w:hAnsi="Calibri"/>
          <w:color w:val="3A2E22"/>
          <w:sz w:val="19"/>
          <w:szCs w:val="19"/>
        </w:rPr>
        <w:t xml:space="preserve">Educational / School Support</w:t>
      </w:r>
    </w:p>
    <w:p>
      <w:pPr>
        <w:spacing w:after="60"/>
      </w:pPr>
      <w:r>
        <w:rPr>
          <w:rFonts w:ascii="Calibri" w:cs="Calibri" w:eastAsia="Calibri" w:hAnsi="Calibri"/>
          <w:b/>
          <w:bCs/>
          <w:color w:val="9C7748"/>
          <w:sz w:val="19"/>
          <w:szCs w:val="19"/>
        </w:rPr>
        <w:t xml:space="preserve">39   </w:t>
      </w:r>
      <w:r>
        <w:rPr>
          <w:rFonts w:ascii="Calibri" w:cs="Calibri" w:eastAsia="Calibri" w:hAnsi="Calibri"/>
          <w:color w:val="3A2E22"/>
          <w:sz w:val="19"/>
          <w:szCs w:val="19"/>
        </w:rPr>
        <w:t xml:space="preserve">General Recommendations</w:t>
      </w:r>
    </w:p>
    <w:p>
      <w:pPr>
        <w:spacing w:after="60"/>
      </w:pPr>
      <w:r>
        <w:rPr>
          <w:rFonts w:ascii="Calibri" w:cs="Calibri" w:eastAsia="Calibri" w:hAnsi="Calibri"/>
          <w:b/>
          <w:bCs/>
          <w:color w:val="9C7748"/>
          <w:sz w:val="19"/>
          <w:szCs w:val="19"/>
        </w:rPr>
        <w:t xml:space="preserve">40   </w:t>
      </w:r>
      <w:r>
        <w:rPr>
          <w:rFonts w:ascii="Calibri" w:cs="Calibri" w:eastAsia="Calibri" w:hAnsi="Calibri"/>
          <w:color w:val="3A2E22"/>
          <w:sz w:val="19"/>
          <w:szCs w:val="19"/>
        </w:rPr>
        <w:t xml:space="preserve">Academic Recommendations</w:t>
      </w:r>
    </w:p>
    <w:p>
      <w:pPr>
        <w:spacing w:after="60"/>
      </w:pPr>
      <w:r>
        <w:rPr>
          <w:rFonts w:ascii="Calibri" w:cs="Calibri" w:eastAsia="Calibri" w:hAnsi="Calibri"/>
          <w:b/>
          <w:bCs/>
          <w:color w:val="9C7748"/>
          <w:sz w:val="19"/>
          <w:szCs w:val="19"/>
        </w:rPr>
        <w:t xml:space="preserve">41   </w:t>
      </w:r>
      <w:r>
        <w:rPr>
          <w:rFonts w:ascii="Calibri" w:cs="Calibri" w:eastAsia="Calibri" w:hAnsi="Calibri"/>
          <w:color w:val="3A2E22"/>
          <w:sz w:val="19"/>
          <w:szCs w:val="19"/>
        </w:rPr>
        <w:t xml:space="preserve">Prognosis</w:t>
      </w:r>
    </w:p>
    <w:p>
      <w:r>
        <w:br w:type="page"/>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01</w:t>
            </w:r>
          </w:p>
          <w:p>
            <w:pPr>
              <w:spacing w:after="0"/>
            </w:pPr>
            <w:r>
              <w:rPr>
                <w:rFonts w:ascii="Georgia" w:cs="Georgia" w:eastAsia="Georgia" w:hAnsi="Georgia"/>
                <w:b/>
                <w:bCs/>
                <w:color w:val="3A2E22"/>
                <w:sz w:val="30"/>
                <w:szCs w:val="30"/>
              </w:rPr>
              <w:t xml:space="preserve">Reason for Referral</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[Child's Full Name], a [age] [boy/girl], was referred for a comprehensive multi-disciplinary assessment. [Summarise the presenting concerns — e.g., communication, social interaction, behavioural regulation, sensory processing, motor coordination, cognitive functioning, adaptive skills, or academic participation.]</w:t>
      </w:r>
    </w:p>
    <w:p>
      <w:pPr>
        <w:spacing w:after="160" w:line="276"/>
        <w:jc w:val="left"/>
      </w:pPr>
      <w:r>
        <w:rPr>
          <w:rFonts w:ascii="Calibri" w:cs="Calibri" w:eastAsia="Calibri" w:hAnsi="Calibri"/>
          <w:b w:val="false"/>
          <w:bCs w:val="false"/>
          <w:i w:val="false"/>
          <w:iCs w:val="false"/>
          <w:color w:val="3A2E22"/>
          <w:sz w:val="22"/>
          <w:szCs w:val="22"/>
        </w:rPr>
        <w:t xml:space="preserve">The purpose of this assessment is to:</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Assess the child's current developmental and functional abilities across multiple domains.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Identify strengths and areas of difficulty impacting daily functioning and learning.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Evaluate speech-language, occupational/psychomotor, and psychological/behavioural functioning.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Establish therapeutic priorities and intervention targets.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Support individualised educational planning and multi-disciplinary intervention.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02</w:t>
            </w:r>
          </w:p>
          <w:p>
            <w:pPr>
              <w:spacing w:after="0"/>
            </w:pPr>
            <w:r>
              <w:rPr>
                <w:rFonts w:ascii="Georgia" w:cs="Georgia" w:eastAsia="Georgia" w:hAnsi="Georgia"/>
                <w:b/>
                <w:bCs/>
                <w:color w:val="3A2E22"/>
                <w:sz w:val="30"/>
                <w:szCs w:val="30"/>
              </w:rPr>
              <w:t xml:space="preserve">Case History</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relevant prenatal, birth, medical, and developmental history, or note if this information was limited at the time of assessment.]</w:t>
      </w:r>
    </w:p>
    <w:p>
      <w:pPr>
        <w:spacing w:after="160" w:line="276"/>
        <w:jc w:val="left"/>
      </w:pPr>
      <w:r>
        <w:rPr>
          <w:rFonts w:ascii="Calibri" w:cs="Calibri" w:eastAsia="Calibri" w:hAnsi="Calibri"/>
          <w:b w:val="false"/>
          <w:bCs w:val="false"/>
          <w:i/>
          <w:iCs/>
          <w:color w:val="6B5947"/>
          <w:sz w:val="22"/>
          <w:szCs w:val="22"/>
        </w:rPr>
        <w:t xml:space="preserve">[Summarise the child's current overall presentation across communication, social, sensory, cognitive, adaptive, and motor domains.]</w:t>
      </w:r>
    </w:p>
    <w:p>
      <w:pPr>
        <w:spacing w:after="160" w:line="276"/>
        <w:jc w:val="left"/>
      </w:pPr>
      <w:r>
        <w:rPr>
          <w:rFonts w:ascii="Calibri" w:cs="Calibri" w:eastAsia="Calibri" w:hAnsi="Calibri"/>
          <w:b w:val="false"/>
          <w:bCs w:val="false"/>
          <w:i w:val="false"/>
          <w:iCs w:val="false"/>
          <w:color w:val="3A2E22"/>
          <w:sz w:val="22"/>
          <w:szCs w:val="22"/>
        </w:rPr>
        <w:t xml:space="preserve">Caregiver report and clinical observation indicate that </w:t>
      </w:r>
      <w:r>
        <w:rPr>
          <w:rFonts w:ascii="Calibri" w:cs="Calibri" w:eastAsia="Calibri" w:hAnsi="Calibri"/>
          <w:b w:val="false"/>
          <w:bCs w:val="false"/>
          <w:i/>
          <w:iCs/>
          <w:color w:val="6B5947"/>
          <w:sz w:val="22"/>
          <w:szCs w:val="22"/>
        </w:rPr>
        <w:t xml:space="preserve">[Child]</w:t>
      </w:r>
      <w:r>
        <w:rPr>
          <w:rFonts w:ascii="Calibri" w:cs="Calibri" w:eastAsia="Calibri" w:hAnsi="Calibri"/>
          <w:b w:val="false"/>
          <w:bCs w:val="false"/>
          <w:i w:val="false"/>
          <w:iCs w:val="false"/>
          <w:color w:val="3A2E22"/>
          <w:sz w:val="22"/>
          <w:szCs w:val="22"/>
        </w:rPr>
        <w:t xml:space="preserve"> demonstrates: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6]</w:t>
      </w:r>
    </w:p>
    <w:p>
      <w:pPr>
        <w:spacing w:after="160" w:line="276"/>
        <w:jc w:val="left"/>
      </w:pPr>
      <w:r>
        <w:rPr>
          <w:rFonts w:ascii="Calibri" w:cs="Calibri" w:eastAsia="Calibri" w:hAnsi="Calibri"/>
          <w:b w:val="false"/>
          <w:bCs w:val="false"/>
          <w:i/>
          <w:iCs/>
          <w:color w:val="6B5947"/>
          <w:sz w:val="22"/>
          <w:szCs w:val="22"/>
        </w:rPr>
        <w:t xml:space="preserve">[Note any strengths or positive indicators observed, e.g., social interest, emerging skills, or responsiveness to support, suggesting rehabilitation potential.]</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03</w:t>
            </w:r>
          </w:p>
          <w:p>
            <w:pPr>
              <w:spacing w:after="0"/>
            </w:pPr>
            <w:r>
              <w:rPr>
                <w:rFonts w:ascii="Georgia" w:cs="Georgia" w:eastAsia="Georgia" w:hAnsi="Georgia"/>
                <w:b/>
                <w:bCs/>
                <w:color w:val="3A2E22"/>
                <w:sz w:val="30"/>
                <w:szCs w:val="30"/>
              </w:rPr>
              <w:t xml:space="preserve">Administered Tests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SPEECH &amp; LANGUAGE THERAPY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Clinical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Informal receptive and expressive language assessment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Functional communication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Oral motor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Communication Matrix – Professional Version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Speech-language sampling</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THERAPY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Clinical observation of sensory and motor performance</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Structured play-based assessment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Sensory processing observation (proprioceptive, vestibular, visual, tactile, and auditory)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Fine and gross motor skills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Muscle tone and strength assessment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Balance and postural control assessment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Activities of daily living (ADL)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Caregiver interview and developmental history review</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CLINICAL PSYCHOLOGY / BEHAVIOURAL FUNCTIONING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Verbal Behavior Milestones Assessment and Placement Program (VB-MAPP)</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Childhood Autism Rating Scale – Second Edition (CARS2-ST)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Sensory Processing Measure – Second Edition (SPM-2): clinical observation protocol</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Behavioural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Functional interaction assessment</w:t>
      </w:r>
    </w:p>
    <w:p>
      <w:pPr>
        <w:spacing w:after="8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none" w:color="FFFFFF" w:sz="0"/>
              <w:left w:val="none" w:color="FFFFFF" w:sz="0"/>
              <w:bottom w:val="none" w:color="FFFFFF" w:sz="0"/>
              <w:right w:val="none" w:color="FFFFFF" w:sz="0"/>
            </w:tcBorders>
            <w:shd w:fill="8A6A42" w:color="auto" w:val="clear"/>
            <w:tcMar>
              <w:top w:type="dxa" w:w="240"/>
              <w:left w:type="dxa" w:w="280"/>
              <w:bottom w:type="dxa" w:w="240"/>
              <w:right w:type="dxa" w:w="280"/>
            </w:tcMar>
            <w:vAlign w:val="center"/>
          </w:tcPr>
          <w:p>
            <w:pPr>
              <w:spacing w:after="130"/>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p>
            <w:pPr>
              <w:spacing w:after="50"/>
            </w:pPr>
            <w:r>
              <w:rPr>
                <w:rFonts w:ascii="Calibri" w:cs="Calibri" w:eastAsia="Calibri" w:hAnsi="Calibri"/>
                <w:b/>
                <w:bCs/>
                <w:color w:val="F1E4D0"/>
                <w:spacing w:val="12"/>
                <w:sz w:val="16"/>
                <w:szCs w:val="16"/>
              </w:rPr>
              <w:t xml:space="preserve">ASSESSMENT RESULTS</w:t>
            </w:r>
          </w:p>
          <w:p>
            <w:r>
              <w:rPr>
                <w:rFonts w:ascii="Georgia" w:cs="Georgia" w:eastAsia="Georgia" w:hAnsi="Georgia"/>
                <w:b/>
                <w:bCs/>
                <w:color w:val="FFFFFF"/>
                <w:sz w:val="32"/>
                <w:szCs w:val="32"/>
              </w:rPr>
              <w:t xml:space="preserve">Speech &amp; Language Therapy</w:t>
            </w:r>
          </w:p>
        </w:tc>
      </w:tr>
    </w:tbl>
    <w:p>
      <w:pPr>
        <w:spacing w:after="16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04</w:t>
            </w:r>
          </w:p>
          <w:p>
            <w:pPr>
              <w:spacing w:after="0"/>
            </w:pPr>
            <w:r>
              <w:rPr>
                <w:rFonts w:ascii="Georgia" w:cs="Georgia" w:eastAsia="Georgia" w:hAnsi="Georgia"/>
                <w:b/>
                <w:bCs/>
                <w:color w:val="3A2E22"/>
                <w:sz w:val="30"/>
                <w:szCs w:val="30"/>
              </w:rPr>
              <w:t xml:space="preserve">Receptive Language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receptive language abilities and how they affect comprehension of verbal instructions and functional understanding.]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to name.]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following one-step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following two-step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to visual/gestural support.]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latency/processing time.]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understanding of familiar objects/routines.]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attention to verbal input.]</w:t>
      </w:r>
    </w:p>
    <w:p>
      <w:pPr>
        <w:spacing w:after="160" w:line="276"/>
        <w:jc w:val="left"/>
      </w:pPr>
      <w:r>
        <w:rPr>
          <w:rFonts w:ascii="Calibri" w:cs="Calibri" w:eastAsia="Calibri" w:hAnsi="Calibri"/>
          <w:b w:val="false"/>
          <w:bCs w:val="false"/>
          <w:i/>
          <w:iCs/>
          <w:color w:val="6B5947"/>
          <w:sz w:val="22"/>
          <w:szCs w:val="22"/>
        </w:rPr>
        <w:t xml:space="preserve">[Note the functional impact of receptive language difficulties on participation.]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05</w:t>
            </w:r>
          </w:p>
          <w:p>
            <w:pPr>
              <w:spacing w:after="0"/>
            </w:pPr>
            <w:r>
              <w:rPr>
                <w:rFonts w:ascii="Georgia" w:cs="Georgia" w:eastAsia="Georgia" w:hAnsi="Georgia"/>
                <w:b/>
                <w:bCs/>
                <w:color w:val="3A2E22"/>
                <w:sz w:val="30"/>
                <w:szCs w:val="30"/>
              </w:rPr>
              <w:t xml:space="preserve">Expressive Language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current expressive language level, e.g., non-verbal, single words, phrases, sentences.]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spoken words/vocabulary.]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vocalisations and sound approximations.]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echolalia or repetitive vocalisations, if present.]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functional requesting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spontaneous communication initiation.]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choice-making between items.]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non-verbal communication behaviours, e.g., reaching, gestures.]</w:t>
      </w:r>
    </w:p>
    <w:p>
      <w:pPr>
        <w:spacing w:after="160" w:line="276"/>
        <w:jc w:val="left"/>
      </w:pPr>
      <w:r>
        <w:rPr>
          <w:rFonts w:ascii="Calibri" w:cs="Calibri" w:eastAsia="Calibri" w:hAnsi="Calibri"/>
          <w:b w:val="false"/>
          <w:bCs w:val="false"/>
          <w:i/>
          <w:iCs/>
          <w:color w:val="6B5947"/>
          <w:sz w:val="22"/>
          <w:szCs w:val="22"/>
        </w:rPr>
        <w:t xml:space="preserve">[Note communicative intent observed despite expressive limitations, if applicable.]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06</w:t>
            </w:r>
          </w:p>
          <w:p>
            <w:pPr>
              <w:spacing w:after="0"/>
            </w:pPr>
            <w:r>
              <w:rPr>
                <w:rFonts w:ascii="Georgia" w:cs="Georgia" w:eastAsia="Georgia" w:hAnsi="Georgia"/>
                <w:b/>
                <w:bCs/>
                <w:color w:val="3A2E22"/>
                <w:sz w:val="30"/>
                <w:szCs w:val="30"/>
              </w:rPr>
              <w:t xml:space="preserve">Speech Production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speech production abilities relative to age expectations.]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vocal imitation abilities.]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verbal output/intelligibility.]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articulation or oral-motor findings.]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repetitive vocalisations, if present.]</w:t>
      </w:r>
    </w:p>
    <w:p>
      <w:pPr>
        <w:spacing w:after="160" w:line="276"/>
        <w:jc w:val="left"/>
      </w:pPr>
      <w:r>
        <w:rPr>
          <w:rFonts w:ascii="Calibri" w:cs="Calibri" w:eastAsia="Calibri" w:hAnsi="Calibri"/>
          <w:b w:val="false"/>
          <w:bCs w:val="false"/>
          <w:i/>
          <w:iCs/>
          <w:color w:val="6B5947"/>
          <w:sz w:val="22"/>
          <w:szCs w:val="22"/>
        </w:rPr>
        <w:t xml:space="preserve">[Note any oral-motor findings relevant to feeding/swallowing, or recommend further oral-motor examination if indicated.]</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07</w:t>
            </w:r>
          </w:p>
          <w:p>
            <w:pPr>
              <w:spacing w:after="0"/>
            </w:pPr>
            <w:r>
              <w:rPr>
                <w:rFonts w:ascii="Georgia" w:cs="Georgia" w:eastAsia="Georgia" w:hAnsi="Georgia"/>
                <w:b/>
                <w:bCs/>
                <w:color w:val="3A2E22"/>
                <w:sz w:val="30"/>
                <w:szCs w:val="30"/>
              </w:rPr>
              <w:t xml:space="preserve">Pragmatic &amp; Social Communication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pragmatic and social communication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eye contact.]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joint attention.]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turn-taking abilities.]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reciprocal interaction.]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engagement with peers/adults.]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social initiation.]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single" w:color="7C9A5C" w:sz="2"/>
              <w:left w:val="single" w:color="7C9A5C" w:sz="24"/>
              <w:bottom w:val="single" w:color="7C9A5C" w:sz="2"/>
              <w:right w:val="single" w:color="7C9A5C" w:sz="2"/>
            </w:tcBorders>
            <w:shd w:fill="F2F7EE" w:color="auto" w:val="clear"/>
            <w:tcMar>
              <w:top w:type="dxa" w:w="150"/>
              <w:left w:type="dxa" w:w="220"/>
              <w:bottom w:type="dxa" w:w="150"/>
              <w:right w:type="dxa" w:w="220"/>
            </w:tcMar>
          </w:tcPr>
          <w:p>
            <w:pPr>
              <w:spacing w:after="70"/>
            </w:pPr>
            <w:r>
              <w:rPr>
                <w:rFonts w:ascii="Calibri" w:cs="Calibri" w:eastAsia="Calibri" w:hAnsi="Calibri"/>
                <w:b/>
                <w:bCs/>
                <w:color w:val="5C7A42"/>
                <w:spacing w:val="8"/>
                <w:sz w:val="16"/>
                <w:szCs w:val="16"/>
              </w:rPr>
              <w:t xml:space="preserve">OBSERVED STRENGTH</w:t>
            </w:r>
          </w:p>
          <w:p>
            <w:pPr>
              <w:spacing w:line="276"/>
            </w:pPr>
            <w:r>
              <w:rPr>
                <w:rFonts w:ascii="Calibri" w:cs="Calibri" w:eastAsia="Calibri" w:hAnsi="Calibri"/>
                <w:b w:val="false"/>
                <w:bCs w:val="false"/>
                <w:i/>
                <w:iCs/>
                <w:color w:val="6B5947"/>
                <w:sz w:val="21"/>
                <w:szCs w:val="21"/>
              </w:rPr>
              <w:t xml:space="preserve">[Note social awareness/interest strengths observed, e.g., proximity-seeking, physical engagement, orientation to others.]</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08</w:t>
            </w:r>
          </w:p>
          <w:p>
            <w:pPr>
              <w:spacing w:after="0"/>
            </w:pPr>
            <w:r>
              <w:rPr>
                <w:rFonts w:ascii="Georgia" w:cs="Georgia" w:eastAsia="Georgia" w:hAnsi="Georgia"/>
                <w:b/>
                <w:bCs/>
                <w:color w:val="3A2E22"/>
                <w:sz w:val="30"/>
                <w:szCs w:val="30"/>
              </w:rPr>
              <w:t xml:space="preserve">Written Language &amp; Pre-Academic Skills</w:t>
            </w:r>
          </w:p>
        </w:tc>
      </w:tr>
    </w:tbl>
    <w:p>
      <w:pPr>
        <w:pBdr>
          <w:bottom w:val="single" w:color="D9C4A8" w:sz="6" w:space="1"/>
        </w:pBdr>
        <w:spacing w:after="160"/>
      </w:pPr>
    </w:p>
    <w:p>
      <w:pPr>
        <w:spacing w:after="80" w:before="160"/>
      </w:pPr>
      <w:r>
        <w:rPr>
          <w:rFonts w:ascii="Calibri" w:cs="Calibri" w:eastAsia="Calibri" w:hAnsi="Calibri"/>
          <w:b/>
          <w:bCs/>
          <w:color w:val="9C7748"/>
          <w:spacing w:val="8"/>
          <w:sz w:val="19"/>
          <w:szCs w:val="19"/>
        </w:rPr>
        <w:t xml:space="preserve">READING READINESS</w:t>
      </w:r>
    </w:p>
    <w:p>
      <w:pPr>
        <w:spacing w:after="160" w:line="276"/>
        <w:jc w:val="left"/>
      </w:pPr>
      <w:r>
        <w:rPr>
          <w:rFonts w:ascii="Calibri" w:cs="Calibri" w:eastAsia="Calibri" w:hAnsi="Calibri"/>
          <w:b w:val="false"/>
          <w:bCs w:val="false"/>
          <w:i/>
          <w:iCs/>
          <w:color w:val="6B5947"/>
          <w:sz w:val="22"/>
          <w:szCs w:val="22"/>
        </w:rPr>
        <w:t xml:space="preserve">[Summarise pre-literacy skills, e.g., letter/number recognition, visual discrimination, symbolic attention.]</w:t>
      </w:r>
    </w:p>
    <w:p>
      <w:pPr>
        <w:spacing w:after="80" w:before="160"/>
      </w:pPr>
      <w:r>
        <w:rPr>
          <w:rFonts w:ascii="Calibri" w:cs="Calibri" w:eastAsia="Calibri" w:hAnsi="Calibri"/>
          <w:b/>
          <w:bCs/>
          <w:color w:val="9C7748"/>
          <w:spacing w:val="8"/>
          <w:sz w:val="19"/>
          <w:szCs w:val="19"/>
        </w:rPr>
        <w:t xml:space="preserve">COMPREHENSION</w:t>
      </w:r>
    </w:p>
    <w:p>
      <w:pPr>
        <w:spacing w:after="160" w:line="276"/>
        <w:jc w:val="left"/>
      </w:pPr>
      <w:r>
        <w:rPr>
          <w:rFonts w:ascii="Calibri" w:cs="Calibri" w:eastAsia="Calibri" w:hAnsi="Calibri"/>
          <w:b w:val="false"/>
          <w:bCs w:val="false"/>
          <w:i/>
          <w:iCs/>
          <w:color w:val="6B5947"/>
          <w:sz w:val="22"/>
          <w:szCs w:val="22"/>
        </w:rPr>
        <w:t xml:space="preserve">[Summarise functional comprehension of verbal information, questions, and sequential instructions.]</w:t>
      </w:r>
    </w:p>
    <w:p>
      <w:pPr>
        <w:spacing w:after="80" w:before="160"/>
      </w:pPr>
      <w:r>
        <w:rPr>
          <w:rFonts w:ascii="Calibri" w:cs="Calibri" w:eastAsia="Calibri" w:hAnsi="Calibri"/>
          <w:b/>
          <w:bCs/>
          <w:color w:val="9C7748"/>
          <w:spacing w:val="8"/>
          <w:sz w:val="19"/>
          <w:szCs w:val="19"/>
        </w:rPr>
        <w:t xml:space="preserve">WRITING READINESS</w:t>
      </w:r>
    </w:p>
    <w:p>
      <w:pPr>
        <w:spacing w:after="160" w:line="276"/>
        <w:jc w:val="left"/>
      </w:pPr>
      <w:r>
        <w:rPr>
          <w:rFonts w:ascii="Calibri" w:cs="Calibri" w:eastAsia="Calibri" w:hAnsi="Calibri"/>
          <w:b w:val="false"/>
          <w:bCs w:val="false"/>
          <w:i/>
          <w:iCs/>
          <w:color w:val="6B5947"/>
          <w:sz w:val="22"/>
          <w:szCs w:val="22"/>
        </w:rPr>
        <w:t xml:space="preserve">[Summarise pre-writing skills, e.g., fine motor control, graphomotor ability, visual-motor integration, task endurance.]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09</w:t>
            </w:r>
          </w:p>
          <w:p>
            <w:pPr>
              <w:spacing w:after="0"/>
            </w:pPr>
            <w:r>
              <w:rPr>
                <w:rFonts w:ascii="Georgia" w:cs="Georgia" w:eastAsia="Georgia" w:hAnsi="Georgia"/>
                <w:b/>
                <w:bCs/>
                <w:color w:val="3A2E22"/>
                <w:sz w:val="30"/>
                <w:szCs w:val="30"/>
              </w:rPr>
              <w:t xml:space="preserve">Cognitive-Communication Skills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cognitive-communication abilities: attention, initiation, problem-solving, sequencing, memory, processing speed.]</w:t>
      </w:r>
    </w:p>
    <w:p>
      <w:pPr>
        <w:spacing w:after="160" w:line="276"/>
        <w:jc w:val="left"/>
      </w:pPr>
      <w:r>
        <w:rPr>
          <w:rFonts w:ascii="Calibri" w:cs="Calibri" w:eastAsia="Calibri" w:hAnsi="Calibri"/>
          <w:b w:val="false"/>
          <w:bCs w:val="false"/>
          <w:i w:val="false"/>
          <w:iCs w:val="false"/>
          <w:color w:val="3A2E22"/>
          <w:sz w:val="22"/>
          <w:szCs w:val="22"/>
        </w:rPr>
        <w:t xml:space="preserve">Benefits from:</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1, e.g., repetition/structured routines.]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2, e.g., simplified single-element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3, e.g., visual/gestural support.]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4, e.g., extended wait-time.]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10</w:t>
            </w:r>
          </w:p>
          <w:p>
            <w:pPr>
              <w:spacing w:after="0"/>
            </w:pPr>
            <w:r>
              <w:rPr>
                <w:rFonts w:ascii="Georgia" w:cs="Georgia" w:eastAsia="Georgia" w:hAnsi="Georgia"/>
                <w:b/>
                <w:bCs/>
                <w:color w:val="3A2E22"/>
                <w:sz w:val="30"/>
                <w:szCs w:val="30"/>
              </w:rPr>
              <w:t xml:space="preserve">Functional Communication Profile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the child's overall communication profile and intentionality — conventional and unconventional behaviours used to communicate.]</w:t>
      </w:r>
    </w:p>
    <w:p>
      <w:pPr>
        <w:spacing w:after="160" w:line="276"/>
        <w:jc w:val="left"/>
      </w:pPr>
      <w:r>
        <w:rPr>
          <w:rFonts w:ascii="Calibri" w:cs="Calibri" w:eastAsia="Calibri" w:hAnsi="Calibri"/>
          <w:b w:val="false"/>
          <w:bCs w:val="false"/>
          <w:i/>
          <w:iCs/>
          <w:color w:val="6B5947"/>
          <w:sz w:val="22"/>
          <w:szCs w:val="22"/>
        </w:rPr>
        <w:t xml:space="preserve">[Note whether Augmentative and Alternative Communication (AAC) or other communication supports are recommended, and why.]</w:t>
      </w:r>
    </w:p>
    <w:p>
      <w:pPr>
        <w:spacing w:after="8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none" w:color="FFFFFF" w:sz="0"/>
              <w:left w:val="none" w:color="FFFFFF" w:sz="0"/>
              <w:bottom w:val="none" w:color="FFFFFF" w:sz="0"/>
              <w:right w:val="none" w:color="FFFFFF" w:sz="0"/>
            </w:tcBorders>
            <w:shd w:fill="8A6A42" w:color="auto" w:val="clear"/>
            <w:tcMar>
              <w:top w:type="dxa" w:w="240"/>
              <w:left w:type="dxa" w:w="280"/>
              <w:bottom w:type="dxa" w:w="240"/>
              <w:right w:type="dxa" w:w="280"/>
            </w:tcMar>
            <w:vAlign w:val="center"/>
          </w:tcPr>
          <w:p>
            <w:pPr>
              <w:spacing w:after="130"/>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p>
            <w:pPr>
              <w:spacing w:after="50"/>
            </w:pPr>
            <w:r>
              <w:rPr>
                <w:rFonts w:ascii="Calibri" w:cs="Calibri" w:eastAsia="Calibri" w:hAnsi="Calibri"/>
                <w:b/>
                <w:bCs/>
                <w:color w:val="F1E4D0"/>
                <w:spacing w:val="12"/>
                <w:sz w:val="16"/>
                <w:szCs w:val="16"/>
              </w:rPr>
              <w:t xml:space="preserve">ASSESSMENT RESULTS</w:t>
            </w:r>
          </w:p>
          <w:p>
            <w:r>
              <w:rPr>
                <w:rFonts w:ascii="Georgia" w:cs="Georgia" w:eastAsia="Georgia" w:hAnsi="Georgia"/>
                <w:b/>
                <w:bCs/>
                <w:color w:val="FFFFFF"/>
                <w:sz w:val="32"/>
                <w:szCs w:val="32"/>
              </w:rPr>
              <w:t xml:space="preserve">Occupational / Psychomotor Therapy</w:t>
            </w:r>
          </w:p>
        </w:tc>
      </w:tr>
    </w:tbl>
    <w:p>
      <w:pPr>
        <w:spacing w:after="16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11</w:t>
            </w:r>
          </w:p>
          <w:p>
            <w:pPr>
              <w:spacing w:after="0"/>
            </w:pPr>
            <w:r>
              <w:rPr>
                <w:rFonts w:ascii="Georgia" w:cs="Georgia" w:eastAsia="Georgia" w:hAnsi="Georgia"/>
                <w:b/>
                <w:bCs/>
                <w:color w:val="3A2E22"/>
                <w:sz w:val="30"/>
                <w:szCs w:val="30"/>
              </w:rPr>
              <w:t xml:space="preserve">Behavioural Observation</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 was active and energetic throughout the assessment. He moved often between activities and showed genuine curiosity about his surroundings.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His attention was shorter during less preferred or table-top tasks.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He engaged and cooperated noticeably more when an activity motivated him.</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He needed occasional redirection to stay with a task, especially longer ones.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He was comfortable with hands-on guidance from the therapist.</w:t>
      </w:r>
    </w:p>
    <w:p>
      <w:pPr>
        <w:spacing w:after="160" w:line="276"/>
        <w:jc w:val="left"/>
      </w:pPr>
      <w:r>
        <w:rPr>
          <w:rFonts w:ascii="Calibri" w:cs="Calibri" w:eastAsia="Calibri" w:hAnsi="Calibri"/>
          <w:b w:val="false"/>
          <w:bCs w:val="false"/>
          <w:i w:val="false"/>
          <w:iCs w:val="false"/>
          <w:color w:val="3A2E22"/>
          <w:sz w:val="22"/>
          <w:szCs w:val="22"/>
        </w:rPr>
        <w:t xml:space="preserve">When something interested him, Ali's participation and cooperation improved considerably — a promising sign for building attention through activities he enjoys.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12</w:t>
            </w:r>
          </w:p>
          <w:p>
            <w:pPr>
              <w:spacing w:after="0"/>
            </w:pPr>
            <w:r>
              <w:rPr>
                <w:rFonts w:ascii="Georgia" w:cs="Georgia" w:eastAsia="Georgia" w:hAnsi="Georgia"/>
                <w:b/>
                <w:bCs/>
                <w:color w:val="3A2E22"/>
                <w:sz w:val="30"/>
                <w:szCs w:val="30"/>
              </w:rPr>
              <w:t xml:space="preserve">Interactive Modalities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Ali's social engagement is developing but not yet consistent.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His eye contact was weak and often hard to maintain, with both the therapist and his caregivers.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He engaged more easily during activities he found highly enjoyable or sensory-rich.</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Joint attention and back-and-forth interaction appeared, but didn't last long.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He responded to his name inconsistently, especially when absorbed in his own play.</w:t>
      </w:r>
    </w:p>
    <w:p>
      <w:pPr>
        <w:spacing w:after="160" w:line="276"/>
        <w:jc w:val="left"/>
      </w:pPr>
      <w:r>
        <w:rPr>
          <w:rFonts w:ascii="Calibri" w:cs="Calibri" w:eastAsia="Calibri" w:hAnsi="Calibri"/>
          <w:b w:val="false"/>
          <w:bCs w:val="false"/>
          <w:i w:val="false"/>
          <w:iCs w:val="false"/>
          <w:color w:val="3A2E22"/>
          <w:sz w:val="22"/>
          <w:szCs w:val="22"/>
        </w:rPr>
        <w:t xml:space="preserve">With structured practice, particularly around eye contact and shared attention, these interactive skills are expected to strengthen.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13</w:t>
            </w:r>
          </w:p>
          <w:p>
            <w:pPr>
              <w:spacing w:after="0"/>
            </w:pPr>
            <w:r>
              <w:rPr>
                <w:rFonts w:ascii="Georgia" w:cs="Georgia" w:eastAsia="Georgia" w:hAnsi="Georgia"/>
                <w:b/>
                <w:bCs/>
                <w:color w:val="3A2E22"/>
                <w:sz w:val="30"/>
                <w:szCs w:val="30"/>
              </w:rPr>
              <w:t xml:space="preserve">Relationship to Objects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 shows real curiosity when exploring toys and familiar objects.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He explores objects by sight and touch, though this is sometimes brief and driven more by sensory interest than a clear goal.</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Purposeful play — stacking, building, sorting — is emerging but not yet consistent.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He's drawn to toys with strong sensory feedback: textured, moving, or noisy ones.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Reduced arm strength and a shorter attention span make more demanding hands-on tasks harder to sustain.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14</w:t>
            </w:r>
          </w:p>
          <w:p>
            <w:pPr>
              <w:spacing w:after="0"/>
            </w:pPr>
            <w:r>
              <w:rPr>
                <w:rFonts w:ascii="Georgia" w:cs="Georgia" w:eastAsia="Georgia" w:hAnsi="Georgia"/>
                <w:b/>
                <w:bCs/>
                <w:color w:val="3A2E22"/>
                <w:sz w:val="30"/>
                <w:szCs w:val="30"/>
              </w:rPr>
              <w:t xml:space="preserve">Body Scheme &amp; Body Awareness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Ali's sense of his own body and how it moves is still developing.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Reduced awareness of his body's position during movement, such as going from the floor to standing.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Difficulty copying simple body movements or postures on request.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Difficulty planning and carrying out new or unfamiliar movement sequences.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Relies heavily on what he can see and touch to know where his body is during play.</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15</w:t>
            </w:r>
          </w:p>
          <w:p>
            <w:pPr>
              <w:spacing w:after="0"/>
            </w:pPr>
            <w:r>
              <w:rPr>
                <w:rFonts w:ascii="Georgia" w:cs="Georgia" w:eastAsia="Georgia" w:hAnsi="Georgia"/>
                <w:b/>
                <w:bCs/>
                <w:color w:val="3A2E22"/>
                <w:sz w:val="30"/>
                <w:szCs w:val="30"/>
              </w:rPr>
              <w:t xml:space="preserve">Sensory Processing</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 has sensory processing difficulties across several areas, which affect his attention, regulation, and participation in daily and play-based activities.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Proprioceptive</w:t>
            </w:r>
          </w:p>
          <w:p>
            <w:pPr>
              <w:spacing w:line="276"/>
            </w:pPr>
            <w:r>
              <w:rPr>
                <w:rFonts w:ascii="Calibri" w:cs="Calibri" w:eastAsia="Calibri" w:hAnsi="Calibri"/>
                <w:i w:val="false"/>
                <w:iCs w:val="false"/>
                <w:color w:val="3A2E22"/>
                <w:sz w:val="19"/>
                <w:szCs w:val="19"/>
              </w:rPr>
              <w:t xml:space="preserve">Trouble sensing his body's position and judging how much force to use; seeks out strong movement and pressure to feel regulated.</w:t>
            </w:r>
          </w:p>
        </w:tc>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Vestibular</w:t>
            </w:r>
          </w:p>
          <w:p>
            <w:pPr>
              <w:spacing w:line="276"/>
            </w:pPr>
            <w:r>
              <w:rPr>
                <w:rFonts w:ascii="Calibri" w:cs="Calibri" w:eastAsia="Calibri" w:hAnsi="Calibri"/>
                <w:i w:val="false"/>
                <w:iCs w:val="false"/>
                <w:color w:val="3A2E22"/>
                <w:sz w:val="19"/>
                <w:szCs w:val="19"/>
              </w:rPr>
              <w:t xml:space="preserve">Under-responds to movement, so he seeks out extra motion — this also affects his balance and stability.</w:t>
            </w:r>
          </w:p>
        </w:tc>
      </w:tr>
      <w:tr>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Visual</w:t>
            </w:r>
          </w:p>
          <w:p>
            <w:pPr>
              <w:spacing w:line="276"/>
            </w:pPr>
            <w:r>
              <w:rPr>
                <w:rFonts w:ascii="Calibri" w:cs="Calibri" w:eastAsia="Calibri" w:hAnsi="Calibri"/>
                <w:i w:val="false"/>
                <w:iCs w:val="false"/>
                <w:color w:val="3A2E22"/>
                <w:sz w:val="19"/>
                <w:szCs w:val="19"/>
              </w:rPr>
              <w:t xml:space="preserve">Finds it hard to keep his visual attention on a task or pick out relevant details.</w:t>
            </w:r>
          </w:p>
        </w:tc>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Tactile</w:t>
            </w:r>
          </w:p>
          <w:p>
            <w:pPr>
              <w:spacing w:line="276"/>
            </w:pPr>
            <w:r>
              <w:rPr>
                <w:rFonts w:ascii="Calibri" w:cs="Calibri" w:eastAsia="Calibri" w:hAnsi="Calibri"/>
                <w:i w:val="false"/>
                <w:iCs w:val="false"/>
                <w:color w:val="3A2E22"/>
                <w:sz w:val="19"/>
                <w:szCs w:val="19"/>
              </w:rPr>
              <w:t xml:space="preserve">Reacts differently to different textures — sometimes seeking touch, sometimes avoiding it — which shapes which play materials he'll try.</w:t>
            </w:r>
          </w:p>
        </w:tc>
      </w:tr>
      <w:tr>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Auditory</w:t>
            </w:r>
          </w:p>
          <w:p>
            <w:pPr>
              <w:spacing w:line="276"/>
            </w:pPr>
            <w:r>
              <w:rPr>
                <w:rFonts w:ascii="Calibri" w:cs="Calibri" w:eastAsia="Calibri" w:hAnsi="Calibri"/>
                <w:i w:val="false"/>
                <w:iCs w:val="false"/>
                <w:color w:val="3A2E22"/>
                <w:sz w:val="19"/>
                <w:szCs w:val="19"/>
              </w:rPr>
              <w:t xml:space="preserve">Responds inconsistently to voices and sounds, especially when other sensory input is competing for his attention.</w:t>
            </w:r>
          </w:p>
        </w:tc>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Overall Impact</w:t>
            </w:r>
          </w:p>
          <w:p>
            <w:pPr>
              <w:spacing w:line="276"/>
            </w:pPr>
            <w:r>
              <w:rPr>
                <w:rFonts w:ascii="Calibri" w:cs="Calibri" w:eastAsia="Calibri" w:hAnsi="Calibri"/>
                <w:i w:val="false"/>
                <w:iCs w:val="false"/>
                <w:color w:val="3A2E22"/>
                <w:sz w:val="19"/>
                <w:szCs w:val="19"/>
              </w:rPr>
              <w:t xml:space="preserve">Together, these difficulties make it harder for Ali to stay attentive, regulated, and engaged — especially in busy or unfamiliar settings.</w:t>
            </w:r>
          </w:p>
        </w:tc>
      </w:tr>
    </w:tbl>
    <w:p>
      <w:pPr>
        <w:spacing w:after="16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single" w:color="9C7748" w:sz="2"/>
              <w:left w:val="single" w:color="9C7748" w:sz="24"/>
              <w:bottom w:val="single" w:color="9C7748" w:sz="2"/>
              <w:right w:val="single" w:color="9C7748" w:sz="2"/>
            </w:tcBorders>
            <w:shd w:fill="F6EFE6" w:color="auto" w:val="clear"/>
            <w:tcMar>
              <w:top w:type="dxa" w:w="150"/>
              <w:left w:type="dxa" w:w="220"/>
              <w:bottom w:type="dxa" w:w="150"/>
              <w:right w:type="dxa" w:w="220"/>
            </w:tcMar>
          </w:tcPr>
          <w:p>
            <w:pPr>
              <w:spacing w:after="70"/>
            </w:pPr>
            <w:r>
              <w:rPr>
                <w:rFonts w:ascii="Calibri" w:cs="Calibri" w:eastAsia="Calibri" w:hAnsi="Calibri"/>
                <w:b/>
                <w:bCs/>
                <w:color w:val="9C7748"/>
                <w:spacing w:val="8"/>
                <w:sz w:val="16"/>
                <w:szCs w:val="16"/>
              </w:rPr>
              <w:t xml:space="preserve">CLINICAL NOTE</w:t>
            </w:r>
          </w:p>
          <w:p>
            <w:pPr>
              <w:spacing w:line="276"/>
            </w:pPr>
            <w:r>
              <w:rPr>
                <w:rFonts w:ascii="Calibri" w:cs="Calibri" w:eastAsia="Calibri" w:hAnsi="Calibri"/>
                <w:b w:val="false"/>
                <w:bCs w:val="false"/>
                <w:i/>
                <w:iCs/>
                <w:color w:val="6B5947"/>
                <w:sz w:val="21"/>
                <w:szCs w:val="21"/>
              </w:rPr>
              <w:t xml:space="preserve">Ali responds well to structured sensory input — proprioceptive and vestibular activities in particular — to help him regulate and stay ready to learn.</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16</w:t>
            </w:r>
          </w:p>
          <w:p>
            <w:pPr>
              <w:spacing w:after="0"/>
            </w:pPr>
            <w:r>
              <w:rPr>
                <w:rFonts w:ascii="Georgia" w:cs="Georgia" w:eastAsia="Georgia" w:hAnsi="Georgia"/>
                <w:b/>
                <w:bCs/>
                <w:color w:val="3A2E22"/>
                <w:sz w:val="30"/>
                <w:szCs w:val="30"/>
              </w:rPr>
              <w:t xml:space="preserve">Visual Perception</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 is developing early visual perceptual skills that continue to progress with practice and structured support.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Able to sort and match between two to three objects.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Shows difficulty locating a specific item within a visually busy or cluttered background (figure-ground discrimination).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Visual memory and visual sequencing skills are still emerging and continue to show gradual progress.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17</w:t>
            </w:r>
          </w:p>
          <w:p>
            <w:pPr>
              <w:spacing w:after="0"/>
            </w:pPr>
            <w:r>
              <w:rPr>
                <w:rFonts w:ascii="Georgia" w:cs="Georgia" w:eastAsia="Georgia" w:hAnsi="Georgia"/>
                <w:b/>
                <w:bCs/>
                <w:color w:val="3A2E22"/>
                <w:sz w:val="30"/>
                <w:szCs w:val="30"/>
              </w:rPr>
              <w:t xml:space="preserve">Muscle Tone &amp; Strength</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 shows reduced muscle strength, especially in his arms, along with muscle tone that is functional but not always well controlled.</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Noticeable arm weakness during weight-bearing, pushing, and resisted movements.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Reduced core strength, which tires him during longer floor or seated play.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Reduced grip strength, which limits how long he can manipulate objects.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Muscle tone is adequate but doesn't yet fully support steady posture during movement.</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18</w:t>
            </w:r>
          </w:p>
          <w:p>
            <w:pPr>
              <w:spacing w:after="0"/>
            </w:pPr>
            <w:r>
              <w:rPr>
                <w:rFonts w:ascii="Georgia" w:cs="Georgia" w:eastAsia="Georgia" w:hAnsi="Georgia"/>
                <w:b/>
                <w:bCs/>
                <w:color w:val="3A2E22"/>
                <w:sz w:val="30"/>
                <w:szCs w:val="30"/>
              </w:rPr>
              <w:t xml:space="preserve">Bilateral Coordination &amp; Hand Dominance</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 is developing his patterns of hand dominance and bilateral coordination.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Uses both hands during activities, with an emerging preference for his right hand.</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Bilateral coordination skills are progressing, though this remains an area that will benefit from continued therapeutic focus.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19</w:t>
            </w:r>
          </w:p>
          <w:p>
            <w:pPr>
              <w:spacing w:after="0"/>
            </w:pPr>
            <w:r>
              <w:rPr>
                <w:rFonts w:ascii="Georgia" w:cs="Georgia" w:eastAsia="Georgia" w:hAnsi="Georgia"/>
                <w:b/>
                <w:bCs/>
                <w:color w:val="3A2E22"/>
                <w:sz w:val="30"/>
                <w:szCs w:val="30"/>
              </w:rPr>
              <w:t xml:space="preserve">Gross Motor Skills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Ali's gross motor coordination is developing but still immature for his age.</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Follows 1–2 step gross motor instructions ("jump, then clap") with a visual or verbal cue.</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Runs, jumps, and climbs, but without much control or refinement.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Struggles with longer movement sequences and coordinating both sides of his body.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Tires more quickly than expected during sustained physical activity.</w:t>
      </w:r>
    </w:p>
    <w:p>
      <w:pPr>
        <w:spacing w:after="160" w:line="276"/>
        <w:jc w:val="left"/>
      </w:pPr>
      <w:r>
        <w:rPr>
          <w:rFonts w:ascii="Calibri" w:cs="Calibri" w:eastAsia="Calibri" w:hAnsi="Calibri"/>
          <w:b w:val="false"/>
          <w:bCs w:val="false"/>
          <w:i w:val="false"/>
          <w:iCs w:val="false"/>
          <w:color w:val="3A2E22"/>
          <w:sz w:val="22"/>
          <w:szCs w:val="22"/>
        </w:rPr>
        <w:t xml:space="preserve">His ability to follow simple movement instructions is a solid base for building more complex motor skills through structured practice.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20</w:t>
            </w:r>
          </w:p>
          <w:p>
            <w:pPr>
              <w:spacing w:after="0"/>
            </w:pPr>
            <w:r>
              <w:rPr>
                <w:rFonts w:ascii="Georgia" w:cs="Georgia" w:eastAsia="Georgia" w:hAnsi="Georgia"/>
                <w:b/>
                <w:bCs/>
                <w:color w:val="3A2E22"/>
                <w:sz w:val="30"/>
                <w:szCs w:val="30"/>
              </w:rPr>
              <w:t xml:space="preserve">Fine Motor &amp; Graphomotor Skills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Ali's fine motor skills are emerging, though reduced hand strength and attention limit his precision and stamina.</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Follows 1–2 step fine motor instructions ("put the block in the box, then close it") with support.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His grasp during drawing and manipulation tasks is still immature for his age.</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His grip tires quickly during table-top tasks.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Doesn't yet use both hands together consistently during building play.</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21</w:t>
            </w:r>
          </w:p>
          <w:p>
            <w:pPr>
              <w:spacing w:after="0"/>
            </w:pPr>
            <w:r>
              <w:rPr>
                <w:rFonts w:ascii="Georgia" w:cs="Georgia" w:eastAsia="Georgia" w:hAnsi="Georgia"/>
                <w:b/>
                <w:bCs/>
                <w:color w:val="3A2E22"/>
                <w:sz w:val="30"/>
                <w:szCs w:val="30"/>
              </w:rPr>
              <w:t xml:space="preserve">Balance &amp; Postural Control</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Ali's balance and postural control are reduced, in line with the vestibular and proprioceptive difficulties noted earlier.</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Weak balance when standing on one leg, moving quickly, or changing position.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Becomes unsteady when reaching beyond his base of support.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Uneven or unstable surfaces are especially difficult for him.</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Widens his stance to compensate while standing and walking.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22</w:t>
            </w:r>
          </w:p>
          <w:p>
            <w:pPr>
              <w:spacing w:after="0"/>
            </w:pPr>
            <w:r>
              <w:rPr>
                <w:rFonts w:ascii="Georgia" w:cs="Georgia" w:eastAsia="Georgia" w:hAnsi="Georgia"/>
                <w:b/>
                <w:bCs/>
                <w:color w:val="3A2E22"/>
                <w:sz w:val="30"/>
                <w:szCs w:val="30"/>
              </w:rPr>
              <w:t xml:space="preserve">Attention &amp; Participation</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Ali's overall attention span is short, but his participation depends heavily on how motivating the activity is.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Struggles to sustain attention on non-preferred or structured tasks and often needs redirection.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Attention and participation increase markedly with motivating or sensory-rich activities.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Follows 1–2 step instructions across both gross and fine motor tasks.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Benefits from short tasks, movement breaks, and rewards he cares about.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single" w:color="7C9A5C" w:sz="2"/>
              <w:left w:val="single" w:color="7C9A5C" w:sz="24"/>
              <w:bottom w:val="single" w:color="7C9A5C" w:sz="2"/>
              <w:right w:val="single" w:color="7C9A5C" w:sz="2"/>
            </w:tcBorders>
            <w:shd w:fill="F2F7EE" w:color="auto" w:val="clear"/>
            <w:tcMar>
              <w:top w:type="dxa" w:w="150"/>
              <w:left w:type="dxa" w:w="220"/>
              <w:bottom w:type="dxa" w:w="150"/>
              <w:right w:type="dxa" w:w="220"/>
            </w:tcMar>
          </w:tcPr>
          <w:p>
            <w:pPr>
              <w:spacing w:after="70"/>
            </w:pPr>
            <w:r>
              <w:rPr>
                <w:rFonts w:ascii="Calibri" w:cs="Calibri" w:eastAsia="Calibri" w:hAnsi="Calibri"/>
                <w:b/>
                <w:bCs/>
                <w:color w:val="5C7A42"/>
                <w:spacing w:val="8"/>
                <w:sz w:val="16"/>
                <w:szCs w:val="16"/>
              </w:rPr>
              <w:t xml:space="preserve">OBSERVED STRENGTH</w:t>
            </w:r>
          </w:p>
          <w:p>
            <w:pPr>
              <w:spacing w:line="276"/>
            </w:pPr>
            <w:r>
              <w:rPr>
                <w:rFonts w:ascii="Calibri" w:cs="Calibri" w:eastAsia="Calibri" w:hAnsi="Calibri"/>
                <w:b w:val="false"/>
                <w:bCs w:val="false"/>
                <w:i/>
                <w:iCs/>
                <w:color w:val="6B5947"/>
                <w:sz w:val="21"/>
                <w:szCs w:val="21"/>
              </w:rPr>
              <w:t xml:space="preserve">Motivation makes a real difference for Ali. When an activity interests him, his engagement, cooperation, and ability to follow instructions all improve.</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23</w:t>
            </w:r>
          </w:p>
          <w:p>
            <w:pPr>
              <w:spacing w:after="0"/>
            </w:pPr>
            <w:r>
              <w:rPr>
                <w:rFonts w:ascii="Georgia" w:cs="Georgia" w:eastAsia="Georgia" w:hAnsi="Georgia"/>
                <w:b/>
                <w:bCs/>
                <w:color w:val="3A2E22"/>
                <w:sz w:val="30"/>
                <w:szCs w:val="30"/>
              </w:rPr>
              <w:t xml:space="preserve">Activities of Daily Living (ADLs)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Ali is building independence in self-care and daily living routines, though several areas still require adult support.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Self-feeds independently using finger foods, but still requires assistance when using a spoon.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Removes his shoes and socks with mild assistance; dressing skills remain below age expectations and need continued support.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Currently undergoing toilet training.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Requires mild-to-moderate assistance with hand washing and face washing.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24</w:t>
            </w:r>
          </w:p>
          <w:p>
            <w:pPr>
              <w:spacing w:after="0"/>
            </w:pPr>
            <w:r>
              <w:rPr>
                <w:rFonts w:ascii="Georgia" w:cs="Georgia" w:eastAsia="Georgia" w:hAnsi="Georgia"/>
                <w:b/>
                <w:bCs/>
                <w:color w:val="3A2E22"/>
                <w:sz w:val="30"/>
                <w:szCs w:val="30"/>
              </w:rPr>
              <w:t xml:space="preserve">Functional Performance Summary</w:t>
            </w:r>
          </w:p>
        </w:tc>
      </w:tr>
    </w:tbl>
    <w:p>
      <w:pPr>
        <w:pBdr>
          <w:bottom w:val="single" w:color="D9C4A8" w:sz="6" w:space="1"/>
        </w:pBdr>
        <w:spacing w:after="160"/>
      </w:pPr>
    </w:p>
    <w:p>
      <w:pPr>
        <w:spacing w:after="80" w:before="160"/>
      </w:pPr>
      <w:r>
        <w:rPr>
          <w:rFonts w:ascii="Calibri" w:cs="Calibri" w:eastAsia="Calibri" w:hAnsi="Calibri"/>
          <w:b/>
          <w:bCs/>
          <w:color w:val="9C7748"/>
          <w:spacing w:val="8"/>
          <w:sz w:val="19"/>
          <w:szCs w:val="19"/>
        </w:rPr>
        <w:t xml:space="preserve">CLINICAL IMPRESSION</w:t>
      </w:r>
    </w:p>
    <w:p>
      <w:pPr>
        <w:spacing w:after="160" w:line="276"/>
        <w:jc w:val="left"/>
      </w:pPr>
      <w:r>
        <w:rPr>
          <w:rFonts w:ascii="Calibri" w:cs="Calibri" w:eastAsia="Calibri" w:hAnsi="Calibri"/>
          <w:b w:val="false"/>
          <w:bCs w:val="false"/>
          <w:i w:val="false"/>
          <w:iCs w:val="false"/>
          <w:color w:val="3A2E22"/>
          <w:sz w:val="22"/>
          <w:szCs w:val="22"/>
        </w:rPr>
        <w:t xml:space="preserve">Ali is a 3-year-2-month-old boy whose developmental profile is shaped mainly by sensory processing difficulties — across proprioceptive, vestibular, visual, tactile, and auditory input — alongside emerging visual perceptual skills, developing bilateral coordination and hand dominance, weak balance, and a short attention span. He also continues to need support across several activities of daily living, including feeding, dressing, and personal hygiene.</w:t>
      </w:r>
    </w:p>
    <w:p>
      <w:pPr>
        <w:spacing w:after="160" w:line="276"/>
        <w:jc w:val="left"/>
      </w:pPr>
      <w:r>
        <w:rPr>
          <w:rFonts w:ascii="Calibri" w:cs="Calibri" w:eastAsia="Calibri" w:hAnsi="Calibri"/>
          <w:b w:val="false"/>
          <w:bCs w:val="false"/>
          <w:i w:val="false"/>
          <w:iCs w:val="false"/>
          <w:color w:val="3A2E22"/>
          <w:sz w:val="22"/>
          <w:szCs w:val="22"/>
        </w:rPr>
        <w:t xml:space="preserve">Together, these make it harder for him to stay engaged in structured tasks, refine his motor and self-care skills, and maintain social behaviours like eye contact. At the same time, Ali is active and motivated, and he can follow 1–2 step instructions and participate well when a task engages him — real strengths to build on.</w:t>
      </w:r>
    </w:p>
    <w:p>
      <w:pPr>
        <w:spacing w:after="160" w:line="276"/>
        <w:jc w:val="left"/>
      </w:pPr>
      <w:r>
        <w:rPr>
          <w:rFonts w:ascii="Calibri" w:cs="Calibri" w:eastAsia="Calibri" w:hAnsi="Calibri"/>
          <w:b w:val="false"/>
          <w:bCs w:val="false"/>
          <w:i w:val="false"/>
          <w:iCs w:val="false"/>
          <w:color w:val="3A2E22"/>
          <w:sz w:val="22"/>
          <w:szCs w:val="22"/>
        </w:rPr>
        <w:t xml:space="preserve">This mix of challenges and strengths points to a good outlook with a structured, sensory-informed, motivation-driven therapy program that also addresses visual perception, bilateral coordination, and self-care independence.</w:t>
      </w:r>
    </w:p>
    <w:p>
      <w:pPr>
        <w:spacing w:after="80" w:before="160"/>
      </w:pPr>
      <w:r>
        <w:rPr>
          <w:rFonts w:ascii="Calibri" w:cs="Calibri" w:eastAsia="Calibri" w:hAnsi="Calibri"/>
          <w:b/>
          <w:bCs/>
          <w:color w:val="9C7748"/>
          <w:spacing w:val="8"/>
          <w:sz w:val="19"/>
          <w:szCs w:val="19"/>
        </w:rPr>
        <w:t xml:space="preserve">KEY FINDINGS</w:t>
      </w:r>
    </w:p>
    <w:p>
      <w:pPr>
        <w:spacing w:after="160" w:line="276"/>
        <w:jc w:val="left"/>
      </w:pPr>
      <w:r>
        <w:rPr>
          <w:rFonts w:ascii="Calibri" w:cs="Calibri" w:eastAsia="Calibri" w:hAnsi="Calibri"/>
          <w:b w:val="false"/>
          <w:bCs w:val="false"/>
          <w:i w:val="false"/>
          <w:iCs w:val="false"/>
          <w:color w:val="3A2E22"/>
          <w:sz w:val="22"/>
          <w:szCs w:val="22"/>
        </w:rPr>
        <w:t xml:space="preserve">In summary, this assessment identified the following: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Weak, inconsistent eye contact.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Sensory processing difficulties across the proprioceptive, vestibular, visual, tactile, and auditory systems.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Emerging visual perceptual skills, including figure-ground discrimination and visual memory and sequencing.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Developing bilateral coordination, with an emerging right-hand preference.</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Weak balance and postural control.</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 short attention span, especially for non-preferred tasks.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Ability to follow 1–2 step gross and fine motor instructions.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Reduced independence across self-care routines, including feeding, dressing, and hygiene.</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Good participation when activities are motivating.</w:t>
      </w:r>
    </w:p>
    <w:p>
      <w:pPr>
        <w:spacing w:after="160" w:line="276"/>
        <w:jc w:val="left"/>
      </w:pPr>
      <w:r>
        <w:rPr>
          <w:rFonts w:ascii="Calibri" w:cs="Calibri" w:eastAsia="Calibri" w:hAnsi="Calibri"/>
          <w:b w:val="false"/>
          <w:bCs w:val="false"/>
          <w:i w:val="false"/>
          <w:iCs w:val="false"/>
          <w:color w:val="3A2E22"/>
          <w:sz w:val="22"/>
          <w:szCs w:val="22"/>
        </w:rPr>
        <w:t xml:space="preserve">Overall, Ali is a child with clear areas of need and genuine strengths in motivation and instruction-following — a solid foundation for consistent therapy support.</w:t>
      </w:r>
    </w:p>
    <w:p>
      <w:pPr>
        <w:spacing w:after="8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none" w:color="FFFFFF" w:sz="0"/>
              <w:left w:val="none" w:color="FFFFFF" w:sz="0"/>
              <w:bottom w:val="none" w:color="FFFFFF" w:sz="0"/>
              <w:right w:val="none" w:color="FFFFFF" w:sz="0"/>
            </w:tcBorders>
            <w:shd w:fill="8A6A42" w:color="auto" w:val="clear"/>
            <w:tcMar>
              <w:top w:type="dxa" w:w="240"/>
              <w:left w:type="dxa" w:w="280"/>
              <w:bottom w:type="dxa" w:w="240"/>
              <w:right w:type="dxa" w:w="280"/>
            </w:tcMar>
            <w:vAlign w:val="center"/>
          </w:tcPr>
          <w:p>
            <w:pPr>
              <w:spacing w:after="130"/>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p>
            <w:pPr>
              <w:spacing w:after="50"/>
            </w:pPr>
            <w:r>
              <w:rPr>
                <w:rFonts w:ascii="Calibri" w:cs="Calibri" w:eastAsia="Calibri" w:hAnsi="Calibri"/>
                <w:b/>
                <w:bCs/>
                <w:color w:val="F1E4D0"/>
                <w:spacing w:val="12"/>
                <w:sz w:val="16"/>
                <w:szCs w:val="16"/>
              </w:rPr>
              <w:t xml:space="preserve">ASSESSMENT RESULTS</w:t>
            </w:r>
          </w:p>
          <w:p>
            <w:r>
              <w:rPr>
                <w:rFonts w:ascii="Georgia" w:cs="Georgia" w:eastAsia="Georgia" w:hAnsi="Georgia"/>
                <w:b/>
                <w:bCs/>
                <w:color w:val="FFFFFF"/>
                <w:sz w:val="32"/>
                <w:szCs w:val="32"/>
              </w:rPr>
              <w:t xml:space="preserve">Clinical Psychology / Behavioural Functioning</w:t>
            </w:r>
          </w:p>
        </w:tc>
      </w:tr>
    </w:tbl>
    <w:p>
      <w:pPr>
        <w:spacing w:after="16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25</w:t>
            </w:r>
          </w:p>
          <w:p>
            <w:pPr>
              <w:spacing w:after="0"/>
            </w:pPr>
            <w:r>
              <w:rPr>
                <w:rFonts w:ascii="Georgia" w:cs="Georgia" w:eastAsia="Georgia" w:hAnsi="Georgia"/>
                <w:b/>
                <w:bCs/>
                <w:color w:val="3A2E22"/>
                <w:sz w:val="30"/>
                <w:szCs w:val="30"/>
              </w:rPr>
              <w:t xml:space="preserve">Behavioural Presentation &amp; Functional Baseline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[Describe the child's behavioural presentation during assessment, e.g., response latency, compliance, tolerance for structured tasks.]</w:t>
      </w:r>
    </w:p>
    <w:p>
      <w:pPr>
        <w:spacing w:after="160" w:line="276"/>
        <w:jc w:val="left"/>
      </w:pPr>
      <w:r>
        <w:rPr>
          <w:rFonts w:ascii="Calibri" w:cs="Calibri" w:eastAsia="Calibri" w:hAnsi="Calibri"/>
          <w:b w:val="false"/>
          <w:bCs w:val="false"/>
          <w:i/>
          <w:iCs/>
          <w:color w:val="6B5947"/>
          <w:sz w:val="22"/>
          <w:szCs w:val="22"/>
        </w:rPr>
        <w:t xml:space="preserve">[Summarise standardised assessment results, e.g., CARS2-ST score, and clarify how the result should be used to inform intervention planning rather than as a stand-alone diagnostic basis.]</w:t>
      </w:r>
    </w:p>
    <w:p>
      <w:pPr>
        <w:spacing w:after="160" w:line="276"/>
        <w:jc w:val="left"/>
      </w:pPr>
      <w:r>
        <w:rPr>
          <w:rFonts w:ascii="Calibri" w:cs="Calibri" w:eastAsia="Calibri" w:hAnsi="Calibri"/>
          <w:b w:val="false"/>
          <w:bCs w:val="false"/>
          <w:i/>
          <w:iCs/>
          <w:color w:val="6B5947"/>
          <w:sz w:val="22"/>
          <w:szCs w:val="22"/>
        </w:rPr>
        <w:t xml:space="preserve">[Note primary barriers affecting learning and participation, e.g., prompt dependency, attention, sensory regulation.]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26</w:t>
            </w:r>
          </w:p>
          <w:p>
            <w:pPr>
              <w:spacing w:after="0"/>
            </w:pPr>
            <w:r>
              <w:rPr>
                <w:rFonts w:ascii="Georgia" w:cs="Georgia" w:eastAsia="Georgia" w:hAnsi="Georgia"/>
                <w:b/>
                <w:bCs/>
                <w:color w:val="3A2E22"/>
                <w:sz w:val="30"/>
                <w:szCs w:val="30"/>
              </w:rPr>
              <w:t xml:space="preserve">Developmental &amp; Learning Potential</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developmental/learning assessment results, e.g., VB-MAPP domains, relative strengths and learning barriers.]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relative strengths, e.g., manding, independent play.]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learning barriers, e.g., prompt dependency, listener responding.]</w:t>
      </w:r>
    </w:p>
    <w:p>
      <w:pPr>
        <w:spacing w:after="160" w:line="276"/>
        <w:jc w:val="left"/>
      </w:pPr>
      <w:r>
        <w:rPr>
          <w:rFonts w:ascii="Calibri" w:cs="Calibri" w:eastAsia="Calibri" w:hAnsi="Calibri"/>
          <w:b w:val="false"/>
          <w:bCs w:val="false"/>
          <w:i/>
          <w:iCs/>
          <w:color w:val="6B5947"/>
          <w:sz w:val="22"/>
          <w:szCs w:val="22"/>
        </w:rPr>
        <w:t xml:space="preserve">[Note emerging skills relevant to intervention planning, e.g., imitation potential, to be developed collaboratively with other disciplines.]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27</w:t>
            </w:r>
          </w:p>
          <w:p>
            <w:pPr>
              <w:spacing w:after="0"/>
            </w:pPr>
            <w:r>
              <w:rPr>
                <w:rFonts w:ascii="Georgia" w:cs="Georgia" w:eastAsia="Georgia" w:hAnsi="Georgia"/>
                <w:b/>
                <w:bCs/>
                <w:color w:val="3A2E22"/>
                <w:sz w:val="30"/>
                <w:szCs w:val="30"/>
              </w:rPr>
              <w:t xml:space="preserve">Sensory Processing &amp; Self-Regulation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how sensory regulation influences attention, engagement, and readiness to learn from a behavioural perspective.]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self-regulation strategies used by the child, e.g., movement, rhythmic activity.]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tolerance of physical guidance/prompting.]</w:t>
      </w:r>
    </w:p>
    <w:p>
      <w:pPr>
        <w:spacing w:after="160" w:line="276"/>
        <w:jc w:val="left"/>
      </w:pPr>
      <w:r>
        <w:rPr>
          <w:rFonts w:ascii="Calibri" w:cs="Calibri" w:eastAsia="Calibri" w:hAnsi="Calibri"/>
          <w:b w:val="false"/>
          <w:bCs w:val="false"/>
          <w:i/>
          <w:iCs/>
          <w:color w:val="6B5947"/>
          <w:sz w:val="22"/>
          <w:szCs w:val="22"/>
        </w:rPr>
        <w:t xml:space="preserve">[Note recommended regulation strategies, e.g., modelling, visual/gestural cues, systematic prompt fading.]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28</w:t>
            </w:r>
          </w:p>
          <w:p>
            <w:pPr>
              <w:spacing w:after="0"/>
            </w:pPr>
            <w:r>
              <w:rPr>
                <w:rFonts w:ascii="Georgia" w:cs="Georgia" w:eastAsia="Georgia" w:hAnsi="Georgia"/>
                <w:b/>
                <w:bCs/>
                <w:color w:val="3A2E22"/>
                <w:sz w:val="30"/>
                <w:szCs w:val="30"/>
              </w:rPr>
              <w:t xml:space="preserve">Social-Emotional &amp; Behavioural Regulation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social-emotional functioning and behavioural regulation observed during assessment.]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emotional expression and regulation.]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frustration tolerance.]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social referencing and relationship-building.]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29</w:t>
            </w:r>
          </w:p>
          <w:p>
            <w:pPr>
              <w:spacing w:after="0"/>
            </w:pPr>
            <w:r>
              <w:rPr>
                <w:rFonts w:ascii="Georgia" w:cs="Georgia" w:eastAsia="Georgia" w:hAnsi="Georgia"/>
                <w:b/>
                <w:bCs/>
                <w:color w:val="3A2E22"/>
                <w:sz w:val="30"/>
                <w:szCs w:val="30"/>
              </w:rPr>
              <w:t xml:space="preserve">Adaptive Functioning</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adaptive daily living skills and independence across home, school, and community settings.]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self-care/daily living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independence in familiar routines.]</w:t>
      </w: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30</w:t>
            </w:r>
          </w:p>
          <w:p>
            <w:pPr>
              <w:spacing w:after="0"/>
            </w:pPr>
            <w:r>
              <w:rPr>
                <w:rFonts w:ascii="Georgia" w:cs="Georgia" w:eastAsia="Georgia" w:hAnsi="Georgia"/>
                <w:b/>
                <w:bCs/>
                <w:color w:val="3A2E22"/>
                <w:sz w:val="30"/>
                <w:szCs w:val="30"/>
              </w:rPr>
              <w:t xml:space="preserve">Clinical Formulation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[Synthesise the child's overall developmental profile across all three disciplines.]</w:t>
      </w:r>
    </w:p>
    <w:p>
      <w:pPr>
        <w:spacing w:after="160" w:line="276"/>
        <w:jc w:val="left"/>
      </w:pPr>
      <w:r>
        <w:rPr>
          <w:rFonts w:ascii="Calibri" w:cs="Calibri" w:eastAsia="Calibri" w:hAnsi="Calibri"/>
          <w:b w:val="false"/>
          <w:bCs w:val="false"/>
          <w:i w:val="false"/>
          <w:iCs w:val="false"/>
          <w:color w:val="3A2E22"/>
          <w:sz w:val="22"/>
          <w:szCs w:val="22"/>
        </w:rPr>
        <w:t xml:space="preserve">Primary functional barriers include: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4]</w:t>
      </w:r>
    </w:p>
    <w:p>
      <w:pPr>
        <w:spacing w:after="160" w:line="276"/>
        <w:jc w:val="left"/>
      </w:pPr>
      <w:r>
        <w:rPr>
          <w:rFonts w:ascii="Calibri" w:cs="Calibri" w:eastAsia="Calibri" w:hAnsi="Calibri"/>
          <w:b w:val="false"/>
          <w:bCs w:val="false"/>
          <w:i w:val="false"/>
          <w:iCs w:val="false"/>
          <w:color w:val="3A2E22"/>
          <w:sz w:val="22"/>
          <w:szCs w:val="22"/>
        </w:rPr>
        <w:t xml:space="preserve">Despite these challenges, the child demonstrates important developmental strengths, including: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[Strength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[Strength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[Strength 3]</w:t>
      </w:r>
    </w:p>
    <w:p>
      <w:pPr>
        <w:spacing w:after="160" w:line="276"/>
        <w:jc w:val="left"/>
      </w:pPr>
      <w:r>
        <w:rPr>
          <w:rFonts w:ascii="Calibri" w:cs="Calibri" w:eastAsia="Calibri" w:hAnsi="Calibri"/>
          <w:b w:val="false"/>
          <w:bCs w:val="false"/>
          <w:i/>
          <w:iCs/>
          <w:color w:val="6B5947"/>
          <w:sz w:val="22"/>
          <w:szCs w:val="22"/>
        </w:rPr>
        <w:t xml:space="preserve">[State the overall rehabilitation potential and recommended intervention approach.]</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31</w:t>
            </w:r>
          </w:p>
          <w:p>
            <w:pPr>
              <w:spacing w:after="0"/>
            </w:pPr>
            <w:r>
              <w:rPr>
                <w:rFonts w:ascii="Georgia" w:cs="Georgia" w:eastAsia="Georgia" w:hAnsi="Georgia"/>
                <w:b/>
                <w:bCs/>
                <w:color w:val="3A2E22"/>
                <w:sz w:val="30"/>
                <w:szCs w:val="30"/>
              </w:rPr>
              <w:t xml:space="preserve">Summary of Findings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[Child's Full Name] is a [age] [boy/girl] presenting with the following key findings: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1 — e.g., communication/language.]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2 — e.g., social interaction.]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3 — e.g., sensory processing/regulation.]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4 — e.g., cognitive/attention.]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5 — e.g., motor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6 — e.g., adaptive functioning.]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strength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strength 2]</w:t>
      </w:r>
    </w:p>
    <w:p>
      <w:pPr>
        <w:spacing w:after="160" w:line="276"/>
        <w:jc w:val="left"/>
      </w:pPr>
      <w:r>
        <w:rPr>
          <w:rFonts w:ascii="Calibri" w:cs="Calibri" w:eastAsia="Calibri" w:hAnsi="Calibri"/>
          <w:b w:val="false"/>
          <w:bCs w:val="false"/>
          <w:i/>
          <w:iCs/>
          <w:color w:val="6B5947"/>
          <w:sz w:val="22"/>
          <w:szCs w:val="22"/>
        </w:rPr>
        <w:t xml:space="preserve">[Closing summary statement on overall profile and outlook.]</w:t>
      </w: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32</w:t>
            </w:r>
          </w:p>
          <w:p>
            <w:pPr>
              <w:spacing w:after="0"/>
            </w:pPr>
            <w:r>
              <w:rPr>
                <w:rFonts w:ascii="Georgia" w:cs="Georgia" w:eastAsia="Georgia" w:hAnsi="Georgia"/>
                <w:b/>
                <w:bCs/>
                <w:color w:val="3A2E22"/>
                <w:sz w:val="30"/>
                <w:szCs w:val="30"/>
              </w:rPr>
              <w:t xml:space="preserve">Therapeutic Objectives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SPEECH &amp; LANGUAGE THERAPY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4]</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THERAPY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4]</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CLINICAL PSYCHOLOGY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4]</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33</w:t>
            </w:r>
          </w:p>
          <w:p>
            <w:pPr>
              <w:spacing w:after="0"/>
            </w:pPr>
            <w:r>
              <w:rPr>
                <w:rFonts w:ascii="Georgia" w:cs="Georgia" w:eastAsia="Georgia" w:hAnsi="Georgia"/>
                <w:b/>
                <w:bCs/>
                <w:color w:val="3A2E22"/>
                <w:sz w:val="30"/>
                <w:szCs w:val="30"/>
              </w:rPr>
              <w:t xml:space="preserve">Short-Term Goals (3–6 Months)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COMMUNICATION / SLP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Functional Requesting</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 across [ ] sessions.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Imitation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of opportunities.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Vocal Imitation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trials.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Instruction Following</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Joint Attention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for at least [ ] minute(s) with support.</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Sensory Regulation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3 months, Ali will tolerate proprioceptive and vestibular activities (swinging, deep pressure, joint compression) for 5 minutes with less distress, in 4 out of 5 sessions.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Tactile Tolerance</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4 months, Ali will engage with varied textures (sand, playdough, textured toys) for at least 5 minutes without avoiding them, in 4 out of 5 tries.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Visual &amp; Auditory Attention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4 months, Ali will stay focused on a visual or listening task (matching, locating a sound) for 3–5 minutes with no more than one reminder.</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Upper Limb Strength</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4 months, Ali will hold a weight-bearing position (wheelbarrow walk, animal walk) for 20–30 seconds with minimal support.</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Balance</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6 months, Ali will balance on one leg for 3–5 seconds with supervision, in 4 out of 5 tries.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Fine Motor</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6 months, Ali will pick up and release small objects (pegs, blocks, beads) with a refined grasp, in 4 out of 5 tries.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Instruction Following</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6 months, Ali will follow 2-step motor instructions with a visual or gestural cue, correctly 80% of the time across 3 sessions.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Attention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6 months, Ali will stay focused on a preferred task for 5 minutes with no more than one reminder.</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BEHAVIOURAL / ADAPTIVE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Initiation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 across [ ] sessions.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Regulation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remaining engaged for [ ] minutes with no more than [ ] redirections.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Transitions</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requiring no more than [ ] additional prompt(s).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Social Engagement</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Adaptive Behaviour</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 ] support.</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34</w:t>
            </w:r>
          </w:p>
          <w:p>
            <w:pPr>
              <w:spacing w:after="0"/>
            </w:pPr>
            <w:r>
              <w:rPr>
                <w:rFonts w:ascii="Georgia" w:cs="Georgia" w:eastAsia="Georgia" w:hAnsi="Georgia"/>
                <w:b/>
                <w:bCs/>
                <w:color w:val="3A2E22"/>
                <w:sz w:val="30"/>
                <w:szCs w:val="30"/>
              </w:rPr>
              <w:t xml:space="preserve">Long-Term Goals (6–12 Months)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COMMUNICATION / SLP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AAC / Functional Communication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consistently across home and school environments.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Receptive Language</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trials.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Social Communication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for a minimum of [ ] exchanges per session.</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Speech Intelligibility</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as measured by [ ].</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Sensory Integration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12 months, Ali will manage sensory input (proprioceptive, vestibular, tactile, visual, auditory) well enough to join group or nursery activities with minimal adult support.</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Gross Motor &amp; Balance</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12 months, Ali will move safely on playground equipment (stairs, ramps, uneven surfaces) with only standby supervision.</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Upper Limb &amp; Fine Motor</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12 months, Ali will have enough arm strength and fine motor control for age-appropriate self-care and pre-writing tasks, with minimal assistance.</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Attention &amp; Participation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12 months, Ali will stay engaged in both preferred and non-preferred tasks for 10 minutes in structured settings.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Interactive Skills</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val="false"/>
                <w:iCs w:val="false"/>
                <w:color w:val="3A2E22"/>
                <w:sz w:val="21"/>
                <w:szCs w:val="21"/>
              </w:rPr>
              <w:t xml:space="preserve">Within 12 months, Ali will maintain eye contact and shared engagement during play for at least 3 exchanges in a row.</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BEHAVIOURAL / ADAPTIVE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Independence</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completing at least [ ] step(s) with no more than [ ] prompt(s).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Communication Initiation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across at least [ ] setting(s).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Adaptive Participation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as documented by caregiver/therapist report.</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Behavioural Regulation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w:t>
            </w:r>
          </w:p>
        </w:tc>
      </w:tr>
    </w:tbl>
    <w:p>
      <w:pPr>
        <w:spacing w:after="160"/>
      </w:pP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35</w:t>
            </w:r>
          </w:p>
          <w:p>
            <w:pPr>
              <w:spacing w:after="0"/>
            </w:pPr>
            <w:r>
              <w:rPr>
                <w:rFonts w:ascii="Georgia" w:cs="Georgia" w:eastAsia="Georgia" w:hAnsi="Georgia"/>
                <w:b/>
                <w:bCs/>
                <w:color w:val="3A2E22"/>
                <w:sz w:val="30"/>
                <w:szCs w:val="30"/>
              </w:rPr>
              <w:t xml:space="preserve">Speech &amp; Language Therapy Recommendations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Speech and Language Therapy is recommended at a frequency of </w:t>
      </w:r>
      <w:r>
        <w:rPr>
          <w:rFonts w:ascii="Calibri" w:cs="Calibri" w:eastAsia="Calibri" w:hAnsi="Calibri"/>
          <w:b w:val="false"/>
          <w:bCs w:val="false"/>
          <w:i/>
          <w:iCs/>
          <w:color w:val="6B5947"/>
          <w:sz w:val="22"/>
          <w:szCs w:val="22"/>
          <w:u w:val="single"/>
        </w:rPr>
        <w:t xml:space="preserve">            </w:t>
      </w:r>
      <w:r>
        <w:rPr>
          <w:rFonts w:ascii="Calibri" w:cs="Calibri" w:eastAsia="Calibri" w:hAnsi="Calibri"/>
          <w:b w:val="false"/>
          <w:bCs w:val="false"/>
          <w:i/>
          <w:iCs/>
          <w:color w:val="6B5947"/>
          <w:sz w:val="22"/>
          <w:szCs w:val="22"/>
        </w:rPr>
        <w:t xml:space="preserve"> sessions weekly, focusing 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6]</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36</w:t>
            </w:r>
          </w:p>
          <w:p>
            <w:pPr>
              <w:spacing w:after="0"/>
            </w:pPr>
            <w:r>
              <w:rPr>
                <w:rFonts w:ascii="Georgia" w:cs="Georgia" w:eastAsia="Georgia" w:hAnsi="Georgia"/>
                <w:b/>
                <w:bCs/>
                <w:color w:val="3A2E22"/>
                <w:sz w:val="30"/>
                <w:szCs w:val="30"/>
              </w:rPr>
              <w:t xml:space="preserve">Occupational / Psychomotor Therapy Recommendations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Occupational and Psychomotor Therapy is recommended at a frequency of 2–3 sessions weekly, focusing 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Sensory integration work covering proprioceptive, vestibular, visual, tactile, and auditory regulation.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Arm strengthening through weight-bearing and resistance-based play.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Balance and postural control practice.</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Gross and fine motor skill-building, using his ability to follow 1–2 step instructions.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Attention-building through motivating, sensory-rich activities.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Structured social play to encourage eye contact and shared engagement.</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37</w:t>
            </w:r>
          </w:p>
          <w:p>
            <w:pPr>
              <w:spacing w:after="0"/>
            </w:pPr>
            <w:r>
              <w:rPr>
                <w:rFonts w:ascii="Georgia" w:cs="Georgia" w:eastAsia="Georgia" w:hAnsi="Georgia"/>
                <w:b/>
                <w:bCs/>
                <w:color w:val="3A2E22"/>
                <w:sz w:val="30"/>
                <w:szCs w:val="30"/>
              </w:rPr>
              <w:t xml:space="preserve">Clinical Psychology Recommendations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Behavioural and psychological intervention is recommended to support: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6]</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38</w:t>
            </w:r>
          </w:p>
          <w:p>
            <w:pPr>
              <w:spacing w:after="0"/>
            </w:pPr>
            <w:r>
              <w:rPr>
                <w:rFonts w:ascii="Georgia" w:cs="Georgia" w:eastAsia="Georgia" w:hAnsi="Georgia"/>
                <w:b/>
                <w:bCs/>
                <w:color w:val="3A2E22"/>
                <w:sz w:val="30"/>
                <w:szCs w:val="30"/>
              </w:rPr>
              <w:t xml:space="preserve">Educational / School Support</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[State whether specialised educational support or an Individualised Education Program (IEP) is recommended, and the areas it should address.]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4]</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39</w:t>
            </w:r>
          </w:p>
          <w:p>
            <w:pPr>
              <w:spacing w:after="0"/>
            </w:pPr>
            <w:r>
              <w:rPr>
                <w:rFonts w:ascii="Georgia" w:cs="Georgia" w:eastAsia="Georgia" w:hAnsi="Georgia"/>
                <w:b/>
                <w:bCs/>
                <w:color w:val="3A2E22"/>
                <w:sz w:val="30"/>
                <w:szCs w:val="30"/>
              </w:rPr>
              <w:t xml:space="preserve">General Recommendations</w:t>
            </w:r>
          </w:p>
        </w:tc>
      </w:tr>
    </w:tbl>
    <w:p>
      <w:pPr>
        <w:pBdr>
          <w:bottom w:val="single" w:color="D9C4A8" w:sz="6" w:space="1"/>
        </w:pBdr>
        <w:spacing w:after="160"/>
      </w:pP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6]</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7]</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8]</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40</w:t>
            </w:r>
          </w:p>
          <w:p>
            <w:pPr>
              <w:spacing w:after="0"/>
            </w:pPr>
            <w:r>
              <w:rPr>
                <w:rFonts w:ascii="Georgia" w:cs="Georgia" w:eastAsia="Georgia" w:hAnsi="Georgia"/>
                <w:b/>
                <w:bCs/>
                <w:color w:val="3A2E22"/>
                <w:sz w:val="30"/>
                <w:szCs w:val="30"/>
              </w:rPr>
              <w:t xml:space="preserve">Academic Recommendations</w:t>
            </w:r>
          </w:p>
        </w:tc>
      </w:tr>
    </w:tbl>
    <w:p>
      <w:pPr>
        <w:pBdr>
          <w:bottom w:val="single" w:color="D9C4A8" w:sz="6" w:space="1"/>
        </w:pBdr>
        <w:spacing w:after="160"/>
      </w:pP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6]</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7]</w:t>
      </w: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41</w:t>
            </w:r>
          </w:p>
          <w:p>
            <w:pPr>
              <w:spacing w:after="0"/>
            </w:pPr>
            <w:r>
              <w:rPr>
                <w:rFonts w:ascii="Georgia" w:cs="Georgia" w:eastAsia="Georgia" w:hAnsi="Georgia"/>
                <w:b/>
                <w:bCs/>
                <w:color w:val="3A2E22"/>
                <w:sz w:val="30"/>
                <w:szCs w:val="30"/>
              </w:rPr>
              <w:t xml:space="preserve">Prognosis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[State the expected outlook with consistent multi-disciplinary therapy, specialised educational support, family involvement, and regular reassessment.]</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CLOSING STATEMENT</w:t>
            </w:r>
          </w:p>
          <w:p>
            <w:pPr>
              <w:spacing w:after="0"/>
            </w:pPr>
            <w:r>
              <w:rPr>
                <w:rFonts w:ascii="Georgia" w:cs="Georgia" w:eastAsia="Georgia" w:hAnsi="Georgia"/>
                <w:b/>
                <w:bCs/>
                <w:color w:val="3A2E22"/>
                <w:sz w:val="30"/>
                <w:szCs w:val="30"/>
              </w:rPr>
              <w:t xml:space="preserve">Signatures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This report is issued by the undersigned professionals, who remain available for any further clarification or additional information you may require.</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200"/>
        <w:gridCol w:w="3200"/>
        <w:gridCol w:w="2300"/>
      </w:tblGrid>
      <w:tr>
        <w:trPr>
          <w:tblHeader/>
        </w:trPr>
        <w:tc>
          <w:tcPr>
            <w:tcW w:type="dxa" w:w="420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r>
              <w:rPr>
                <w:rFonts w:ascii="Calibri" w:cs="Calibri" w:eastAsia="Calibri" w:hAnsi="Calibri"/>
                <w:b/>
                <w:bCs/>
                <w:i w:val="false"/>
                <w:iCs w:val="false"/>
                <w:color w:val="FFFFFF"/>
                <w:sz w:val="18"/>
                <w:szCs w:val="18"/>
              </w:rPr>
              <w:t xml:space="preserve">Title</w:t>
            </w:r>
          </w:p>
        </w:tc>
        <w:tc>
          <w:tcPr>
            <w:tcW w:type="dxa" w:w="320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r>
              <w:rPr>
                <w:rFonts w:ascii="Calibri" w:cs="Calibri" w:eastAsia="Calibri" w:hAnsi="Calibri"/>
                <w:b/>
                <w:bCs/>
                <w:i w:val="false"/>
                <w:iCs w:val="false"/>
                <w:color w:val="FFFFFF"/>
                <w:sz w:val="18"/>
                <w:szCs w:val="18"/>
              </w:rPr>
              <w:t xml:space="preserve">Full Name</w:t>
            </w:r>
          </w:p>
        </w:tc>
        <w:tc>
          <w:tcPr>
            <w:tcW w:type="dxa" w:w="230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r>
              <w:rPr>
                <w:rFonts w:ascii="Calibri" w:cs="Calibri" w:eastAsia="Calibri" w:hAnsi="Calibri"/>
                <w:b/>
                <w:bCs/>
                <w:i w:val="false"/>
                <w:iCs w:val="false"/>
                <w:color w:val="FFFFFF"/>
                <w:sz w:val="18"/>
                <w:szCs w:val="18"/>
              </w:rPr>
              <w:t xml:space="preserve">Signature</w:t>
            </w:r>
          </w:p>
        </w:tc>
      </w:tr>
      <w:tr>
        <w:trPr>
          <w:tblHeader w:val="false"/>
        </w:trPr>
        <w:tc>
          <w:tcPr>
            <w:tcW w:type="dxa" w:w="4200"/>
            <w:tcBorders>
              <w:top w:val="single" w:color="D9C4A8" w:sz="4"/>
              <w:left w:val="single" w:color="D9C4A8" w:sz="4"/>
              <w:bottom w:val="single" w:color="D9C4A8" w:sz="4"/>
              <w:right w:val="single" w:color="D9C4A8" w:sz="4"/>
            </w:tcBorders>
            <w:tcMar>
              <w:top w:type="dxa" w:w="420"/>
              <w:left w:type="dxa" w:w="140"/>
              <w:bottom w:type="dxa" w:w="110"/>
              <w:right w:type="dxa" w:w="140"/>
            </w:tcMar>
          </w:tcPr>
          <w:p>
            <w:r>
              <w:rPr>
                <w:rFonts w:ascii="Calibri" w:cs="Calibri" w:eastAsia="Calibri" w:hAnsi="Calibri"/>
                <w:b w:val="false"/>
                <w:bCs w:val="false"/>
                <w:i w:val="false"/>
                <w:iCs w:val="false"/>
                <w:color w:val="3A2E22"/>
                <w:sz w:val="21"/>
                <w:szCs w:val="21"/>
              </w:rPr>
              <w:t xml:space="preserve">Speech and Language Therapist</w:t>
            </w:r>
          </w:p>
        </w:tc>
        <w:tc>
          <w:tcPr>
            <w:tcW w:type="dxa" w:w="32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c>
          <w:tcPr>
            <w:tcW w:type="dxa" w:w="23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r>
      <w:tr>
        <w:trPr>
          <w:tblHeader w:val="false"/>
        </w:trPr>
        <w:tc>
          <w:tcPr>
            <w:tcW w:type="dxa" w:w="4200"/>
            <w:tcBorders>
              <w:top w:val="single" w:color="D9C4A8" w:sz="4"/>
              <w:left w:val="single" w:color="D9C4A8" w:sz="4"/>
              <w:bottom w:val="single" w:color="D9C4A8" w:sz="4"/>
              <w:right w:val="single" w:color="D9C4A8" w:sz="4"/>
            </w:tcBorders>
            <w:shd w:fill="FBF7F2" w:color="auto" w:val="clear"/>
            <w:tcMar>
              <w:top w:type="dxa" w:w="420"/>
              <w:left w:type="dxa" w:w="140"/>
              <w:bottom w:type="dxa" w:w="110"/>
              <w:right w:type="dxa" w:w="140"/>
            </w:tcMar>
          </w:tcPr>
          <w:p>
            <w:r>
              <w:rPr>
                <w:rFonts w:ascii="Calibri" w:cs="Calibri" w:eastAsia="Calibri" w:hAnsi="Calibri"/>
                <w:b w:val="false"/>
                <w:bCs w:val="false"/>
                <w:i w:val="false"/>
                <w:iCs w:val="false"/>
                <w:color w:val="3A2E22"/>
                <w:sz w:val="21"/>
                <w:szCs w:val="21"/>
              </w:rPr>
              <w:t xml:space="preserve">Occupational / Psychomotor Therapist</w:t>
            </w:r>
          </w:p>
        </w:tc>
        <w:tc>
          <w:tcPr>
            <w:tcW w:type="dxa" w:w="3200"/>
            <w:tcBorders>
              <w:top w:val="single" w:color="D9C4A8" w:sz="4"/>
              <w:left w:val="single" w:color="D9C4A8" w:sz="4"/>
              <w:bottom w:val="single" w:color="D9C4A8" w:sz="4"/>
              <w:right w:val="single" w:color="D9C4A8" w:sz="4"/>
            </w:tcBorders>
            <w:shd w:fill="FBF7F2" w:color="auto" w:val="clear"/>
            <w:tcMar>
              <w:top w:type="dxa" w:w="420"/>
              <w:left w:type="dxa" w:w="140"/>
              <w:bottom w:type="dxa" w:w="110"/>
              <w:right w:type="dxa" w:w="140"/>
            </w:tcMar>
          </w:tcPr>
          <w:p/>
        </w:tc>
        <w:tc>
          <w:tcPr>
            <w:tcW w:type="dxa" w:w="2300"/>
            <w:tcBorders>
              <w:top w:val="single" w:color="D9C4A8" w:sz="4"/>
              <w:left w:val="single" w:color="D9C4A8" w:sz="4"/>
              <w:bottom w:val="single" w:color="D9C4A8" w:sz="4"/>
              <w:right w:val="single" w:color="D9C4A8" w:sz="4"/>
            </w:tcBorders>
            <w:shd w:fill="FBF7F2" w:color="auto" w:val="clear"/>
            <w:tcMar>
              <w:top w:type="dxa" w:w="420"/>
              <w:left w:type="dxa" w:w="140"/>
              <w:bottom w:type="dxa" w:w="110"/>
              <w:right w:type="dxa" w:w="140"/>
            </w:tcMar>
          </w:tcPr>
          <w:p/>
        </w:tc>
      </w:tr>
      <w:tr>
        <w:trPr>
          <w:tblHeader w:val="false"/>
        </w:trPr>
        <w:tc>
          <w:tcPr>
            <w:tcW w:type="dxa" w:w="4200"/>
            <w:tcBorders>
              <w:top w:val="single" w:color="D9C4A8" w:sz="4"/>
              <w:left w:val="single" w:color="D9C4A8" w:sz="4"/>
              <w:bottom w:val="single" w:color="D9C4A8" w:sz="4"/>
              <w:right w:val="single" w:color="D9C4A8" w:sz="4"/>
            </w:tcBorders>
            <w:tcMar>
              <w:top w:type="dxa" w:w="420"/>
              <w:left w:type="dxa" w:w="140"/>
              <w:bottom w:type="dxa" w:w="110"/>
              <w:right w:type="dxa" w:w="140"/>
            </w:tcMar>
          </w:tcPr>
          <w:p>
            <w:r>
              <w:rPr>
                <w:rFonts w:ascii="Calibri" w:cs="Calibri" w:eastAsia="Calibri" w:hAnsi="Calibri"/>
                <w:b w:val="false"/>
                <w:bCs w:val="false"/>
                <w:i w:val="false"/>
                <w:iCs w:val="false"/>
                <w:color w:val="3A2E22"/>
                <w:sz w:val="21"/>
                <w:szCs w:val="21"/>
              </w:rPr>
              <w:t xml:space="preserve">Clinical Psychologist</w:t>
            </w:r>
          </w:p>
        </w:tc>
        <w:tc>
          <w:tcPr>
            <w:tcW w:type="dxa" w:w="32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c>
          <w:tcPr>
            <w:tcW w:type="dxa" w:w="23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r>
    </w:tbl>
    <w:p>
      <w:pPr>
        <w:spacing w:after="160"/>
      </w:pPr>
    </w:p>
    <w:p>
      <w:pPr>
        <w:spacing w:after="80"/>
      </w:pPr>
    </w:p>
    <w:p>
      <w:pPr>
        <w:pBdr>
          <w:top w:val="single" w:color="D9C4A8" w:sz="4"/>
        </w:pBdr>
        <w:spacing w:before="320"/>
        <w:jc w:val="center"/>
      </w:pPr>
      <w:r>
        <w:rPr>
          <w:rFonts w:ascii="Calibri" w:cs="Calibri" w:eastAsia="Calibri" w:hAnsi="Calibri"/>
          <w:color w:val="6B5947"/>
          <w:sz w:val="16"/>
          <w:szCs w:val="16"/>
        </w:rPr>
        <w:t xml:space="preserve">KALM Clinic · Pediatric Rehabilitation &amp; Developmental Services · Multi-Disciplinary Assessment Report</w:t>
      </w:r>
    </w:p>
    <w:sectPr>
      <w:headerReference w:type="default" r:id="rId7"/>
      <w:headerReference w:type="first" r:id="rId8"/>
      <w:pgSz w:w="11908" w:h="16833"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50482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0482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2E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ectionHeading">
    <w:name w:val="Section Heading"/>
    <w:basedOn w:val="Normal"/>
    <w:next w:val="Normal"/>
    <w:rPr>
      <w:rFonts w:ascii="Georgia" w:cs="Georgia" w:eastAsia="Georgia" w:hAnsi="Georgia"/>
      <w:b/>
      <w:bCs/>
      <w:color w:val="3A2E22"/>
      <w:sz w:val="30"/>
      <w:szCs w:val="30"/>
    </w:rPr>
  </w:style>
  <w:style w:type="paragraph" w:styleId="BodyText">
    <w:name w:val="Body Text"/>
    <w:basedOn w:val="Normal"/>
    <w:next w:val="Normal"/>
    <w:pPr>
      <w:spacing w:after="160" w:line="276"/>
    </w:pPr>
    <w:rPr>
      <w:rFonts w:ascii="Calibri" w:cs="Calibri" w:eastAsia="Calibri" w:hAnsi="Calibri"/>
      <w:color w:val="3A2E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040d1107ee22fc39a1c194d82027fc27cd3dd8d1.png"/><Relationship Id="rId10" Type="http://schemas.openxmlformats.org/officeDocument/2006/relationships/image" Target="media/0e76ebf52e1e7fa12d518148cb5f410f81433c03.png"/><Relationship Id="rId11" Type="http://schemas.openxmlformats.org/officeDocument/2006/relationships/image" Target="media/57cfffa9507bdf1460f593219d42ae296914e42b.png"/><Relationship Id="rId12" Type="http://schemas.openxmlformats.org/officeDocument/2006/relationships/image" Target="media/9f8db4ccc2008bf695c764c1f2c90288a121ae31.png"/><Relationship Id="rId13" Type="http://schemas.openxmlformats.org/officeDocument/2006/relationships/image" Target="media/922fe1c547bc27c73cda2e9c8514883456628252.png"/><Relationship Id="rId14" Type="http://schemas.openxmlformats.org/officeDocument/2006/relationships/image" Target="media/ee4cb723da25f9589d90c9ac322ee1cfd80b2c7b.png"/><Relationship Id="rId15" Type="http://schemas.openxmlformats.org/officeDocument/2006/relationships/image" Target="media/0ef0b5564161e61938a6381aa38e1db4a40fd8df.png"/><Relationship Id="rId16" Type="http://schemas.openxmlformats.org/officeDocument/2006/relationships/image" Target="media/86a672d2c0fbfa30f7e992ab77f00a108c515e3c.png"/><Relationship Id="rId17" Type="http://schemas.openxmlformats.org/officeDocument/2006/relationships/image" Target="media/5512086b7deb0b543b3cf25a6e432084e18fcfbc.png"/><Relationship Id="rId18" Type="http://schemas.openxmlformats.org/officeDocument/2006/relationships/image" Target="media/af4bb62db04711ed1a4893c568d68e6c9956aa28.png"/><Relationship Id="rId19" Type="http://schemas.openxmlformats.org/officeDocument/2006/relationships/image" Target="media/e85b365f384523bb80ae67532395a5ee5f68c50e.png"/><Relationship Id="rId20" Type="http://schemas.openxmlformats.org/officeDocument/2006/relationships/image" Target="media/899dfa1f0685a4a63ab79f1fa1bd50483da737dd.png"/><Relationship Id="rId21" Type="http://schemas.openxmlformats.org/officeDocument/2006/relationships/image" Target="media/35c9e59987c3af020eaf1f26acaa716f1c3dd618.png"/><Relationship Id="rId22" Type="http://schemas.openxmlformats.org/officeDocument/2006/relationships/image" Target="media/ed7315ddf4a9d795e2699ca1c0165e9ca8f2d1df.png"/><Relationship Id="rId23" Type="http://schemas.openxmlformats.org/officeDocument/2006/relationships/image" Target="media/496e1bfa95e1d30091374dafc3b4e07e86080827.png"/><Relationship Id="rId24" Type="http://schemas.openxmlformats.org/officeDocument/2006/relationships/image" Target="media/c8c558110481e376cb74aea9981f9645e3e10f67.png"/><Relationship Id="rId25" Type="http://schemas.openxmlformats.org/officeDocument/2006/relationships/image" Target="media/bcd30f6156e27639bddadb8e72efb3e2d614121e.png"/><Relationship Id="rId26" Type="http://schemas.openxmlformats.org/officeDocument/2006/relationships/image" Target="media/b8e7ee8954f1a1888ce305e621aa6a4ba2d54ce4.png"/><Relationship Id="rId27" Type="http://schemas.openxmlformats.org/officeDocument/2006/relationships/image" Target="media/1f02263f81230ad4fc78fcec88dafd656b76fc0e.png"/><Relationship Id="rId28" Type="http://schemas.openxmlformats.org/officeDocument/2006/relationships/image" Target="media/7c168ebe661b267932fcb41a42fee39d25874434.png"/><Relationship Id="rId29" Type="http://schemas.openxmlformats.org/officeDocument/2006/relationships/image" Target="media/1eff3a93b3ee86c2e8328e8d32d980ea768e60a8.png"/><Relationship Id="rId30" Type="http://schemas.openxmlformats.org/officeDocument/2006/relationships/image" Target="media/ce24f6a1cd509bb990f618eec9f8ac6fca6345e1.png"/><Relationship Id="rId31" Type="http://schemas.openxmlformats.org/officeDocument/2006/relationships/image" Target="media/c365c5f423307a665fbcd0a4e32931434c49b878.png"/><Relationship Id="rId32" Type="http://schemas.openxmlformats.org/officeDocument/2006/relationships/image" Target="media/2e705a52ced3c993473b57308083559a4ece706b.png"/><Relationship Id="rId33" Type="http://schemas.openxmlformats.org/officeDocument/2006/relationships/image" Target="media/1475f3ebd8cce5fe1151200b1745b32cb59a3bb6.png"/><Relationship Id="rId34" Type="http://schemas.openxmlformats.org/officeDocument/2006/relationships/image" Target="media/5d472a2e426b9deedadac8dee0ce74f97c12a5a9.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a4bdcb2c571e6c83f0e1ceb9f4e9da4e35eaef.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2026-07-29T12:45:00.828Z</dcterms:created>
  <dcterms:modified xsi:type="dcterms:W3CDTF">2026-07-29T12:45:00.852Z</dcterms:modified>
</cp:coreProperties>
</file>

<file path=docProps/custom.xml><?xml version="1.0" encoding="utf-8"?>
<Properties xmlns="http://schemas.openxmlformats.org/officeDocument/2006/custom-properties" xmlns:vt="http://schemas.openxmlformats.org/officeDocument/2006/docPropsVTypes"/>
</file>