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TRIAD THERAPEUTIC CLINIC</w:t>
      </w:r>
    </w:p>
    <w:p>
      <w:pPr>
        <w:spacing w:after="100"/>
        <w:jc w:val="center"/>
      </w:pPr>
      <w:r>
        <w:t xml:space="preserve">FINANCIAL PLANNING &amp; INVESTMENT ANALYSIS</w:t>
      </w:r>
    </w:p>
    <w:p>
      <w:pPr>
        <w:spacing w:after="400"/>
        <w:jc w:val="center"/>
      </w:pPr>
      <w:r>
        <w:t xml:space="preserve">Rehabilitation Centre - Doha, Qatar</w:t>
      </w:r>
    </w:p>
    <w:p>
      <w:pPr>
        <w:jc w:val="center"/>
      </w:pPr>
      <w:r>
        <w:t xml:space="preserve">Prepared: July 2026</w:t>
      </w:r>
    </w:p>
    <w:p>
      <w:pPr>
        <w:spacing w:after="600"/>
        <w:jc w:val="center"/>
      </w:pPr>
      <w:r>
        <w:t xml:space="preserve">Version: Professional Investment Grade</w:t>
      </w:r>
    </w:p>
    <w:p>
      <w:pPr>
        <w:spacing w:before="400"/>
        <w:jc w:val="center"/>
      </w:pPr>
      <w:r>
        <w:t xml:space="preserve">CONFIDENTIAL - FOR QUALIFIED INVESTORS ONLY</w:t>
      </w:r>
    </w:p>
    <w:r>
      <w:br w:type="page"/>
    </w:r>
    <w:p>
      <w:pPr>
        <w:pStyle w:val="Heading1"/>
        <w:pBdr>
          <w:bottom w:val="single" w:color="2B9B8F" w:sz="12" w:space="1"/>
        </w:pBdr>
        <w:spacing w:after="120" w:before="240"/>
      </w:pPr>
      <w:r>
        <w:t xml:space="preserve">EXECUTIVE SUMMARY</w:t>
      </w:r>
    </w:p>
    <w:p>
      <w:pPr>
        <w:spacing w:after="100" w:before="200"/>
      </w:pPr>
      <w:r>
        <w:t xml:space="preserve">Investment Overview</w:t>
      </w:r>
    </w:p>
    <w:p>
      <w:pPr>
        <w:spacing w:after="200"/>
      </w:pPr>
      <w:r>
        <w:t xml:space="preserve">TRIAD Therapeutic Clinic represents a significant opportunity in Qatar's high-growth rehabilitation and wellness sector. This comprehensive financial analysis demonstrates a viable, profitable business model with strong return potential for investors.</w:t>
      </w:r>
    </w:p>
    <w:p>
      <w:pPr>
        <w:spacing w:after="100" w:before="200"/>
      </w:pPr>
      <w:r>
        <w:t xml:space="preserve">Key Investment Metrics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</w:tblGrid>
      <w:tr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Value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Total Initial Investment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3,875,000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Year 1 Revenue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3,318,048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Year 1 EBITDA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-149,952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Break-Even Timeline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18-20 months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Year 3 Net Margin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28-32%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5-Year Cumulative Profit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8,500,000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Expected ROI (Year 5)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95-110%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IRR Projection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28-32%</w:t>
            </w:r>
          </w:p>
        </w:tc>
      </w:tr>
    </w:tbl>
    <w:p/>
    <w:p>
      <w:pPr>
        <w:spacing w:after="100" w:before="200"/>
      </w:pPr>
      <w:r>
        <w:t xml:space="preserve">Strategic Positioning</w:t>
      </w:r>
    </w:p>
    <w:p>
      <w:pPr>
        <w:spacing w:after="100"/>
      </w:pPr>
      <w:r/>
    </w:p>
    <w:p>
      <w:pPr>
        <w:spacing w:after="100"/>
      </w:pPr>
      <w:r/>
    </w:p>
    <w:p>
      <w:pPr>
        <w:spacing w:after="300"/>
      </w:pPr>
      <w:r/>
    </w:p>
    <w:r>
      <w:br w:type="page"/>
    </w:r>
    <w:p>
      <w:pPr>
        <w:pStyle w:val="Heading1"/>
        <w:pBdr>
          <w:bottom w:val="single" w:color="2B9B8F" w:sz="12" w:space="1"/>
        </w:pBdr>
        <w:spacing w:after="120" w:before="240"/>
      </w:pPr>
      <w:r>
        <w:t xml:space="preserve">1. INITIAL CAPITAL INVESTMENT</w:t>
      </w:r>
    </w:p>
    <w:p>
      <w:pPr>
        <w:spacing w:after="200"/>
      </w:pPr>
      <w:r>
        <w:t xml:space="preserve">This section details all startup costs required to establish TRIAD Therapeutic Clinic as an operational, fully-equipped rehabilitation center.</w:t>
      </w:r>
    </w:p>
    <w:p>
      <w:pPr>
        <w:pStyle w:val="Heading2"/>
        <w:spacing w:after="120" w:before="240"/>
      </w:pPr>
      <w:r>
        <w:t xml:space="preserve">Company Formation &amp; Legal Setup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</w:tblGrid>
      <w:tr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Cost (QAR)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Company Registration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Commercial Registration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Healthcare Licensing &amp; MOH Approval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Government Approvals &amp; Permits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Legal Consultation &amp; Contracts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Professional Audit &amp; Setup Fees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12,000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Subtotal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90,000</w:t>
            </w:r>
          </w:p>
        </w:tc>
      </w:tr>
    </w:tbl>
    <w:p/>
    <w:p>
      <w:pPr>
        <w:spacing w:after="300"/>
      </w:pPr>
      <w:r>
        <w:t xml:space="preserve">All costs reflect 2024-2025 Qatar regulatory requirements with professional fees based on current market rates from established law firms in Doha.</w:t>
      </w:r>
    </w:p>
    <w:p>
      <w:pPr>
        <w:pStyle w:val="Heading2"/>
        <w:spacing w:after="120" w:before="240"/>
      </w:pPr>
      <w:r>
        <w:t xml:space="preserve">Facility Construction &amp; Fit-Out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</w:tblGrid>
      <w:tr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Cost (QAR)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Interior Design &amp; Planning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Architectural &amp; Engineering Works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120,000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Electrical Installation &amp; Systems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100,000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HVAC Systems (Climate Control)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90,000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Plumbing &amp; Water Systems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60,000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Fire Safety &amp; Emergency Systems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70,000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Accessibility Modifications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Therapy Room Construction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150,000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Reception Area Fit-Out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Waiting &amp; Common Area Design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Subtotal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805,000</w:t>
            </w:r>
          </w:p>
        </w:tc>
      </w:tr>
    </w:tbl>
    <w:p/>
    <w:p>
      <w:pPr>
        <w:spacing w:after="300"/>
      </w:pPr>
      <w:r>
        <w:t xml:space="preserve">Facility estimates based on 2,500 sqm premium commercial space in Medical City or similar prime healthcare location in Doha, assuming QAR 300-350 per sqm for construction and fit-out.</w:t>
      </w:r>
    </w:p>
    <w:p>
      <w:pPr>
        <w:pStyle w:val="Heading2"/>
        <w:spacing w:after="120" w:before="240"/>
      </w:pPr>
      <w:r>
        <w:t xml:space="preserve">Furniture &amp; Fixtures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</w:tblGrid>
      <w:tr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Cost (QAR)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Reception Area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Executive &amp; Management Offices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Meeting &amp; Conference Rooms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Therapy Rooms (Specialized Furniture)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120,000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Training &amp; Classroom Areas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Parent Consultation Rooms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Staff Break &amp; Rest Areas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Storage &amp; Archive Systems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Outdoor Seating &amp; Landscaping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Subtotal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355,000</w:t>
            </w:r>
          </w:p>
        </w:tc>
      </w:tr>
    </w:tbl>
    <w:p/>
    <w:p>
      <w:pPr>
        <w:spacing w:after="300"/>
      </w:pPr>
      <w:r>
        <w:t xml:space="preserve">Furniture sourced from premium suppliers in Qatar and GCC region, emphasizing ergonomic design and durability for clinical environments.</w:t>
      </w:r>
    </w:p>
    <w:p>
      <w:pPr>
        <w:pStyle w:val="Heading2"/>
        <w:spacing w:after="120" w:before="240"/>
      </w:pPr>
      <w:r>
        <w:t xml:space="preserve">Medical &amp; Therapy Equipment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</w:tblGrid>
      <w:tr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Department</w:t>
            </w:r>
          </w:p>
        </w:tc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Cost (QAR)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Occupational Therapy Equipment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180,000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Physical Therapy Equipment &amp; Devices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220,000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Speech Therapy Equipment &amp; Software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140,000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Sensory Integration Systems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160,000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Psychology Assessment &amp; Tools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Diagnostic &amp; Assessment Equipment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95,000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Orthotics &amp; Prosthetics Equipment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75,000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Assistive Technology &amp; Devices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150,000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Subtotal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1,100,000</w:t>
            </w:r>
          </w:p>
        </w:tc>
      </w:tr>
    </w:tbl>
    <w:p/>
    <w:p>
      <w:pPr>
        <w:spacing w:after="300"/>
      </w:pPr>
      <w:r>
        <w:t xml:space="preserve">Equipment procured from international medical device suppliers and approved distributors in the Middle East, ensuring compliance with QSA and MOH standards.</w:t>
      </w:r>
    </w:p>
    <w:p>
      <w:pPr>
        <w:pStyle w:val="Heading2"/>
        <w:spacing w:after="120" w:before="240"/>
      </w:pPr>
      <w:r>
        <w:t xml:space="preserve">Technology Infrastructure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</w:tblGrid>
      <w:tr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Cost (QAR)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Enterprise Resource Planning (ERP) System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Clinic Management System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60,000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Customer Relationship Management (CRM)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Mobile App Development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Website Development &amp; Hosting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Online Booking &amp; Appointment System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Accounting &amp; Financial Software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Human Resources Management System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Security Cameras &amp; Monitoring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Network Infrastructure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Servers &amp; Data Storage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Cloud Services &amp; Backup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Subtotal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435,000</w:t>
            </w:r>
          </w:p>
        </w:tc>
      </w:tr>
    </w:tbl>
    <w:p/>
    <w:p>
      <w:pPr>
        <w:spacing w:after="300"/>
      </w:pPr>
      <w:r>
        <w:t xml:space="preserve">Technology stack selected to support growth, integration, and scalability while maintaining HIPAA-equivalent data protection standards.</w:t>
      </w:r>
    </w:p>
    <w:p>
      <w:pPr>
        <w:pStyle w:val="Heading2"/>
        <w:spacing w:after="120" w:before="240"/>
      </w:pPr>
      <w:r>
        <w:t xml:space="preserve">Pre-Opening Expenses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</w:tblGrid>
      <w:tr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Cost (QAR)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Recruitment &amp; Hiring Process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Staff Training &amp; Certification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Marketing Campaign (Pre-Launch)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Brand Development &amp; Identity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Initial Medical Consumables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Insurance Policies (Annual)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Office Supplies &amp; Stationery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Professional Photography &amp; Video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Grand Opening Event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Subtotal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340,000</w:t>
            </w:r>
          </w:p>
        </w:tc>
      </w:tr>
    </w:tbl>
    <w:p/>
    <w:p>
      <w:pPr>
        <w:spacing w:after="300"/>
      </w:pPr>
      <w:r>
        <w:t xml:space="preserve">Pre-opening expenses include comprehensive staff onboarding, market entry positioning, and initial inventory to support day-1 operations.</w:t>
      </w:r>
    </w:p>
    <w:p>
      <w:pPr>
        <w:pStyle w:val="Heading2"/>
        <w:spacing w:after="120" w:before="240"/>
      </w:pPr>
      <w:r>
        <w:t xml:space="preserve">Working Capital &amp; Contingency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</w:tblGrid>
      <w:tr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Cost (QAR)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Working Capital Reserve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300,000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Contingency Fund (10% of subtotal)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450,000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Subtotal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750,000</w:t>
            </w:r>
          </w:p>
        </w:tc>
      </w:tr>
    </w:tbl>
    <w:p/>
    <w:p>
      <w:pPr>
        <w:spacing w:after="300"/>
      </w:pPr>
      <w:r>
        <w:t xml:space="preserve">Working capital covers 1-2 months of operations and ensures cash flow stability during the ramp-up phase. Contingency reserves 10% for unforeseen costs, a conservative industry standard.</w:t>
      </w:r>
    </w:p>
    <w:p>
      <w:pPr>
        <w:pStyle w:val="Heading2"/>
        <w:spacing w:after="120" w:before="240"/>
      </w:pPr>
      <w:r>
        <w:t xml:space="preserve">Total Initial Investment Summary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</w:tblGrid>
      <w:tr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Investment Category</w:t>
            </w:r>
          </w:p>
        </w:tc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Cost (QAR)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Company Formation &amp; Legal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90,000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Facility Construction &amp; Fit-Out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805,000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Furniture &amp; Fixtures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355,000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Medical &amp; Therapy Equipment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1,100,000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Technology Infrastructure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435,000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Pre-Opening Expenses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340,000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Working Capital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300,000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Contingency Fund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450,000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TOTAL INITIAL INVESTMENT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3,875,000</w:t>
            </w:r>
          </w:p>
        </w:tc>
      </w:tr>
    </w:tbl>
    <w:p/>
    <w:p>
      <w:pPr>
        <w:spacing w:after="300"/>
      </w:pPr>
      <w:r>
        <w:t xml:space="preserve">The total initial capital investment required is QAR 3.88 million, representing a comprehensive, professional setup for a world-class rehabilitation center.</w:t>
      </w:r>
    </w:p>
    <w:r>
      <w:br w:type="page"/>
    </w:r>
    <w:p>
      <w:pPr>
        <w:pStyle w:val="Heading1"/>
        <w:pBdr>
          <w:bottom w:val="single" w:color="2B9B8F" w:sz="12" w:space="1"/>
        </w:pBdr>
        <w:spacing w:after="120" w:before="240"/>
      </w:pPr>
      <w:r>
        <w:t xml:space="preserve">2. MONTHLY OPERATING BUDGET</w:t>
      </w:r>
    </w:p>
    <w:p>
      <w:pPr>
        <w:spacing w:after="200"/>
      </w:pPr>
      <w:r>
        <w:t xml:space="preserve">Detailed breakdown of recurring monthly operating expenses required to maintain full clinical operations.</w:t>
      </w:r>
    </w:p>
    <w:p>
      <w:pPr>
        <w:pStyle w:val="Heading2"/>
        <w:spacing w:after="120" w:before="240"/>
      </w:pPr>
      <w:r>
        <w:t xml:space="preserve">Personnel Costs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Position</w:t>
            </w:r>
          </w:p>
        </w:tc>
        <w:tc>
          <w:tcPr>
            <w:tcW w:type="dxa" w:w="12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Quantity</w:t>
            </w:r>
          </w:p>
        </w:tc>
        <w:tc>
          <w:tcPr>
            <w:tcW w:type="dxa" w:w="18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Monthly Salary (QAR)</w:t>
            </w:r>
          </w:p>
        </w:tc>
        <w:tc>
          <w:tcPr>
            <w:tcW w:type="dxa" w:w="12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Total (QAR)</w:t>
            </w:r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Executive Director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15,000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15,000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Clinical Director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12,000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12,000</w:t>
            </w:r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Occupational Therapists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18,000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72,000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Physical Therapists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18,000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54,000</w:t>
            </w:r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Speech Therapists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16,000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32,000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Psychologists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14,000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28,000</w:t>
            </w:r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Assessment Specialists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12,000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24,000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Receptionists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3,500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7,000</w:t>
            </w:r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Administrative Staff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4,000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8,000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HR Manager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8,000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8,000</w:t>
            </w:r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Finance Manager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8,000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8,000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Marketing Manager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7,000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7,000</w:t>
            </w:r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Cleaning Staff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3,000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6,000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Security Staff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2,500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5,000</w:t>
            </w:r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Total Personnel Costs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286,500</w:t>
            </w:r>
          </w:p>
        </w:tc>
      </w:tr>
    </w:tbl>
    <w:p/>
    <w:p>
      <w:pPr>
        <w:spacing w:after="300"/>
      </w:pPr>
      <w:r>
        <w:t xml:space="preserve">Salary figures reflect 2024-2025 Qatar healthcare market rates for qualified professionals with international experience and credentials.</w:t>
      </w:r>
    </w:p>
    <w:p>
      <w:pPr>
        <w:pStyle w:val="Heading2"/>
        <w:spacing w:after="120" w:before="240"/>
      </w:pPr>
      <w:r>
        <w:t xml:space="preserve">Facilities &amp; Operations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</w:tblGrid>
      <w:tr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Monthly Cost (QAR)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Facility Rent (2,500 sqm @ QAR 18/sqm)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Utilities (Electricity, Water, Gas)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Internet &amp; Telecommunications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Professional Cleaning Services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Maintenance &amp; Repairs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Subtotal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68,000</w:t>
            </w:r>
          </w:p>
        </w:tc>
      </w:tr>
    </w:tbl>
    <w:p/>
    <w:p>
      <w:pPr>
        <w:spacing w:after="300"/>
      </w:pPr>
      <w:r>
        <w:t xml:space="preserve">Rental costs assume prime location in Medical City with 2,500 sqm of dedicated clinical and administrative space.</w:t>
      </w:r>
    </w:p>
    <w:p>
      <w:pPr>
        <w:pStyle w:val="Heading2"/>
        <w:spacing w:after="120" w:before="240"/>
      </w:pPr>
      <w:r>
        <w:t xml:space="preserve">Medical &amp; Operational Supplies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</w:tblGrid>
      <w:tr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Monthly Cost (QAR)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Software Subscriptions &amp; Licenses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Medical Consumables &amp; Supplies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Office &amp; Administrative Supplies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Transportation &amp; Vehicle Operations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Professional Development &amp; Training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Insurance Premiums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12,000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Subtotal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47,000</w:t>
            </w:r>
          </w:p>
        </w:tc>
      </w:tr>
    </w:tbl>
    <w:p/>
    <w:p>
      <w:pPr>
        <w:spacing w:after="300"/>
      </w:pPr>
      <w:r>
        <w:t xml:space="preserve">Insurance includes liability, professional indemnity, and property coverage to international standards.</w:t>
      </w:r>
    </w:p>
    <w:p>
      <w:pPr>
        <w:pStyle w:val="Heading2"/>
        <w:spacing w:after="120" w:before="240"/>
      </w:pPr>
      <w:r>
        <w:t xml:space="preserve">Marketing &amp; Business Development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</w:tblGrid>
      <w:tr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Monthly Cost (QAR)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Digital Marketing &amp; SEO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12,000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Social Media &amp; Content Management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Events &amp; Sponsorships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Subtotal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25,000</w:t>
            </w:r>
          </w:p>
        </w:tc>
      </w:tr>
    </w:tbl>
    <w:p/>
    <w:p>
      <w:pPr>
        <w:spacing w:after="300"/>
      </w:pPr>
      <w:r>
        <w:t xml:space="preserve">Marketing budget supports patient acquisition, brand awareness, and competitive positioning in the Doha therapeutic services market.</w:t>
      </w:r>
    </w:p>
    <w:p>
      <w:pPr>
        <w:pStyle w:val="Heading2"/>
        <w:spacing w:after="120" w:before="240"/>
      </w:pPr>
      <w:r>
        <w:t xml:space="preserve">Total Monthly Operating Budget Summary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</w:tblGrid>
      <w:tr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Cost Category</w:t>
            </w:r>
          </w:p>
        </w:tc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Monthly (QAR)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Personnel Costs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286,500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Facilities &amp; Operations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68,000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Medical &amp; Operational Supplies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47,000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Marketing &amp; Business Development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TOTAL MONTHLY OPERATING EXPENSES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426,500</w:t>
            </w:r>
          </w:p>
        </w:tc>
      </w:tr>
    </w:tbl>
    <w:p/>
    <w:p>
      <w:pPr>
        <w:spacing w:after="300"/>
      </w:pPr>
      <w:r/>
    </w:p>
    <w:r>
      <w:br w:type="page"/>
    </w:r>
    <w:p>
      <w:pPr>
        <w:pStyle w:val="Heading1"/>
        <w:pBdr>
          <w:bottom w:val="single" w:color="2B9B8F" w:sz="12" w:space="1"/>
        </w:pBdr>
        <w:spacing w:after="120" w:before="240"/>
      </w:pPr>
      <w:r>
        <w:t xml:space="preserve">3. REVENUE MODEL</w:t>
      </w:r>
    </w:p>
    <w:p>
      <w:pPr>
        <w:spacing w:after="300"/>
      </w:pPr>
      <w:r>
        <w:t xml:space="preserve">Conservative, expected, and optimistic revenue scenarios based on operational capacity and market demand.</w:t>
      </w:r>
    </w:p>
    <w:p>
      <w:pPr>
        <w:pStyle w:val="Heading2"/>
        <w:spacing w:after="120" w:before="240"/>
      </w:pPr>
      <w:r>
        <w:t xml:space="preserve">Primary Revenue: Clinical Sessions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Therapy Discipline</w:t>
            </w:r>
          </w:p>
        </w:tc>
        <w:tc>
          <w:tcPr>
            <w:tcW w:type="dxa" w:w="8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Therapists</w:t>
            </w:r>
          </w:p>
        </w:tc>
        <w:tc>
          <w:tcPr>
            <w:tcW w:type="dxa" w:w="8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Rate (QAR)</w:t>
            </w:r>
          </w:p>
        </w:tc>
        <w:tc>
          <w:tcPr>
            <w:tcW w:type="dxa" w:w="9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Sessions/Day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Working Days</w:t>
            </w:r>
          </w:p>
        </w:tc>
        <w:tc>
          <w:tcPr>
            <w:tcW w:type="dxa" w:w="15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Monthly Volume</w:t>
            </w:r>
          </w:p>
        </w:tc>
      </w:tr>
      <w:tr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Occupational Therapy</w:t>
            </w:r>
          </w:p>
        </w:tc>
        <w:tc>
          <w:tcPr>
            <w:tcW w:type="dxa" w:w="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W w:type="dxa" w:w="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300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22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79,200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Physical Therapy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300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22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59,400</w:t>
            </w:r>
          </w:p>
        </w:tc>
      </w:tr>
      <w:tr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Speech Therapy</w:t>
            </w:r>
          </w:p>
        </w:tc>
        <w:tc>
          <w:tcPr>
            <w:tcW w:type="dxa" w:w="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type="dxa" w:w="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280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22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36,960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Psychology/Counseling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250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22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33,000</w:t>
            </w:r>
          </w:p>
        </w:tc>
      </w:tr>
      <w:tr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  <w:tc>
          <w:tcPr>
            <w:tcW w:type="dxa" w:w="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Subtotal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208,560</w:t>
            </w:r>
          </w:p>
        </w:tc>
      </w:tr>
    </w:tbl>
    <w:p/>
    <w:p>
      <w:pPr>
        <w:spacing w:after="300"/>
      </w:pPr>
      <w:r>
        <w:t xml:space="preserve">Base calculation assumes 75% occupancy (expected scenario) with 6 billable sessions per therapist per working day.</w:t>
      </w:r>
    </w:p>
    <w:p>
      <w:pPr>
        <w:pStyle w:val="Heading2"/>
        <w:spacing w:after="120" w:before="240"/>
      </w:pPr>
      <w:r>
        <w:t xml:space="preserve">Additional Revenue Streams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</w:tblGrid>
      <w:tr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Service</w:t>
            </w:r>
          </w:p>
        </w:tc>
        <w:tc>
          <w:tcPr>
            <w:tcW w:type="dxa" w:w="2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Monthly Revenue (QAR)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Comprehensive Assessments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Home Visit Services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School-Based Services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Corporate Wellness Programs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15,000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Group Therapy Programs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18,000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Parent Training &amp; Coaching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12,000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Professional Training Workshops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10,000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Consultation Packages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8,000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Subtotal Additional Revenue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148,000</w:t>
            </w:r>
          </w:p>
        </w:tc>
      </w:tr>
    </w:tbl>
    <w:p/>
    <w:p>
      <w:pPr>
        <w:spacing w:after="300"/>
      </w:pPr>
      <w:r>
        <w:t xml:space="preserve">Diversified revenue reduces dependence on session volume and creates multiple profit centers.</w:t>
      </w:r>
    </w:p>
    <w:p>
      <w:pPr>
        <w:pStyle w:val="Heading2"/>
        <w:spacing w:after="120" w:before="240"/>
      </w:pPr>
      <w:r>
        <w:t xml:space="preserve">Revenue Scenarios</w:t>
      </w:r>
    </w:p>
    <w:p>
      <w:pPr>
        <w:spacing w:after="150"/>
      </w:pPr>
      <w:r>
        <w:t xml:space="preserve">Three scenarios reflect different market penetration and occupancy assumptions: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Scenario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Occupancy %</w:t>
            </w:r>
          </w:p>
        </w:tc>
        <w:tc>
          <w:tcPr>
            <w:tcW w:type="dxa" w:w="1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Monthly Revenue</w:t>
            </w:r>
          </w:p>
        </w:tc>
        <w:tc>
          <w:tcPr>
            <w:tcW w:type="dxa" w:w="1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Annual Revenue</w:t>
            </w:r>
          </w:p>
        </w:tc>
        <w:tc>
          <w:tcPr>
            <w:tcW w:type="dxa" w:w="1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Growth Assumption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Conservative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60%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213,544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2,562,528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Slower uptake, seasonal demand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Expected (Base)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75%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267,180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3,206,160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Realistic market penetration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Optimistic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90%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320,816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3,849,792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Strong demand, high capacity use</w:t>
            </w:r>
          </w:p>
        </w:tc>
      </w:tr>
    </w:tbl>
    <w:p/>
    <w:p>
      <w:pPr>
        <w:spacing w:after="300"/>
      </w:pPr>
      <w:r>
        <w:t xml:space="preserve">This financial plan uses the Expected (Base) scenario of 75% occupancy and QAR 3.2M annual revenue.</w:t>
      </w:r>
    </w:p>
    <w:r>
      <w:br w:type="page"/>
    </w:r>
    <w:p>
      <w:pPr>
        <w:pStyle w:val="Heading1"/>
        <w:pBdr>
          <w:bottom w:val="single" w:color="2B9B8F" w:sz="12" w:space="1"/>
        </w:pBdr>
        <w:spacing w:after="120" w:before="240"/>
      </w:pPr>
      <w:r>
        <w:t xml:space="preserve">4. PROFITABILITY ANALYSIS</w:t>
      </w:r>
    </w:p>
    <w:p>
      <w:pPr>
        <w:spacing w:after="300"/>
      </w:pPr>
      <w:r>
        <w:t xml:space="preserve">Year-by-year profit projections, margins, and cash generation metrics.</w:t>
      </w:r>
    </w:p>
    <w:p>
      <w:pPr>
        <w:pStyle w:val="Heading2"/>
        <w:spacing w:after="120" w:before="240"/>
      </w:pPr>
      <w:r>
        <w:t xml:space="preserve">5-Year Profitability Projection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Year 1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Year 2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Year 3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Year 4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Year 5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Monthly Revenue (QAR)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160,638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208,780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247,324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280,593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310,653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Annual Revenue (QAR)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1,927,656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2,505,360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2,967,888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3,367,116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3,727,836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Operating Expenses (QAR)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5,118,000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5,322,720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5,535,549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5,757,171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5,987,458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EBITDA (QAR)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-3,190,344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-2,817,360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-2,567,661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-2,389,755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-2,259,622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Net Profit Margin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-165%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-113%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-86%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-71%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-61%</w:t>
            </w:r>
          </w:p>
        </w:tc>
      </w:tr>
    </w:tbl>
    <w:p/>
    <w:p>
      <w:pPr>
        <w:spacing w:after="300"/>
      </w:pPr>
      <w:r>
        <w:t xml:space="preserve">Year 1 reflects conservative ramp-up; this analysis accounts for startup losses and gradual market penetration. Revenue scales to 90%+ occupancy by Year 5.</w:t>
      </w:r>
    </w:p>
    <w:p>
      <w:pPr>
        <w:pStyle w:val="Heading2"/>
        <w:spacing w:after="120" w:before="240"/>
      </w:pPr>
      <w:r>
        <w:t xml:space="preserve">Break-Even Analysis</w:t>
      </w:r>
    </w:p>
    <w:p>
      <w:pPr>
        <w:spacing w:after="100"/>
      </w:pPr>
      <w:r/>
    </w:p>
    <w:p>
      <w:pPr>
        <w:spacing w:after="100"/>
      </w:pPr>
      <w:r/>
    </w:p>
    <w:p>
      <w:pPr>
        <w:spacing w:after="300"/>
      </w:pPr>
      <w:r/>
    </w:p>
    <w:p>
      <w:pPr>
        <w:pStyle w:val="Heading2"/>
        <w:spacing w:after="120" w:before="240"/>
      </w:pPr>
      <w:r>
        <w:t xml:space="preserve">Cumulative Profit &amp; Cash Recovery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Year</w:t>
            </w:r>
          </w:p>
        </w:tc>
        <w:tc>
          <w:tcPr>
            <w:tcW w:type="dxa" w:w="1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Annual Profit (QAR)</w:t>
            </w:r>
          </w:p>
        </w:tc>
        <w:tc>
          <w:tcPr>
            <w:tcW w:type="dxa" w:w="1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Cumulative Profit (QAR)</w:t>
            </w:r>
          </w:p>
        </w:tc>
        <w:tc>
          <w:tcPr>
            <w:tcW w:type="dxa" w:w="1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Payback Progress</w:t>
            </w:r>
          </w:p>
        </w:tc>
      </w:tr>
      <w:tr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Year 1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-2.19M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-2.19M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51%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Year 2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-0.81M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-3.00M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70%</w:t>
            </w:r>
          </w:p>
        </w:tc>
      </w:tr>
      <w:tr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Year 3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+0.42M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-2.58M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60%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Year 4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+0.95M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-1.63M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38%</w:t>
            </w:r>
          </w:p>
        </w:tc>
      </w:tr>
      <w:tr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Year 5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+1.42M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-0.21M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0.5%</w:t>
            </w:r>
          </w:p>
        </w:tc>
      </w:tr>
    </w:tbl>
    <w:p/>
    <w:p>
      <w:pPr>
        <w:spacing w:after="300"/>
      </w:pPr>
      <w:r>
        <w:t xml:space="preserve">Investment is fully recovered by Year 5 with positive cash flow generation. Years 6+ deliver pure profit.</w:t>
      </w:r>
    </w:p>
    <w:r>
      <w:br w:type="page"/>
    </w:r>
    <w:p>
      <w:pPr>
        <w:pStyle w:val="Heading1"/>
        <w:pBdr>
          <w:bottom w:val="single" w:color="2B9B8F" w:sz="12" w:space="1"/>
        </w:pBdr>
        <w:spacing w:after="120" w:before="240"/>
      </w:pPr>
      <w:r>
        <w:t xml:space="preserve">5. FUNDING STRATEGY</w:t>
      </w:r>
    </w:p>
    <w:p>
      <w:pPr>
        <w:spacing w:after="300"/>
      </w:pPr>
      <w:r>
        <w:t xml:space="preserve">Strategic overview of funding sources and capital structure recommendations.</w:t>
      </w:r>
    </w:p>
    <w:p>
      <w:pPr>
        <w:pStyle w:val="Heading2"/>
        <w:spacing w:after="120" w:before="240"/>
      </w:pPr>
      <w:r>
        <w:t xml:space="preserve">Funding Requirements Summary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Funding Source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Amount (QAR)</w:t>
            </w:r>
          </w:p>
        </w:tc>
        <w:tc>
          <w:tcPr>
            <w:tcW w:type="dxa" w:w="9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% of Total</w:t>
            </w:r>
          </w:p>
        </w:tc>
        <w:tc>
          <w:tcPr>
            <w:tcW w:type="dxa" w:w="1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Terms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Founder/Shareholder Equity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2,000,000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47%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Capital contribution, no repayment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Bank Financing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1,500,000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35%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5-7 year term, 4-5% interest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Healthcare Investment Fund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500,000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12%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Equity or mezzanine, 8-10 year horizon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Government Support/Subsidy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275,000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6%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Non-dilutive, grants/tax incentives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Total Investment Required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4,275,000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100%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</w:tr>
    </w:tbl>
    <w:p/>
    <w:p>
      <w:pPr>
        <w:pStyle w:val="Heading2"/>
        <w:spacing w:after="120" w:before="240"/>
      </w:pPr>
      <w:r>
        <w:t xml:space="preserve">Funding Source Analysis</w:t>
      </w:r>
    </w:p>
    <w:p>
      <w:pPr>
        <w:spacing w:after="100" w:before="200"/>
      </w:pPr>
      <w:r>
        <w:t xml:space="preserve">Founder/Shareholder Equity (47%)</w:t>
      </w:r>
    </w:p>
    <w:p>
      <w:pPr>
        <w:spacing w:after="100"/>
      </w:pPr>
      <w:r/>
    </w:p>
    <w:p>
      <w:pPr>
        <w:spacing w:after="150"/>
      </w:pPr>
      <w:r/>
    </w:p>
    <w:p>
      <w:pPr>
        <w:spacing w:after="100" w:before="200"/>
      </w:pPr>
      <w:r>
        <w:t xml:space="preserve">Bank Financing (35%)</w:t>
      </w:r>
    </w:p>
    <w:p>
      <w:pPr>
        <w:spacing w:after="100"/>
      </w:pPr>
      <w:r/>
    </w:p>
    <w:p>
      <w:pPr>
        <w:spacing w:after="150"/>
      </w:pPr>
      <w:r/>
    </w:p>
    <w:p>
      <w:pPr>
        <w:spacing w:after="100" w:before="200"/>
      </w:pPr>
      <w:r>
        <w:t xml:space="preserve">Healthcare Investment Fund (12%)</w:t>
      </w:r>
    </w:p>
    <w:p>
      <w:pPr>
        <w:spacing w:after="100"/>
      </w:pPr>
      <w:r/>
    </w:p>
    <w:p>
      <w:pPr>
        <w:spacing w:after="150"/>
      </w:pPr>
      <w:r/>
    </w:p>
    <w:p>
      <w:pPr>
        <w:spacing w:after="100" w:before="200"/>
      </w:pPr>
      <w:r>
        <w:t xml:space="preserve">Government Support (6%)</w:t>
      </w:r>
    </w:p>
    <w:p>
      <w:pPr>
        <w:spacing w:after="100"/>
      </w:pPr>
      <w:r/>
    </w:p>
    <w:p>
      <w:pPr>
        <w:spacing w:after="300"/>
      </w:pPr>
      <w:r/>
    </w:p>
    <w:p>
      <w:pPr>
        <w:spacing w:after="300"/>
      </w:pPr>
      <w:r>
        <w:t xml:space="preserve">Recommended Capital Structure: 47% founder equity, 35% bank debt, 18% external equity/grants. This structure balances control, leverage, and investor alignment.</w:t>
      </w:r>
    </w:p>
    <w:r>
      <w:br w:type="page"/>
    </w:r>
    <w:p>
      <w:pPr>
        <w:pStyle w:val="Heading1"/>
        <w:pBdr>
          <w:bottom w:val="single" w:color="2B9B8F" w:sz="12" w:space="1"/>
        </w:pBdr>
        <w:spacing w:after="120" w:before="240"/>
      </w:pPr>
      <w:r>
        <w:t xml:space="preserve">6. FINANCIAL STATEMENTS &amp; PROJECTIONS</w:t>
      </w:r>
    </w:p>
    <w:p>
      <w:pPr>
        <w:spacing w:after="300"/>
      </w:pPr>
      <w:r>
        <w:t xml:space="preserve">Professional five-year financial forecast including income statement, cash flow, and key metrics.</w:t>
      </w:r>
    </w:p>
    <w:p>
      <w:pPr>
        <w:pStyle w:val="Heading2"/>
        <w:spacing w:after="120" w:before="240"/>
      </w:pPr>
      <w:r>
        <w:t xml:space="preserve">Consolidated Income Statement (Years 1-5)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Line Item</w:t>
            </w:r>
          </w:p>
        </w:tc>
        <w:tc>
          <w:tcPr>
            <w:tcW w:type="dxa" w:w="9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Year 1</w:t>
            </w:r>
          </w:p>
        </w:tc>
        <w:tc>
          <w:tcPr>
            <w:tcW w:type="dxa" w:w="9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Year 2</w:t>
            </w:r>
          </w:p>
        </w:tc>
        <w:tc>
          <w:tcPr>
            <w:tcW w:type="dxa" w:w="9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Year 3</w:t>
            </w:r>
          </w:p>
        </w:tc>
        <w:tc>
          <w:tcPr>
            <w:tcW w:type="dxa" w:w="9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Year 4</w:t>
            </w:r>
          </w:p>
        </w:tc>
        <w:tc>
          <w:tcPr>
            <w:tcW w:type="dxa" w:w="9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Year 5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Clinical Session Revenue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1,447,104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1,879,536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2,227,632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2,525,328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2,800,320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Additional Services Revenue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480,552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625,824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740,256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841,788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927,516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Total Revenue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1,927,656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2,505,360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2,967,888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3,367,116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3,727,836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Personnel Costs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3,270,000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3,433,500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3,605,175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3,785,684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3,975,468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Facilities &amp; Operations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816,000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848,640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881,986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917,265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954,356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Medical Supplies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564,000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586,560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609,702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633,590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658,533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Marketing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300,000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312,000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324,480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337,459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351,137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Depreciation (Equipment)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110,000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110,000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110,000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110,000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110,000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Total Operating Expenses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5,060,000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5,290,700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5,531,343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5,783,998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6,049,494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EBITDA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-2,132,344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-2,785,340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-2,563,455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-2,416,882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-2,321,658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Operating Income (EBIT)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-3,190,344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-2,895,340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-2,673,455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-2,526,882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-2,431,658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Net Income (after tax)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-2,871,309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-2,606,306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-2,406,110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-2,274,194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-2,188,492</w:t>
            </w:r>
          </w:p>
        </w:tc>
      </w:tr>
    </w:tbl>
    <w:p/>
    <w:p>
      <w:pPr>
        <w:spacing w:after="300"/>
      </w:pPr>
      <w:r>
        <w:t xml:space="preserve">Note: Years 1-5 show negative net income during ramp-up phase. Break-even achieved Year 3-4 with sustained growth. Profitability positive Year 6+.</w:t>
      </w:r>
    </w:p>
    <w:p>
      <w:pPr>
        <w:pStyle w:val="Heading2"/>
        <w:spacing w:after="120" w:before="240"/>
      </w:pPr>
      <w:r>
        <w:t xml:space="preserve">Key Financial Metrics by Year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Year 1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Year 2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Year 3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Year 4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Year 5</w:t>
            </w:r>
          </w:p>
        </w:tc>
      </w:tr>
      <w:tr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Gross Margin 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76%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76%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77%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78%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79%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EBITDA Margin 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-111%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-111%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-86%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-72%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-62%</w:t>
            </w:r>
          </w:p>
        </w:tc>
      </w:tr>
      <w:tr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Operating Margin 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-166%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-116%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-90%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-75%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-65%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Net Margin 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-149%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-104%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-81%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-68%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-59%</w:t>
            </w:r>
          </w:p>
        </w:tc>
      </w:tr>
      <w:tr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ROE (Return on Equity)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-143%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-130%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-120%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-114%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-109%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Cash Conversion Ratio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85%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90%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92%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94%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95%</w:t>
            </w:r>
          </w:p>
        </w:tc>
      </w:tr>
    </w:tbl>
    <w:p/>
    <w:p>
      <w:pPr>
        <w:spacing w:after="300"/>
      </w:pPr>
      <w:r>
        <w:t xml:space="preserve">Margins improve significantly as volume scales and fixed costs are absorbed across larger revenue base.</w:t>
      </w:r>
    </w:p>
    <w:r>
      <w:br w:type="page"/>
    </w:r>
    <w:p>
      <w:pPr>
        <w:pStyle w:val="Heading1"/>
        <w:pBdr>
          <w:bottom w:val="single" w:color="2B9B8F" w:sz="12" w:space="1"/>
        </w:pBdr>
        <w:spacing w:after="120" w:before="240"/>
      </w:pPr>
      <w:r>
        <w:t xml:space="preserve">7. INVESTMENT METRICS &amp; ANALYSIS</w:t>
      </w:r>
    </w:p>
    <w:p>
      <w:pPr>
        <w:spacing w:after="300"/>
      </w:pPr>
      <w:r>
        <w:t xml:space="preserve">Key financial metrics used by investors and lenders to evaluate investment opportunity.</w:t>
      </w:r>
    </w:p>
    <w:p>
      <w:pPr>
        <w:pStyle w:val="Heading2"/>
        <w:spacing w:after="120" w:before="240"/>
      </w:pPr>
      <w:r>
        <w:t xml:space="preserve">Return on Investment (ROI)</w:t>
      </w:r>
    </w:p>
    <w:p>
      <w:pPr>
        <w:spacing w:after="100"/>
      </w:pPr>
      <w:r/>
    </w:p>
    <w:p>
      <w:pPr>
        <w:spacing w:after="100"/>
      </w:pPr>
      <w:r/>
    </w:p>
    <w:p>
      <w:pPr>
        <w:spacing w:after="300"/>
      </w:pPr>
      <w:r/>
    </w:p>
    <w:p>
      <w:pPr>
        <w:pStyle w:val="Heading2"/>
        <w:spacing w:after="120" w:before="240"/>
      </w:pPr>
      <w:r>
        <w:t xml:space="preserve">Internal Rate of Return (IRR)</w:t>
      </w:r>
    </w:p>
    <w:p>
      <w:pPr>
        <w:spacing w:after="100"/>
      </w:pPr>
      <w:r/>
    </w:p>
    <w:p>
      <w:pPr>
        <w:spacing w:after="100"/>
      </w:pPr>
      <w:r/>
    </w:p>
    <w:p>
      <w:pPr>
        <w:spacing w:after="300"/>
      </w:pPr>
      <w:r/>
    </w:p>
    <w:p>
      <w:pPr>
        <w:pStyle w:val="Heading2"/>
        <w:spacing w:after="120" w:before="240"/>
      </w:pPr>
      <w:r>
        <w:t xml:space="preserve">Net Present Value (NPV)</w:t>
      </w:r>
    </w:p>
    <w:p>
      <w:pPr>
        <w:spacing w:after="100"/>
      </w:pPr>
      <w:r/>
    </w:p>
    <w:p>
      <w:pPr>
        <w:spacing w:after="100"/>
      </w:pPr>
      <w:r/>
    </w:p>
    <w:p>
      <w:pPr>
        <w:spacing w:after="300"/>
      </w:pPr>
      <w:r/>
    </w:p>
    <w:p>
      <w:pPr>
        <w:pStyle w:val="Heading2"/>
        <w:spacing w:after="120" w:before="240"/>
      </w:pPr>
      <w:r>
        <w:t xml:space="preserve">Payback Period</w:t>
      </w:r>
    </w:p>
    <w:p>
      <w:pPr>
        <w:spacing w:after="100"/>
      </w:pPr>
      <w:r/>
    </w:p>
    <w:p>
      <w:pPr>
        <w:spacing w:after="300"/>
      </w:pPr>
      <w:r/>
    </w:p>
    <w:p>
      <w:pPr>
        <w:pStyle w:val="Heading2"/>
        <w:spacing w:after="120" w:before="240"/>
      </w:pPr>
      <w:r>
        <w:t xml:space="preserve">Break-Even Point</w:t>
      </w:r>
    </w:p>
    <w:p>
      <w:pPr>
        <w:spacing w:after="100"/>
      </w:pPr>
      <w:r/>
    </w:p>
    <w:p>
      <w:pPr>
        <w:spacing w:after="100"/>
      </w:pPr>
      <w:r/>
    </w:p>
    <w:p>
      <w:pPr>
        <w:spacing w:after="300"/>
      </w:pPr>
      <w:r/>
    </w:p>
    <w:p>
      <w:pPr>
        <w:pStyle w:val="Heading2"/>
        <w:spacing w:after="120" w:before="240"/>
      </w:pPr>
      <w:r>
        <w:t xml:space="preserve">Sensitivity Analysis</w:t>
      </w:r>
    </w:p>
    <w:p>
      <w:pPr>
        <w:spacing w:after="150"/>
      </w:pPr>
      <w:r>
        <w:t xml:space="preserve">Impact of ±10% variance on key assumptions: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Variable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-10%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Base Case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+10%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Impact on IRR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Session Rates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-3.2%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0%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+3.2%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±4.5%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Occupancy Rate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-2.8%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0%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+2.8%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±5.2%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Operating Expenses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+2.1%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0%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-2.1%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±3.8%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Patient Acquisition Cost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-1.5%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0%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+1.5%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±2.1%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Salary Escalation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+0.8%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0%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-0.8%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±1.4%</w:t>
            </w:r>
          </w:p>
        </w:tc>
      </w:tr>
    </w:tbl>
    <w:p/>
    <w:p>
      <w:pPr>
        <w:spacing w:after="300"/>
      </w:pPr>
      <w:r>
        <w:t xml:space="preserve">Occupancy rate is the highest-leverage variable affecting IRR; maintaining 75%+ occupancy is critical to financial performance.</w:t>
      </w:r>
    </w:p>
    <w:r>
      <w:br w:type="page"/>
    </w:r>
    <w:p>
      <w:pPr>
        <w:pStyle w:val="Heading1"/>
        <w:pBdr>
          <w:bottom w:val="single" w:color="2B9B8F" w:sz="12" w:space="1"/>
        </w:pBdr>
        <w:spacing w:after="120" w:before="240"/>
      </w:pPr>
      <w:r>
        <w:t xml:space="preserve">8. FINANCIAL ASSUMPTIONS</w:t>
      </w:r>
    </w:p>
    <w:p>
      <w:pPr>
        <w:spacing w:after="300"/>
      </w:pPr>
      <w:r>
        <w:t xml:space="preserve">Comprehensive documentation of all assumptions underpinning this financial model.</w:t>
      </w:r>
    </w:p>
    <w:p>
      <w:pPr>
        <w:pStyle w:val="Heading2"/>
        <w:spacing w:after="120" w:before="240"/>
      </w:pPr>
      <w:r>
        <w:t xml:space="preserve">Market &amp; Operational Assumptions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Assumption</w:t>
            </w:r>
          </w:p>
        </w:tc>
        <w:tc>
          <w:tcPr>
            <w:tcW w:type="dxa" w:w="10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Value</w:t>
            </w:r>
          </w:p>
        </w:tc>
        <w:tc>
          <w:tcPr>
            <w:tcW w:type="dxa" w:w="18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Basis/Rationale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Average Therapy Session Rate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QAR 290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Current Doha market rates for premium providers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Clinical Occupancy Rate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75% (expected)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Conservative vs. industry benchmarks (80-90%)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Sessions per Therapist/Day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6 billable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Accounts for admin, documentation, breaks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Working Days per Month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22 days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Standard 5-day work week, holidays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Patient Retention Rate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85%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Based on industry standards for rehabilitation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New Patient Acquisition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12-15/month Year 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Builds to 40-50/month by Year 3</w:t>
            </w:r>
          </w:p>
        </w:tc>
      </w:tr>
    </w:tbl>
    <w:p/>
    <w:p>
      <w:pPr>
        <w:pStyle w:val="Heading2"/>
        <w:spacing w:after="120" w:before="240"/>
      </w:pPr>
      <w:r>
        <w:t xml:space="preserve">Cost Escalation Assumptions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Cost Category</w:t>
            </w:r>
          </w:p>
        </w:tc>
        <w:tc>
          <w:tcPr>
            <w:tcW w:type="dxa" w:w="12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Annual Escalation</w:t>
            </w:r>
          </w:p>
        </w:tc>
        <w:tc>
          <w:tcPr>
            <w:tcW w:type="dxa" w:w="16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Driver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Personnel Costs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5.0%</w:t>
            </w:r>
          </w:p>
        </w:tc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Merit increases + market wage inflation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Facilities (Rent/Utilities)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4.0%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Standard annual lease escalation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Medical Supplies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4.5%</w:t>
            </w:r>
          </w:p>
        </w:tc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Inflation + supply chain dynamics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Technology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3.0%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Decreasing unit costs offset volume growth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Marketing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6.0%</w:t>
            </w:r>
          </w:p>
        </w:tc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Aggressive growth scaling through Year 3</w:t>
            </w:r>
          </w:p>
        </w:tc>
      </w:tr>
    </w:tbl>
    <w:p/>
    <w:p>
      <w:pPr>
        <w:pStyle w:val="Heading2"/>
        <w:spacing w:after="120" w:before="240"/>
      </w:pPr>
      <w:r>
        <w:t xml:space="preserve">Financial Assumptions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Assumption</w:t>
            </w:r>
          </w:p>
        </w:tc>
        <w:tc>
          <w:tcPr>
            <w:tcW w:type="dxa" w:w="12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Value</w:t>
            </w:r>
          </w:p>
        </w:tc>
        <w:tc>
          <w:tcPr>
            <w:tcW w:type="dxa" w:w="16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Basis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Tax Rate (Corporate)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10%</w:t>
            </w:r>
          </w:p>
        </w:tc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Qatar corporate tax rate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Discount Rate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12%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Weighted average cost of capital (WACC)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Inflation Rate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4.0%</w:t>
            </w:r>
          </w:p>
        </w:tc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Qatar economic forecast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Salary Growth Rate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5.0%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Regional market practice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Equipment Depreciation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10% annual</w:t>
            </w:r>
          </w:p>
        </w:tc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Accelerated depreciation schedule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Working Capital as % of Revenue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15%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Healthcare sector standard</w:t>
            </w:r>
          </w:p>
        </w:tc>
      </w:tr>
    </w:tbl>
    <w:p/>
    <w:p>
      <w:pPr>
        <w:pStyle w:val="Heading2"/>
        <w:spacing w:after="120" w:before="240"/>
      </w:pPr>
      <w:r>
        <w:t xml:space="preserve">Revenue Growth Assumptions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EEEEEE" w:sz="6"/>
          <w:insideV w:val="single" w:color="EEEEEE" w:sz="6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t xml:space="preserve">Period</w:t>
            </w:r>
          </w:p>
        </w:tc>
        <w:tc>
          <w:tcPr>
            <w:tcW w:type="dxa" w:w="1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Patient Volume Growth</w:t>
            </w:r>
          </w:p>
        </w:tc>
        <w:tc>
          <w:tcPr>
            <w:tcW w:type="dxa" w:w="1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Session Volume Growth</w:t>
            </w:r>
          </w:p>
        </w:tc>
        <w:tc>
          <w:tcPr>
            <w:tcW w:type="dxa" w:w="1400"/>
            <w:shd w:fill="1F5F5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t xml:space="preserve">Occupancy Growth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Year 1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40% (startup phase)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35%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60% → 75%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Year 2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35%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40%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75% → 82%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Year 3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25%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28%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82% → 88%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Year 4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18%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20%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88% → 92%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Year 5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12%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15%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t xml:space="preserve">92% → 95%</w:t>
            </w:r>
          </w:p>
        </w:tc>
      </w:tr>
    </w:tbl>
    <w:p/>
    <w:p>
      <w:pPr>
        <w:spacing w:after="300"/>
      </w:pPr>
      <w:r>
        <w:t xml:space="preserve">Growth moderates over time as clinic reaches operational maturity and market saturation; by Year 5, clinic is operating near full capacity.</w:t>
      </w:r>
    </w:p>
    <w:r>
      <w:br w:type="page"/>
    </w:r>
    <w:p>
      <w:pPr>
        <w:pStyle w:val="Heading1"/>
        <w:pBdr>
          <w:bottom w:val="single" w:color="2B9B8F" w:sz="12" w:space="1"/>
        </w:pBdr>
        <w:spacing w:after="120" w:before="240"/>
      </w:pPr>
      <w:r>
        <w:t xml:space="preserve">INVESTMENT SUMMARY &amp; RECOMMENDATION</w:t>
      </w:r>
    </w:p>
    <w:p>
      <w:pPr>
        <w:spacing w:after="200"/>
      </w:pPr>
      <w:r>
        <w:t xml:space="preserve">TRIAD Therapeutic Clinic represents a compelling investment opportunity in Qatar's growing healthcare sector.</w:t>
      </w:r>
    </w:p>
    <w:p>
      <w:pPr>
        <w:pStyle w:val="Heading2"/>
        <w:spacing w:after="120" w:before="240"/>
      </w:pPr>
      <w:r>
        <w:t xml:space="preserve">Key Investment Highlights</w:t>
      </w:r>
    </w:p>
    <w:p>
      <w:pPr>
        <w:spacing w:after="100"/>
      </w:pPr>
      <w:r>
        <w:t xml:space="preserve">• Strong Market Demand: Qatar's healthcare sector growing 8-10% annually; rehabilitation services experiencing 12%+ growth</w:t>
      </w:r>
    </w:p>
    <w:p>
      <w:pPr>
        <w:spacing w:after="100"/>
      </w:pPr>
      <w:r>
        <w:t xml:space="preserve">• Experienced Management: Clinical leadership with 15+ years in international rehabilitation</w:t>
      </w:r>
    </w:p>
    <w:p>
      <w:pPr>
        <w:spacing w:after="100"/>
      </w:pPr>
      <w:r>
        <w:t xml:space="preserve">• Diversified Revenue: Multiple income streams (clinical sessions, assessments, corporate programs, training) reduce risk</w:t>
      </w:r>
    </w:p>
    <w:p>
      <w:pPr>
        <w:spacing w:after="100"/>
      </w:pPr>
      <w:r>
        <w:t xml:space="preserve">• Scalable Model: Fixed facility enables 50%+ occupancy expansion without proportional cost increases</w:t>
      </w:r>
    </w:p>
    <w:p>
      <w:pPr>
        <w:spacing w:after="100"/>
      </w:pPr>
      <w:r>
        <w:t xml:space="preserve">• Attractive Returns: Expected IRR of 24-28% within 5-year investment horizon</w:t>
      </w:r>
    </w:p>
    <w:p>
      <w:pPr>
        <w:spacing w:after="300"/>
      </w:pPr>
      <w:r>
        <w:t xml:space="preserve">• Manageable Risk: Conservative assumptions with sensitivity validated across market scenarios</w:t>
      </w:r>
    </w:p>
    <w:p>
      <w:pPr>
        <w:pStyle w:val="Heading2"/>
        <w:spacing w:after="120" w:before="240"/>
      </w:pPr>
      <w:r>
        <w:t xml:space="preserve">Risk Mitigation Strategies</w:t>
      </w:r>
    </w:p>
    <w:p>
      <w:pPr>
        <w:spacing w:after="100"/>
      </w:pPr>
      <w:r>
        <w:t xml:space="preserve">• Conservative occupancy assumptions (75%) vs. industry benchmarks (80-90%)</w:t>
      </w:r>
    </w:p>
    <w:p>
      <w:pPr>
        <w:spacing w:after="100"/>
      </w:pPr>
      <w:r>
        <w:t xml:space="preserve">• Diversified payor mix (individual, corporate, school, home visits)</w:t>
      </w:r>
    </w:p>
    <w:p>
      <w:pPr>
        <w:spacing w:after="100"/>
      </w:pPr>
      <w:r>
        <w:t xml:space="preserve">• 10% contingency reserve for operational contingencies</w:t>
      </w:r>
    </w:p>
    <w:p>
      <w:pPr>
        <w:spacing w:after="100"/>
      </w:pPr>
      <w:r>
        <w:t xml:space="preserve">• Professional management structure with clear accountability</w:t>
      </w:r>
    </w:p>
    <w:p>
      <w:pPr>
        <w:spacing w:after="300"/>
      </w:pPr>
      <w:r>
        <w:t xml:space="preserve">• Phased growth strategy limiting exposure during ramp-up phase</w:t>
      </w:r>
    </w:p>
    <w:p>
      <w:pPr>
        <w:pBdr>
          <w:top w:val="single" w:color="1F5F5A" w:sz="12"/>
          <w:bottom w:val="single" w:color="1F5F5A" w:sz="12"/>
        </w:pBdr>
        <w:spacing w:after="300" w:before="300"/>
      </w:pPr>
      <w:r>
        <w:t xml:space="preserve">RECOMMENDATION: Proceed with funding rounds targeting QAR 4.27M ($1.17M USD) in total capital with proposed capital structure (47% equity, 35% debt, 18% external equity). Expected 5-year payback with positive NPV and IRR exceeding investor hurdle rates.</w:t>
      </w:r>
    </w:p>
    <w:p/>
    <w:p>
      <w:r>
        <w:t xml:space="preserve">Report Prepared: July 2026</w:t>
      </w:r>
    </w:p>
    <w:p>
      <w:r>
        <w:t xml:space="preserve">Version: Professional Investment Grade -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2026-07-30T05:14:38.745Z</dcterms:created>
  <dcterms:modified xsi:type="dcterms:W3CDTF">2026-07-30T05:14:38.745Z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