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TRIAD Executive Summary</w:t>
      </w:r>
    </w:p>
    <w:p>
      <w:pPr>
        <w:pStyle w:val="Subtitle"/>
      </w:pPr>
      <w:r>
        <w:t xml:space="preserve">One-Page</w:t>
      </w:r>
      <w:r>
        <w:t xml:space="preserve"> </w:t>
      </w:r>
      <w:r>
        <w:t xml:space="preserve">Investment</w:t>
      </w:r>
      <w:r>
        <w:t xml:space="preserve"> </w:t>
      </w:r>
      <w:r>
        <w:t xml:space="preserve">Overview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</w:p>
    <w:bookmarkStart w:id="33" w:name="X135cb74cbd3158517f75636b5d89483e9c6e625"/>
    <w:p>
      <w:pPr>
        <w:pStyle w:val="Heading1"/>
      </w:pPr>
      <w:r>
        <w:t xml:space="preserve">TRIAD: Multidisciplinary Rehabilitation &amp; Therapy Center</w:t>
      </w:r>
    </w:p>
    <w:bookmarkStart w:id="32" w:name="new-cairo-fifth-settlement-egypt"/>
    <w:p>
      <w:pPr>
        <w:pStyle w:val="Heading2"/>
      </w:pPr>
      <w:r>
        <w:t xml:space="preserve">New Cairo (Fifth Settlement), Egypt</w:t>
      </w:r>
    </w:p>
    <w:p>
      <w:r>
        <w:pict>
          <v:rect style="width:0;height:1.5pt" o:hralign="center" o:hrstd="t" o:hr="t"/>
        </w:pict>
      </w:r>
    </w:p>
    <w:bookmarkStart w:id="20" w:name="the-opportunity"/>
    <w:p>
      <w:pPr>
        <w:pStyle w:val="Heading3"/>
      </w:pPr>
      <w:r>
        <w:rPr>
          <w:bCs/>
          <w:b/>
        </w:rPr>
        <w:t xml:space="preserve">THE OPPORTUNITY</w:t>
      </w:r>
    </w:p>
    <w:p>
      <w:pPr>
        <w:pStyle w:val="FirstParagraph"/>
      </w:pPr>
      <w:r>
        <w:t xml:space="preserve">TRIAD is a premium outpatient rehabilitation clinic founded by three senior clinicians to create Egypt’s first integrated, multi-departmental rehabilitation center. Three founder-led departments deliver complementary expertise under one brand, in one location, with seamless patient continuity.</w:t>
      </w:r>
    </w:p>
    <w:p>
      <w:r>
        <w:pict>
          <v:rect style="width:0;height:1.5pt" o:hralign="center" o:hrstd="t" o:hr="t"/>
        </w:pict>
      </w:r>
    </w:p>
    <w:bookmarkEnd w:id="20"/>
    <w:bookmarkStart w:id="21" w:name="the-founders"/>
    <w:p>
      <w:pPr>
        <w:pStyle w:val="Heading3"/>
      </w:pPr>
      <w:r>
        <w:rPr>
          <w:bCs/>
          <w:b/>
        </w:rPr>
        <w:t xml:space="preserve">THE FOUNDERS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Nagham Reda</w:t>
      </w:r>
      <w:r>
        <w:t xml:space="preserve"> </w:t>
      </w:r>
      <w:r>
        <w:t xml:space="preserve">— Orthopaedic &amp; Sports Rehabilitation (6+ yrs clinical practice)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Saja Khader</w:t>
      </w:r>
      <w:r>
        <w:t xml:space="preserve"> </w:t>
      </w:r>
      <w:r>
        <w:t xml:space="preserve">— Adult Neurological Rehabilitation (6+ yrs clinical practice)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Saja Ali</w:t>
      </w:r>
      <w:r>
        <w:t xml:space="preserve"> </w:t>
      </w:r>
      <w:r>
        <w:t xml:space="preserve">— Pediatric Rehabilitation (6+ yrs clinical practice)</w:t>
      </w:r>
    </w:p>
    <w:p>
      <w:r>
        <w:pict>
          <v:rect style="width:0;height:1.5pt" o:hralign="center" o:hrstd="t" o:hr="t"/>
        </w:pict>
      </w:r>
    </w:p>
    <w:bookmarkEnd w:id="21"/>
    <w:bookmarkStart w:id="22" w:name="the-model"/>
    <w:p>
      <w:pPr>
        <w:pStyle w:val="Heading3"/>
      </w:pPr>
      <w:r>
        <w:rPr>
          <w:bCs/>
          <w:b/>
        </w:rPr>
        <w:t xml:space="preserve">THE MODEL</w:t>
      </w:r>
    </w:p>
    <w:p>
      <w:pPr>
        <w:pStyle w:val="FirstParagraph"/>
      </w:pPr>
      <w:r>
        <w:rPr>
          <w:bCs/>
          <w:b/>
        </w:rPr>
        <w:t xml:space="preserve">Why TRIAD Wins: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Specialization + Integration</w:t>
      </w:r>
      <w:r>
        <w:t xml:space="preserve">: Each founder runs a specialist department; patients benefit from coordinated, whole-person care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Recurring revenue</w:t>
      </w:r>
      <w:r>
        <w:t xml:space="preserve">: Daily therapy sessions + clinical consultations build predictable cash flow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Scalable</w:t>
      </w:r>
      <w:r>
        <w:t xml:space="preserve">: Proven model can expand to additional locations within 3–5 years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Market-ready</w:t>
      </w:r>
      <w:r>
        <w:t xml:space="preserve">: Proven demand in New Cairo; no competitor offers this model</w:t>
      </w:r>
    </w:p>
    <w:p>
      <w:pPr>
        <w:pStyle w:val="BodyText"/>
      </w:pPr>
      <w:r>
        <w:rPr>
          <w:bCs/>
          <w:b/>
        </w:rPr>
        <w:t xml:space="preserve">Patient Journey:</w:t>
      </w:r>
      <w:r>
        <w:t xml:space="preserve"> </w:t>
      </w:r>
      <w:r>
        <w:t xml:space="preserve">Families book one appointment; receive coordinated assessment across all three departments; single billing/admin; continuity of care.</w:t>
      </w:r>
    </w:p>
    <w:p>
      <w:r>
        <w:pict>
          <v:rect style="width:0;height:1.5pt" o:hralign="center" o:hrstd="t" o:hr="t"/>
        </w:pict>
      </w:r>
    </w:p>
    <w:bookmarkEnd w:id="22"/>
    <w:bookmarkStart w:id="23" w:name="clinical-services"/>
    <w:p>
      <w:pPr>
        <w:pStyle w:val="Heading3"/>
      </w:pPr>
      <w:r>
        <w:rPr>
          <w:bCs/>
          <w:b/>
        </w:rPr>
        <w:t xml:space="preserve">CLINICAL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Orthopaedic &amp; 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Post-op rehab, sports injuries, chronic pain, work-fitness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 recovery, spinal injury, Parkinson’s, MS, motor rehabilitation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Developmental delays, cerebral palsy, autism spectrum, coordination disorders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Shared Services</w:t>
      </w:r>
      <w:r>
        <w:t xml:space="preserve"> </w:t>
      </w:r>
      <w:r>
        <w:t xml:space="preserve">(all budgets): Hydrotherapy, wellness classes, home visit programs, corporate wellness.</w:t>
      </w:r>
    </w:p>
    <w:p>
      <w:r>
        <w:pict>
          <v:rect style="width:0;height:1.5pt" o:hralign="center" o:hrstd="t" o:hr="t"/>
        </w:pict>
      </w:r>
    </w:p>
    <w:bookmarkEnd w:id="23"/>
    <w:bookmarkStart w:id="24" w:name="market-financials"/>
    <w:p>
      <w:pPr>
        <w:pStyle w:val="Heading3"/>
      </w:pPr>
      <w:r>
        <w:rPr>
          <w:bCs/>
          <w:b/>
        </w:rPr>
        <w:t xml:space="preserve">MARKET &amp; FINANCIALS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New Cairo, Fifth Settlement — fastest-growing residential/medical corridor in Greater Cairo; target demographic: high-income families, corporate employees, health-conscious professionals.</w:t>
      </w:r>
    </w:p>
    <w:p>
      <w:pPr>
        <w:pStyle w:val="BodyText"/>
      </w:pPr>
      <w:r>
        <w:rPr>
          <w:bCs/>
          <w:b/>
        </w:rPr>
        <w:t xml:space="preserve">Market Size:</w:t>
      </w:r>
      <w:r>
        <w:t xml:space="preserve"> </w:t>
      </w:r>
      <w:r>
        <w:t xml:space="preserve">~500,000 residents within 15km; estimated 15–20% annual therapy demand growth; currently fragmented across solo practitioners and small clinics.</w:t>
      </w:r>
    </w:p>
    <w:p>
      <w:pPr>
        <w:pStyle w:val="BodyText"/>
      </w:pPr>
      <w:r>
        <w:rPr>
          <w:bCs/>
          <w:b/>
        </w:rPr>
        <w:t xml:space="preserve">Three Budget Scenarios: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Start-up (EGP)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Opex (EGP)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Revenue (EGP)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3-Yr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mpetitive-advantage"/>
    <w:p>
      <w:pPr>
        <w:pStyle w:val="Heading3"/>
      </w:pPr>
      <w:r>
        <w:rPr>
          <w:bCs/>
          <w:b/>
        </w:rPr>
        <w:t xml:space="preserve">COMPETITIVE ADVANTAGE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Founder expertise</w:t>
      </w:r>
      <w:r>
        <w:t xml:space="preserve">: Senior clinicians with proven track records in their specialties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Integrated model</w:t>
      </w:r>
      <w:r>
        <w:t xml:space="preserve">: Only multi-departmental rehab center in New Cairo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Patient convenience</w:t>
      </w:r>
      <w:r>
        <w:t xml:space="preserve">: Three therapies, one location, one billing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Scalability</w:t>
      </w:r>
      <w:r>
        <w:t xml:space="preserve">: Revenue-per-sqm outperforms traditional clinics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Professional branding</w:t>
      </w:r>
      <w:r>
        <w:t xml:space="preserve">: Premium positioning attracts insured and corporate clients</w:t>
      </w:r>
    </w:p>
    <w:p>
      <w:r>
        <w:pict>
          <v:rect style="width:0;height:1.5pt" o:hralign="center" o:hrstd="t" o:hr="t"/>
        </w:pict>
      </w:r>
    </w:p>
    <w:bookmarkEnd w:id="25"/>
    <w:bookmarkStart w:id="26" w:name="investment-highlights"/>
    <w:p>
      <w:pPr>
        <w:pStyle w:val="Heading3"/>
      </w:pPr>
      <w:r>
        <w:rPr>
          <w:bCs/>
          <w:b/>
        </w:rPr>
        <w:t xml:space="preserve">INVESTMENT HIGHLIGHTS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 barrier to entry</w:t>
      </w:r>
      <w:r>
        <w:t xml:space="preserve">: Outpatient model, no beds, no 24/7 staffing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Recurring revenue</w:t>
      </w:r>
      <w:r>
        <w:t xml:space="preserve">: Therapy is ongoing; customer retention 70–85% typical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Proven expertise</w:t>
      </w:r>
      <w:r>
        <w:t xml:space="preserve">: Founders have 18+ years combined clinical experience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Market timing</w:t>
      </w:r>
      <w:r>
        <w:t xml:space="preserve">: Private healthcare in Egypt growing 12–15% annually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Expandable</w:t>
      </w:r>
      <w:r>
        <w:t xml:space="preserve">: Model proven; second location within 3–5 years</w:t>
      </w:r>
    </w:p>
    <w:p>
      <w:r>
        <w:pict>
          <v:rect style="width:0;height:1.5pt" o:hralign="center" o:hrstd="t" o:hr="t"/>
        </w:pict>
      </w:r>
    </w:p>
    <w:bookmarkEnd w:id="26"/>
    <w:bookmarkStart w:id="27" w:name="use-of-funds"/>
    <w:p>
      <w:pPr>
        <w:pStyle w:val="Heading3"/>
      </w:pPr>
      <w:r>
        <w:rPr>
          <w:bCs/>
          <w:b/>
        </w:rPr>
        <w:t xml:space="preserve">USE OF FUNDS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Lease, renovations, reception/admin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Therapy equipment, IT, furniture per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Staffing (6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Salaries, recruitment,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Branding, website, outreach,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delays, scope refinements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imeline"/>
    <w:p>
      <w:pPr>
        <w:pStyle w:val="Heading3"/>
      </w:pPr>
      <w:r>
        <w:rPr>
          <w:bCs/>
          <w:b/>
        </w:rPr>
        <w:t xml:space="preserve">TIMELINE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1–2</w:t>
      </w:r>
      <w:r>
        <w:t xml:space="preserve">: Facility secured, permits, staffing finalized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2–3</w:t>
      </w:r>
      <w:r>
        <w:t xml:space="preserve">: Equipment procured, IT infrastructure, staff training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3</w:t>
      </w:r>
      <w:r>
        <w:t xml:space="preserve">: Soft launch (referral partners, walk-ins)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4</w:t>
      </w:r>
      <w:r>
        <w:t xml:space="preserve">: Full launch, marketing activation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6</w:t>
      </w:r>
      <w:r>
        <w:t xml:space="preserve">: Reach 50% capacity utilization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12</w:t>
      </w:r>
      <w:r>
        <w:t xml:space="preserve">: Profitability target (all scenarios)</w:t>
      </w:r>
    </w:p>
    <w:p>
      <w:r>
        <w:pict>
          <v:rect style="width:0;height:1.5pt" o:hralign="center" o:hrstd="t" o:hr="t"/>
        </w:pict>
      </w:r>
    </w:p>
    <w:bookmarkEnd w:id="28"/>
    <w:bookmarkStart w:id="29" w:name="investment-ask"/>
    <w:p>
      <w:pPr>
        <w:pStyle w:val="Heading3"/>
      </w:pPr>
      <w:r>
        <w:rPr>
          <w:bCs/>
          <w:b/>
        </w:rPr>
        <w:t xml:space="preserve">INVESTMENT ASK</w:t>
      </w:r>
    </w:p>
    <w:p>
      <w:pPr>
        <w:pStyle w:val="FirstParagraph"/>
      </w:pPr>
      <w:r>
        <w:rPr>
          <w:bCs/>
          <w:b/>
        </w:rPr>
        <w:t xml:space="preserve">EGP 1.2M–2.5M</w:t>
      </w:r>
      <w:r>
        <w:t xml:space="preserve"> </w:t>
      </w:r>
      <w:r>
        <w:t xml:space="preserve">(depending on budget scenario) for a</w:t>
      </w:r>
      <w:r>
        <w:t xml:space="preserve"> </w:t>
      </w:r>
      <w:r>
        <w:rPr>
          <w:bCs/>
          <w:b/>
        </w:rPr>
        <w:t xml:space="preserve">40–50% equity stake</w:t>
      </w:r>
      <w:r>
        <w:t xml:space="preserve"> </w:t>
      </w:r>
      <w:r>
        <w:t xml:space="preserve">to seed launch costs. Returns via dividends or exit within 5–7 years as TRIAD scales to multi-location operator.</w:t>
      </w:r>
    </w:p>
    <w:p>
      <w:pPr>
        <w:pStyle w:val="BodyText"/>
      </w:pPr>
      <w:r>
        <w:rPr>
          <w:bCs/>
          <w:b/>
        </w:rPr>
        <w:t xml:space="preserve">Alternatively:</w:t>
      </w:r>
      <w:r>
        <w:t xml:space="preserve"> </w:t>
      </w:r>
      <w:r>
        <w:t xml:space="preserve">Equipment financing, bank loans, or strategic partnership with healthcare investment firms or hospital groups.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3"/>
      </w:pPr>
      <w:r>
        <w:rPr>
          <w:bCs/>
          <w:b/>
        </w:rPr>
        <w:t xml:space="preserve">NEXT STEPS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Feasibility Study</w:t>
      </w:r>
      <w:r>
        <w:t xml:space="preserve"> </w:t>
      </w:r>
      <w:r>
        <w:t xml:space="preserve">— Architect survey, equipment vendor quotes, staffing cost validation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Financial Close</w:t>
      </w:r>
      <w:r>
        <w:t xml:space="preserve"> </w:t>
      </w:r>
      <w:r>
        <w:t xml:space="preserve">— Finalize investor terms, banking partnerships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Facility Acquisition</w:t>
      </w:r>
      <w:r>
        <w:t xml:space="preserve"> </w:t>
      </w:r>
      <w:r>
        <w:t xml:space="preserve">— Secure 250–350 sqm prime location in Fifth Settlement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Regulatory &amp; Licensing</w:t>
      </w:r>
      <w:r>
        <w:t xml:space="preserve"> </w:t>
      </w:r>
      <w:r>
        <w:t xml:space="preserve">— Ministry of Health permits, insurance panel enrollment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Launch</w:t>
      </w:r>
      <w:r>
        <w:t xml:space="preserve"> </w:t>
      </w:r>
      <w:r>
        <w:t xml:space="preserve">— Month 4–6 from funding close</w:t>
      </w:r>
    </w:p>
    <w:p>
      <w:r>
        <w:pict>
          <v:rect style="width:0;height:1.5pt" o:hralign="center" o:hrstd="t" o:hr="t"/>
        </w:pict>
      </w:r>
    </w:p>
    <w:bookmarkEnd w:id="30"/>
    <w:bookmarkStart w:id="31" w:name="contact"/>
    <w:p>
      <w:pPr>
        <w:pStyle w:val="Heading3"/>
      </w:pPr>
      <w:r>
        <w:rPr>
          <w:bCs/>
          <w:b/>
        </w:rPr>
        <w:t xml:space="preserve">CONTACT</w:t>
      </w:r>
    </w:p>
    <w:p>
      <w:pPr>
        <w:pStyle w:val="FirstParagraph"/>
      </w:pPr>
      <w:r>
        <w:t xml:space="preserve">For discussion, further details, or to arrange site visit:</w:t>
      </w:r>
    </w:p>
    <w:p>
      <w:pPr>
        <w:pStyle w:val="BodyText"/>
      </w:pPr>
      <w:r>
        <w:rPr>
          <w:bCs/>
          <w:b/>
        </w:rPr>
        <w:t xml:space="preserve">Nagham Reda</w:t>
      </w:r>
      <w:r>
        <w:t xml:space="preserve"> </w:t>
      </w:r>
      <w:r>
        <w:t xml:space="preserve">| Orthopaedic &amp; Sports Rehabilitation | [email/phone]</w:t>
      </w:r>
      <w:r>
        <w:br/>
      </w:r>
      <w:r>
        <w:rPr>
          <w:bCs/>
          <w:b/>
        </w:rPr>
        <w:t xml:space="preserve">Saja Khader</w:t>
      </w:r>
      <w:r>
        <w:t xml:space="preserve"> </w:t>
      </w:r>
      <w:r>
        <w:t xml:space="preserve">| Adult Neurological Rehabilitation | [email/phone]</w:t>
      </w:r>
      <w:r>
        <w:br/>
      </w:r>
      <w:r>
        <w:rPr>
          <w:bCs/>
          <w:b/>
        </w:rPr>
        <w:t xml:space="preserve">Saja Ali</w:t>
      </w:r>
      <w:r>
        <w:t xml:space="preserve"> </w:t>
      </w:r>
      <w:r>
        <w:t xml:space="preserve">| Pediatric Rehabilitation | [email/phone]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Full 63-page Business Proposal available on request with detailed market analysis, competitor benchmarking, staffing models, facility layouts, equipment specifications, risk assessment, and 3-year financial projections.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0263B"/>
      </a:dk2>
      <a:lt2>
        <a:srgbClr val="EEECE1"/>
      </a:lt2>
      <a:accent1>
        <a:srgbClr val="0F5C4F"/>
      </a:accent1>
      <a:accent2>
        <a:srgbClr val="D97744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TRIAD Executive Summary</dc:title>
  <dc:creator/>
  <dc:language>en-US</dc:language>
  <cp:keywords/>
  <dcterms:created xsi:type="dcterms:W3CDTF">2026-07-28T15:09:27Z</dcterms:created>
  <dcterms:modified xsi:type="dcterms:W3CDTF">2026-07-28T15:09:27Z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One-Page Investment Overview</vt:lpwstr>
  </property>
</Properties>
</file>