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Recommendations &amp; Success Criteria</w:t>
      </w:r>
    </w:p>
    <w:p>
      <w:r>
        <w:rPr>
          <w:i/>
          <w:color w:val="555555"/>
          <w:sz w:val="22"/>
        </w:rPr>
        <w:t>Design discussion #7b - acting on segments, and defining 'good'</w:t>
      </w:r>
    </w:p>
    <w:p>
      <w:r>
        <w:rPr>
          <w:color w:val="555555"/>
          <w:sz w:val="18"/>
        </w:rPr>
        <w:t>Customer Segmentation Project  |  Planning Notes  |  17 June 2026</w:t>
      </w:r>
    </w:p>
    <w:p/>
    <w:p>
      <w:r>
        <w:t>Added 18 June 2026. Companion to doc 13. Section 3 turns validated, named segments into marketing actions; Section 4 defines what success means for an unsupervised, portfolio project.</w:t>
      </w:r>
    </w:p>
    <w:p>
      <w:pPr>
        <w:pStyle w:val="Heading1"/>
      </w:pPr>
      <w:r>
        <w:rPr>
          <w:color w:val="1F4E79"/>
        </w:rPr>
        <w:t>Section 3 - Recommendations / the action grid</w:t>
      </w:r>
    </w:p>
    <w:p>
      <w:r>
        <w:t>We now have named, validated segments + each customer's predicted CLV. The question: what do we DO about each segment, and how much do we spend?</w:t>
      </w:r>
    </w:p>
    <w:p>
      <w:pPr>
        <w:pStyle w:val="Heading2"/>
      </w:pPr>
      <w:r>
        <w:rPr>
          <w:color w:val="1F4E79"/>
        </w:rPr>
        <w:t>Rules</w:t>
      </w:r>
    </w:p>
    <w:p>
      <w:pPr>
        <w:pStyle w:val="ListBullet"/>
      </w:pPr>
      <w:r>
        <w:t>One segment, one clear action (Protect / Grow / Nurture / Win-back / Deprioritise) - clarity is the deliverable; do not hand marketing ten vague ideas per group.</w:t>
      </w:r>
    </w:p>
    <w:p>
      <w:pPr>
        <w:pStyle w:val="ListBullet"/>
      </w:pPr>
      <w:r>
        <w:t>Spend follows VALUE AT STAKE (revenue share + CLV share), not headcount.</w:t>
      </w:r>
    </w:p>
    <w:p>
      <w:pPr>
        <w:pStyle w:val="ListBullet"/>
      </w:pPr>
      <w:r>
        <w:t>Refine with the segment x CLV grid (doc 12): within a segment, high-CLV vs low-CLV members get different intensity of the same action.</w:t>
      </w:r>
    </w:p>
    <w:p>
      <w:pPr>
        <w:pStyle w:val="Heading2"/>
      </w:pPr>
      <w:r>
        <w:rPr>
          <w:color w:val="1F4E79"/>
        </w:rPr>
        <w:t>Action table (example)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Segment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Why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Spend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Champions (recent, high value)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Protect - VIP perks, early access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they'll buy anyway; do NOT discount (burns margin)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moderate, defensive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At-risk + high CLV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Win-back NOW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most recoverable value - the top-priority cell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 per customer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New / Potential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Nurture to 2nd purchase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onboarding, gentle incentive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scaled to upside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One-timer + low CLV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Deprioritise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spend &gt; worth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near zero</w:t>
            </w:r>
          </w:p>
        </w:tc>
      </w:tr>
    </w:tbl>
    <w:p/>
    <w:p>
      <w:pPr>
        <w:pStyle w:val="Heading2"/>
      </w:pPr>
      <w:r>
        <w:rPr>
          <w:color w:val="1F4E79"/>
        </w:rPr>
        <w:t>Value at stake beats headcount (example)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Segment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% of customers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% of future CLV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At-risk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High - small group, big value leaking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One-timers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5%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Low - huge group, little value</w:t>
            </w:r>
          </w:p>
        </w:tc>
      </w:tr>
    </w:tbl>
    <w:p/>
    <w:p>
      <w:r>
        <w:t>Prioritising by headcount would pour budget into the 40% one-timers who are barely worth anything. Money on the line is the right lens.</w:t>
      </w:r>
    </w:p>
    <w:p>
      <w:pPr>
        <w:pStyle w:val="Heading2"/>
      </w:pPr>
      <w:r>
        <w:rPr>
          <w:color w:val="1F4E79"/>
        </w:rPr>
        <w:t>Optional ROI framing (only if kept honest)</w:t>
      </w:r>
    </w:p>
    <w:p>
      <w:r>
        <w:t>A rough estimate ('win-back at 10% conversion recovers ~GBP X of predicted CLV for ~GBP Y spend') shows business reasoning, but MUST be flagged hypothetical - we have no campaign-response data. State the assumption out loud or it becomes the dishonesty we keep avoiding.</w:t>
      </w:r>
    </w:p>
    <w:p>
      <w:pPr>
        <w:pStyle w:val="Heading2"/>
      </w:pPr>
      <w:r>
        <w:rPr>
          <w:color w:val="1F4E79"/>
        </w:rPr>
        <w:t>Mistakes the grid prevents</w:t>
      </w:r>
    </w:p>
    <w:p>
      <w:pPr>
        <w:pStyle w:val="ListBullet"/>
      </w:pPr>
      <w:r>
        <w:t>Discounting Champions (margin lost on people who would have bought anyway).</w:t>
      </w:r>
    </w:p>
    <w:p>
      <w:pPr>
        <w:pStyle w:val="ListBullet"/>
      </w:pPr>
      <w:r>
        <w:t>Spending equally across segments (the whole point is UNequal spend).</w:t>
      </w:r>
    </w:p>
    <w:p>
      <w:pPr>
        <w:pStyle w:val="ListBullet"/>
      </w:pPr>
      <w:r>
        <w:t>Chasing low-value churned customers (sunk-cost spending).</w:t>
      </w:r>
    </w:p>
    <w:p>
      <w:pPr>
        <w:pStyle w:val="Heading1"/>
      </w:pPr>
      <w:r>
        <w:rPr>
          <w:color w:val="1F4E79"/>
        </w:rPr>
        <w:t>Section 4 - What 'good' looks like (success criteria)</w:t>
      </w:r>
    </w:p>
    <w:p>
      <w:r>
        <w:t>Unsupervised -&gt; there is no accuracy score. Define success deliberately, or you reach for a fake one (a high silhouette, pretty clusters). 'Good' = five things, all of which we have built toward: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Criterion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Met when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Validated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stable (#4) + separated on external variables (2C)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Interpretable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each segment has a clear, nameable profile in raw units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Internally consistent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CLV concentrates in the Champion segment (doc 12)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Actionable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every segment -&gt; a differentiated action + quantified value at stake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Honest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surprises &amp; limitations reported, not hidden</w:t>
            </w:r>
          </w:p>
        </w:tc>
      </w:tr>
    </w:tbl>
    <w:p/>
    <w:p>
      <w:pPr>
        <w:pStyle w:val="Heading2"/>
      </w:pPr>
      <w:r>
        <w:rPr>
          <w:color w:val="1F4E79"/>
        </w:rPr>
        <w:t>What 'good' beats</w:t>
      </w:r>
    </w:p>
    <w:p>
      <w:pPr>
        <w:pStyle w:val="ListBullet"/>
      </w:pPr>
      <w:r>
        <w:t>GOOD (even if modest): 'The data is largely a continuum; only 3 robust segments survive resampling and differ on predicted CLV and geography - here is each profile, action, and value at stake.'</w:t>
      </w:r>
    </w:p>
    <w:p>
      <w:pPr>
        <w:pStyle w:val="ListBullet"/>
      </w:pPr>
      <w:r>
        <w:t>BAD (even if flashy): '6 crisp, colourful segments named from a textbook' that dissolve under bootstrap, with a made-up ROI.</w:t>
      </w:r>
    </w:p>
    <w:p>
      <w:r>
        <w:t>The modest-but-honest result is the SUCCESSFUL one. For a PORTFOLIO piece especially, the grade comes from the JUDGEMENT on display (validate, compare methods, admit the continuum, report what failed) - not from the cluster count or a pretty chart.</w:t>
      </w:r>
    </w:p>
    <w:p>
      <w:pPr>
        <w:pStyle w:val="Heading2"/>
      </w:pPr>
      <w:r>
        <w:rPr>
          <w:color w:val="1F4E79"/>
        </w:rPr>
        <w:t>Final deliverables ('done', physically)</w:t>
      </w:r>
    </w:p>
    <w:p>
      <w:pPr>
        <w:pStyle w:val="ListBullet"/>
      </w:pPr>
      <w:r>
        <w:t>The customer-level table: each customer -&gt; segment + predicted CLV + recommended action.</w:t>
      </w:r>
    </w:p>
    <w:p>
      <w:pPr>
        <w:pStyle w:val="ListBullet"/>
      </w:pPr>
      <w:r>
        <w:t>The segment profile table (doc 13, Section 1).</w:t>
      </w:r>
    </w:p>
    <w:p>
      <w:pPr>
        <w:pStyle w:val="ListBullet"/>
      </w:pPr>
      <w:r>
        <w:t>The action / value-at-stake grid (Section 3).</w:t>
      </w:r>
    </w:p>
    <w:p>
      <w:pPr>
        <w:pStyle w:val="ListBullet"/>
      </w:pPr>
      <w:r>
        <w:t>The validation evidence (stability + separation + cross-method agreement).</w:t>
      </w:r>
    </w:p>
    <w:p>
      <w:pPr>
        <w:pStyle w:val="ListBullet"/>
      </w:pPr>
      <w:r>
        <w:t>A written narrative tying it all back to the problem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