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Choosing &amp; Validating K</w:t>
      </w:r>
    </w:p>
    <w:p>
      <w:r>
        <w:rPr>
          <w:i/>
          <w:color w:val="555555"/>
          <w:sz w:val="22"/>
        </w:rPr>
        <w:t>Design discussion #4 - how many segments, and proving they are real</w:t>
      </w:r>
    </w:p>
    <w:p>
      <w:r>
        <w:rPr>
          <w:color w:val="555555"/>
          <w:sz w:val="18"/>
        </w:rPr>
        <w:t>Customer Segmentation Project  |  Planning Notes  |  17 June 2026</w:t>
      </w:r>
    </w:p>
    <w:p/>
    <w:p>
      <w:r>
        <w:t>Added 18 June 2026. The heart of the project's rigor. Deciding the number of segments K is a JUDGEMENT triangulated from evidence across three legs - not a number read off one chart. Standing rule: every metric below is produced as a comparison artifact (observability).</w:t>
      </w:r>
    </w:p>
    <w:p>
      <w:pPr>
        <w:pStyle w:val="Heading1"/>
      </w:pPr>
      <w:r>
        <w:rPr>
          <w:color w:val="1F4E79"/>
        </w:rPr>
        <w:t>The three-leg framework (decide K at the intersection, not on one leg)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Leg</w:t>
            </w:r>
          </w:p>
        </w:tc>
        <w:tc>
          <w:tcPr>
            <w:tcW w:type="dxa" w:w="2880"/>
          </w:tcPr>
          <w:p>
            <w:r/>
            <w:r>
              <w:rPr>
                <w:b/>
                <w:sz w:val="20"/>
              </w:rPr>
              <w:t>Question it answers</w:t>
            </w:r>
          </w:p>
        </w:tc>
        <w:tc>
          <w:tcPr>
            <w:tcW w:type="dxa" w:w="2880"/>
          </w:tcPr>
          <w:p>
            <w:r/>
            <w:r>
              <w:rPr>
                <w:b/>
                <w:sz w:val="20"/>
              </w:rPr>
              <w:t>Tools</w:t>
            </w:r>
          </w:p>
        </w:tc>
      </w:tr>
      <w:tr>
        <w:tc>
          <w:tcPr>
            <w:tcW w:type="dxa" w:w="2880"/>
          </w:tcPr>
          <w:p>
            <w:r/>
            <w:r>
              <w:rPr>
                <w:sz w:val="20"/>
              </w:rPr>
              <w:t>Statistical</w:t>
            </w:r>
          </w:p>
        </w:tc>
        <w:tc>
          <w:tcPr>
            <w:tcW w:type="dxa" w:w="2880"/>
          </w:tcPr>
          <w:p>
            <w:r/>
            <w:r>
              <w:rPr>
                <w:sz w:val="20"/>
              </w:rPr>
              <w:t>How many blobs, geometrically?</w:t>
            </w:r>
          </w:p>
        </w:tc>
        <w:tc>
          <w:tcPr>
            <w:tcW w:type="dxa" w:w="2880"/>
          </w:tcPr>
          <w:p>
            <w:r/>
            <w:r>
              <w:rPr>
                <w:sz w:val="20"/>
              </w:rPr>
              <w:t>silhouette + gap (primary); elbow + CH/DB (corroborate)</w:t>
            </w:r>
          </w:p>
        </w:tc>
      </w:tr>
      <w:tr>
        <w:tc>
          <w:tcPr>
            <w:tcW w:type="dxa" w:w="2880"/>
          </w:tcPr>
          <w:p>
            <w:r/>
            <w:r>
              <w:rPr>
                <w:sz w:val="20"/>
              </w:rPr>
              <w:t>Stability</w:t>
            </w:r>
          </w:p>
        </w:tc>
        <w:tc>
          <w:tcPr>
            <w:tcW w:type="dxa" w:w="2880"/>
          </w:tcPr>
          <w:p>
            <w:r/>
            <w:r>
              <w:rPr>
                <w:sz w:val="20"/>
              </w:rPr>
              <w:t>Does that K reproduce, or is it one lucky run?</w:t>
            </w:r>
          </w:p>
        </w:tc>
        <w:tc>
          <w:tcPr>
            <w:tcW w:type="dxa" w:w="2880"/>
          </w:tcPr>
          <w:p>
            <w:r/>
            <w:r>
              <w:rPr>
                <w:sz w:val="20"/>
              </w:rPr>
              <w:t>bootstrap Jaccard, consensus matrix, seed ARI</w:t>
            </w:r>
          </w:p>
        </w:tc>
      </w:tr>
      <w:tr>
        <w:tc>
          <w:tcPr>
            <w:tcW w:type="dxa" w:w="2880"/>
          </w:tcPr>
          <w:p>
            <w:r/>
            <w:r>
              <w:rPr>
                <w:sz w:val="20"/>
              </w:rPr>
              <w:t>Business</w:t>
            </w:r>
          </w:p>
        </w:tc>
        <w:tc>
          <w:tcPr>
            <w:tcW w:type="dxa" w:w="2880"/>
          </w:tcPr>
          <w:p>
            <w:r/>
            <w:r>
              <w:rPr>
                <w:sz w:val="20"/>
              </w:rPr>
              <w:t>Is that K actionable?</w:t>
            </w:r>
          </w:p>
        </w:tc>
        <w:tc>
          <w:tcPr>
            <w:tcW w:type="dxa" w:w="2880"/>
          </w:tcPr>
          <w:p>
            <w:r/>
            <w:r>
              <w:rPr>
                <w:sz w:val="20"/>
              </w:rPr>
              <w:t>one nameable marketing action per segment</w:t>
            </w:r>
          </w:p>
        </w:tc>
      </w:tr>
    </w:tbl>
    <w:p/>
    <w:p>
      <w:r>
        <w:t>Internal indices alone are the weakest single basis - they only NARROW K. The decision is made by weighing all three legs.</w:t>
      </w:r>
    </w:p>
    <w:p>
      <w:pPr>
        <w:pStyle w:val="Heading1"/>
      </w:pPr>
      <w:r>
        <w:rPr>
          <w:color w:val="1F4E79"/>
        </w:rPr>
        <w:t>The honest truth about this data</w:t>
      </w:r>
    </w:p>
    <w:p>
      <w:r>
        <w:t>Customer behaviour is a CONTINUUM, not discrete islands - people spread smoothly from one-time bargain buyer to loyal whale. There may be no single 'true' K, and the indices will often disagree precisely because there is no clean answer. So the framing is not 'discover the correct number of segments' but 'choose a USEFUL number that is statistically supported and stable.' Stating this out loud is the mature position.</w:t>
      </w:r>
    </w:p>
    <w:p>
      <w:pPr>
        <w:pStyle w:val="Heading1"/>
      </w:pPr>
      <w:r>
        <w:rPr>
          <w:color w:val="1F4E79"/>
        </w:rPr>
        <w:t>(A) Internal indices for choosing K</w:t>
      </w:r>
    </w:p>
    <w:p>
      <w:pPr>
        <w:pStyle w:val="Heading2"/>
      </w:pPr>
      <w:r>
        <w:rPr>
          <w:color w:val="1F4E79"/>
        </w:rPr>
        <w:t>Elbow / inertia (intuition only - insufficient)</w:t>
      </w:r>
    </w:p>
    <w:p>
      <w:pPr>
        <w:pStyle w:val="ListBullet"/>
      </w:pPr>
      <w:r>
        <w:t>Inertia = within-cluster sum of squares. It ALWAYS falls as K rises and hits 0 at K=n, so you cannot minimise it - you look for the 'bend' where gains flatten. Subjective; two analysts read different elbows.</w:t>
      </w:r>
    </w:p>
    <w:p>
      <w:pPr>
        <w:pStyle w:val="ListBullet"/>
      </w:pPr>
      <w:r>
        <w:t>Make it objective with the Kneedle algorithm (point of maximum curvature). Use for intuition and to narrow the range, never as sole justification. (It is the clustering analogue of a PCA scree plot.)</w:t>
      </w:r>
    </w:p>
    <w:p>
      <w:pPr>
        <w:pStyle w:val="Heading2"/>
      </w:pPr>
      <w:r>
        <w:rPr>
          <w:color w:val="1F4E79"/>
        </w:rPr>
        <w:t>Silhouette (the workhorse)</w:t>
      </w:r>
    </w:p>
    <w:p>
      <w:pPr>
        <w:pStyle w:val="ListBullet"/>
      </w:pPr>
      <w:r>
        <w:t>Per point: s = (b - a) / max(a, b), where a = mean distance to own-cluster points, b = mean distance to the nearest OTHER cluster. s~+1 cozy inside; s~0 on a border; s&lt;0 likely mis-assigned. Average over points -&gt; one score per K; pick the K that maximises it.</w:t>
      </w:r>
    </w:p>
    <w:p>
      <w:pPr>
        <w:pStyle w:val="ListBullet"/>
      </w:pPr>
      <w:r>
        <w:t>The per-cluster silhouette PLOT shows WHICH clusters are tight vs mushy - a quality diagnostic, not just a count.</w:t>
      </w:r>
    </w:p>
    <w:p>
      <w:pPr>
        <w:pStyle w:val="ListBullet"/>
      </w:pPr>
      <w:r>
        <w:t>Rule of thumb (Kaufman &amp; Rousseeuw): &gt;0.7 strong, 0.5-0.7 reasonable, 0.25-0.5 weak, &lt;0.25 no real structure. For behavioural RFM, 0.3-0.5 is NORMAL and honest - do not chase 0.7 (forcing it = over-splitting).</w:t>
      </w:r>
    </w:p>
    <w:p>
      <w:pPr>
        <w:pStyle w:val="ListBullet"/>
      </w:pPr>
      <w:r>
        <w:t>Costs O(n^2) (sample if it bites); implicitly favours convex, equal-size clusters.</w:t>
      </w:r>
    </w:p>
    <w:p>
      <w:pPr>
        <w:pStyle w:val="Heading2"/>
      </w:pPr>
      <w:r>
        <w:rPr>
          <w:color w:val="1F4E79"/>
        </w:rPr>
        <w:t>Gap statistic (the principled one)</w:t>
      </w:r>
    </w:p>
    <w:p>
      <w:pPr>
        <w:pStyle w:val="ListBullet"/>
      </w:pPr>
      <w:r>
        <w:t>Compares your clustering's tightness to clustering pure RANDOM data with the same bounding box: Gap(K) = E_null[log W_K] - log W_K. It corrects for the fact that inertia always drops.</w:t>
      </w:r>
    </w:p>
    <w:p>
      <w:pPr>
        <w:pStyle w:val="ListBullet"/>
      </w:pPr>
      <w:r>
        <w:t>Selection rule: smallest K with Gap(K) &gt;= Gap(K+1) - s_(K+1) (a built-in Occam's razor; s is the reference standard error).</w:t>
      </w:r>
    </w:p>
    <w:p>
      <w:pPr>
        <w:pStyle w:val="ListBullet"/>
      </w:pPr>
      <w:r>
        <w:t>Two nulls: a plain uniform box, or a PCA-aligned box (preferred, more conservative). Uniquely, the gap statistic CAN return K=1 (no real clusters) - essential for an honesty-first project.</w:t>
      </w:r>
    </w:p>
    <w:p>
      <w:pPr>
        <w:pStyle w:val="Heading2"/>
      </w:pPr>
      <w:r>
        <w:rPr>
          <w:color w:val="1F4E79"/>
        </w:rPr>
        <w:t>Calinski-Harabasz &amp; Davies-Bouldin (fast corroboration)</w:t>
      </w:r>
    </w:p>
    <w:p>
      <w:pPr>
        <w:pStyle w:val="ListBullet"/>
      </w:pPr>
      <w:r>
        <w:t>CH = variance ratio (between / within), F-statistic-like; HIGHER better. DB = average worst-case cluster-pair similarity; LOWER better. Both favour spherical clusters (CH shares K-Means' assumptions) -&gt; use as corroboration, not the verdict.</w:t>
      </w:r>
    </w:p>
    <w:p>
      <w:pPr>
        <w:pStyle w:val="Heading2"/>
      </w:pPr>
      <w:r>
        <w:rPr>
          <w:color w:val="1F4E79"/>
        </w:rPr>
        <w:t>Why triangulate</w:t>
      </w:r>
    </w:p>
    <w:p>
      <w:r>
        <w:t>Each method is biased differently (elbow subjective; silhouette/CH/DB favour spheres; gap depends on the null). They fail in DIFFERENT directions, so agreement among them is robust precisely because their biases do not coincide. Disagreement is itself a finding (usually gradient structure).</w:t>
      </w:r>
    </w:p>
    <w:p>
      <w:pPr>
        <w:pStyle w:val="Heading1"/>
      </w:pPr>
      <w:r>
        <w:rPr>
          <w:color w:val="1F4E79"/>
        </w:rPr>
        <w:t>(B) Stability - proving the segments are REAL</w:t>
      </w:r>
    </w:p>
    <w:p>
      <w:r>
        <w:t>Internal indices say 'how many blobs' but not whether the solution reproduces. A clustering can score well yet be fragile. Principle: real structure reproduces under perturbation; artifacts do not.</w:t>
      </w:r>
    </w:p>
    <w:p>
      <w:pPr>
        <w:pStyle w:val="Heading2"/>
      </w:pPr>
      <w:r>
        <w:rPr>
          <w:color w:val="1F4E79"/>
        </w:rPr>
        <w:t>Bootstrap cluster stability (Hennig clusterboot / Jaccard)</w:t>
      </w:r>
    </w:p>
    <w:p>
      <w:pPr>
        <w:pStyle w:val="ListBullet"/>
      </w:pPr>
      <w:r>
        <w:t>Subsample customers (prefer 80% WITHOUT replacement), re-cluster, and for each ORIGINAL cluster find its best-matching bootstrap cluster via Jaccard overlap = |A and B| / |A or B|. Average over ~100 runs.</w:t>
      </w:r>
    </w:p>
    <w:p>
      <w:pPr>
        <w:pStyle w:val="ListBullet"/>
      </w:pPr>
      <w:r>
        <w:t>Rule of thumb: mean Jaccard &gt;0.85 highly stable; 0.75-0.85 stable; 0.60-0.75 suggestive; &lt;0.60 DISSOLVES (not a real segment). Scores EACH cluster - so you can find '3 solid + 1 dissolving', which usually means K is one too high.</w:t>
      </w:r>
    </w:p>
    <w:p>
      <w:pPr>
        <w:pStyle w:val="Heading2"/>
      </w:pPr>
      <w:r>
        <w:rPr>
          <w:color w:val="1F4E79"/>
        </w:rPr>
        <w:t>Consensus clustering (Monti et al.)</w:t>
      </w:r>
    </w:p>
    <w:p>
      <w:pPr>
        <w:pStyle w:val="ListBullet"/>
      </w:pPr>
      <w:r>
        <w:t>Build an n x n matrix = fraction of runs in which each customer PAIR co-clusters. For the right K it is near block-diagonal (entries near 0 or 1). Visualise as a heatmap (crisp blocks = stable) and quantify crispness - an independent SECOND way to pick K.</w:t>
      </w:r>
    </w:p>
    <w:p>
      <w:pPr>
        <w:pStyle w:val="Heading2"/>
      </w:pPr>
      <w:r>
        <w:rPr>
          <w:color w:val="1F4E79"/>
        </w:rPr>
        <w:t>Seed / initialisation stability (cheap smell test)</w:t>
      </w:r>
    </w:p>
    <w:p>
      <w:pPr>
        <w:pStyle w:val="ListBullet"/>
      </w:pPr>
      <w:r>
        <w:t>Run many random inits; check they converge (high pairwise ARI, low inertia variance). If different seeds give wildly different clusters, structure is weak regardless of silhouette. (This is what n_init does internally.)</w:t>
      </w:r>
    </w:p>
    <w:p>
      <w:pPr>
        <w:pStyle w:val="Heading2"/>
      </w:pPr>
      <w:r>
        <w:rPr>
          <w:color w:val="1F4E79"/>
        </w:rPr>
        <w:t>Comparing partitions - the label-switching problem</w:t>
      </w:r>
    </w:p>
    <w:p>
      <w:pPr>
        <w:pStyle w:val="ListBullet"/>
      </w:pPr>
      <w:r>
        <w:t>You cannot match label NUMBERS ('cluster 2' is arbitrary). Use label-invariant measures: ARI (whole partition, chance-corrected, 0=random 1=identical) for run-to-run agreement; Jaccard for a single cluster's survival. For different sampled points, compare on common points or assign by nearest centroid.</w:t>
      </w:r>
    </w:p>
    <w:p>
      <w:pPr>
        <w:pStyle w:val="Heading2"/>
      </w:pPr>
      <w:r>
        <w:rPr>
          <w:color w:val="1F4E79"/>
        </w:rPr>
        <w:t>Pitfalls</w:t>
      </w:r>
    </w:p>
    <w:p>
      <w:pPr>
        <w:pStyle w:val="ListBullet"/>
      </w:pPr>
      <w:r>
        <w:t>Bootstrap WITH replacement creates duplicate points (distance 0) -&gt; degenerate micro-clusters; prefer subsampling.</w:t>
      </w:r>
    </w:p>
    <w:p>
      <w:pPr>
        <w:pStyle w:val="ListBullet"/>
      </w:pPr>
      <w:r>
        <w:t>Stability is NECESSARY not SUFFICIENT: a trivially separated wrong solution can be very stable, and stability tends to favour smaller K. Read it WITH internal validity + business sense, never alone.</w:t>
      </w:r>
    </w:p>
    <w:p>
      <w:pPr>
        <w:pStyle w:val="Heading1"/>
      </w:pPr>
      <w:r>
        <w:rPr>
          <w:color w:val="1F4E79"/>
        </w:rPr>
        <w:t>Decision procedure</w:t>
      </w:r>
    </w:p>
    <w:p>
      <w:pPr>
        <w:pStyle w:val="ListNumber"/>
      </w:pPr>
      <w:r>
        <w:t>Search K = 2-8 (a sane business range - nobody runs 12 playbooks).</w:t>
      </w:r>
    </w:p>
    <w:p>
      <w:pPr>
        <w:pStyle w:val="ListNumber"/>
      </w:pPr>
      <w:r>
        <w:t>Lead with silhouette + gap statistic; corroborate with elbow + CH/DB.</w:t>
      </w:r>
    </w:p>
    <w:p>
      <w:pPr>
        <w:pStyle w:val="ListNumber"/>
      </w:pPr>
      <w:r>
        <w:t>Keep the small set of CANDIDATE K's the statistics support (likely 3-5); do not pick on a third decimal of one index.</w:t>
      </w:r>
    </w:p>
    <w:p>
      <w:pPr>
        <w:pStyle w:val="ListNumber"/>
      </w:pPr>
      <w:r>
        <w:t>Break the tie with stability (every segment must survive resampling) + interpretability.</w:t>
      </w:r>
    </w:p>
    <w:p>
      <w:pPr>
        <w:pStyle w:val="ListNumber"/>
      </w:pPr>
      <w:r>
        <w:t>Document the call; disagreement among indices is a FINDING, not an embarrassment.</w:t>
      </w:r>
    </w:p>
    <w:p>
      <w:r>
        <w:t>Prediction: this lands at 3-5 segments - where RFM behavioural segmentation usually settles, both statistically and because that is how many distinct playbooks a marketing team can run. Avoid: cherry-picking the prettiest-K index; over-trusting one number; chasing silhouette 0.7 on behavioural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